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sz w:val="32"/>
          <w:szCs w:val="32"/>
        </w:rPr>
      </w:pPr>
      <w:r>
        <w:drawing>
          <wp:anchor distT="0" distB="0" distL="114300" distR="114300" simplePos="0" relativeHeight="251659264" behindDoc="0" locked="0" layoutInCell="1" allowOverlap="1">
            <wp:simplePos x="0" y="0"/>
            <wp:positionH relativeFrom="column">
              <wp:posOffset>-770255</wp:posOffset>
            </wp:positionH>
            <wp:positionV relativeFrom="paragraph">
              <wp:posOffset>-1092200</wp:posOffset>
            </wp:positionV>
            <wp:extent cx="7489825" cy="10676255"/>
            <wp:effectExtent l="0" t="0" r="15875" b="1079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7489825" cy="10676255"/>
                    </a:xfrm>
                    <a:prstGeom prst="rect">
                      <a:avLst/>
                    </a:prstGeom>
                    <a:noFill/>
                    <a:ln>
                      <a:noFill/>
                    </a:ln>
                  </pic:spPr>
                </pic:pic>
              </a:graphicData>
            </a:graphic>
          </wp:anchor>
        </w:drawing>
      </w:r>
    </w:p>
    <w:p>
      <w:pPr>
        <w:spacing w:before="156" w:beforeLines="50" w:after="156" w:afterLines="50"/>
        <w:ind w:firstLine="600" w:firstLineChars="200"/>
        <w:rPr>
          <w:rFonts w:ascii="Times New Roman" w:hAnsi="Times New Roman" w:eastAsia="黑体"/>
          <w:sz w:val="30"/>
          <w:szCs w:val="30"/>
        </w:rPr>
      </w:pPr>
      <w:r>
        <w:rPr>
          <w:rFonts w:hint="eastAsia" w:ascii="Times New Roman" w:hAnsi="Times New Roman" w:eastAsia="黑体"/>
          <w:sz w:val="30"/>
          <w:szCs w:val="30"/>
        </w:rPr>
        <w:t>一、生产建设项目水土保持设施验收基本情况表</w:t>
      </w:r>
    </w:p>
    <w:tbl>
      <w:tblPr>
        <w:tblStyle w:val="1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53"/>
        <w:gridCol w:w="4763"/>
        <w:gridCol w:w="867"/>
        <w:gridCol w:w="9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0" w:hRule="exact"/>
          <w:jc w:val="center"/>
        </w:trPr>
        <w:tc>
          <w:tcPr>
            <w:tcW w:w="2802" w:type="dxa"/>
            <w:vAlign w:val="center"/>
          </w:tcPr>
          <w:p>
            <w:pPr>
              <w:ind w:left="137" w:leftChars="57"/>
              <w:jc w:val="center"/>
              <w:rPr>
                <w:rFonts w:ascii="Times New Roman" w:hAnsi="Times New Roman"/>
                <w:szCs w:val="24"/>
              </w:rPr>
            </w:pPr>
            <w:r>
              <w:rPr>
                <w:rFonts w:hint="eastAsia" w:ascii="Times New Roman" w:hAnsi="Times New Roman"/>
                <w:szCs w:val="24"/>
              </w:rPr>
              <w:t>项目名称</w:t>
            </w:r>
          </w:p>
        </w:tc>
        <w:tc>
          <w:tcPr>
            <w:tcW w:w="4677" w:type="dxa"/>
            <w:vAlign w:val="center"/>
          </w:tcPr>
          <w:p>
            <w:pPr>
              <w:ind w:firstLine="120" w:firstLineChars="50"/>
              <w:jc w:val="center"/>
              <w:rPr>
                <w:rFonts w:ascii="仿宋" w:hAnsi="仿宋" w:eastAsia="仿宋"/>
                <w:szCs w:val="24"/>
              </w:rPr>
            </w:pPr>
            <w:r>
              <w:rPr>
                <w:rFonts w:hint="eastAsia" w:ascii="仿宋" w:hAnsi="仿宋" w:eastAsia="仿宋"/>
                <w:szCs w:val="24"/>
                <w:lang w:eastAsia="zh-CN"/>
              </w:rPr>
              <w:t>重庆梁平至黔江高速公路（石柱至黔江段）</w:t>
            </w:r>
          </w:p>
        </w:tc>
        <w:tc>
          <w:tcPr>
            <w:tcW w:w="851" w:type="dxa"/>
            <w:vAlign w:val="center"/>
          </w:tcPr>
          <w:p>
            <w:pPr>
              <w:jc w:val="center"/>
              <w:rPr>
                <w:rFonts w:ascii="Times New Roman" w:hAnsi="Times New Roman"/>
                <w:szCs w:val="24"/>
              </w:rPr>
            </w:pPr>
            <w:r>
              <w:rPr>
                <w:rFonts w:hint="eastAsia" w:ascii="Times New Roman" w:hAnsi="Times New Roman"/>
                <w:szCs w:val="24"/>
              </w:rPr>
              <w:t>行业类别</w:t>
            </w:r>
          </w:p>
        </w:tc>
        <w:tc>
          <w:tcPr>
            <w:tcW w:w="956" w:type="dxa"/>
            <w:vAlign w:val="center"/>
          </w:tcPr>
          <w:p>
            <w:pPr>
              <w:rPr>
                <w:rFonts w:hint="eastAsia" w:ascii="仿宋" w:hAnsi="仿宋" w:eastAsia="仿宋"/>
                <w:highlight w:val="none"/>
                <w:lang w:val="en-US" w:eastAsia="zh-CN"/>
              </w:rPr>
            </w:pPr>
            <w:r>
              <w:rPr>
                <w:rFonts w:hint="eastAsia" w:ascii="仿宋" w:hAnsi="仿宋" w:eastAsia="仿宋"/>
                <w:highlight w:val="none"/>
                <w:lang w:val="en-US" w:eastAsia="zh-CN"/>
              </w:rPr>
              <w:t>公路</w:t>
            </w:r>
          </w:p>
          <w:p>
            <w:pPr>
              <w:rPr>
                <w:rFonts w:hint="default" w:ascii="仿宋" w:hAnsi="仿宋" w:eastAsia="仿宋"/>
                <w:lang w:val="en-US" w:eastAsia="zh-CN"/>
              </w:rPr>
            </w:pPr>
            <w:r>
              <w:rPr>
                <w:rFonts w:hint="eastAsia" w:ascii="仿宋" w:hAnsi="仿宋" w:eastAsia="仿宋"/>
                <w:highlight w:val="none"/>
                <w:lang w:val="en-US" w:eastAsia="zh-CN"/>
              </w:rPr>
              <w:t>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0" w:hRule="exact"/>
          <w:jc w:val="center"/>
        </w:trPr>
        <w:tc>
          <w:tcPr>
            <w:tcW w:w="2802" w:type="dxa"/>
            <w:vAlign w:val="center"/>
          </w:tcPr>
          <w:p>
            <w:pPr>
              <w:ind w:left="137" w:leftChars="57"/>
              <w:jc w:val="center"/>
              <w:rPr>
                <w:rFonts w:ascii="Times New Roman" w:hAnsi="Times New Roman"/>
                <w:szCs w:val="24"/>
              </w:rPr>
            </w:pPr>
            <w:r>
              <w:rPr>
                <w:rFonts w:hint="eastAsia" w:ascii="Times New Roman" w:hAnsi="Times New Roman"/>
                <w:szCs w:val="24"/>
              </w:rPr>
              <w:t>主管部门</w:t>
            </w:r>
          </w:p>
          <w:p>
            <w:pPr>
              <w:ind w:left="137" w:leftChars="57"/>
              <w:jc w:val="center"/>
              <w:rPr>
                <w:rFonts w:ascii="Times New Roman" w:hAnsi="Times New Roman"/>
                <w:szCs w:val="24"/>
              </w:rPr>
            </w:pPr>
            <w:r>
              <w:rPr>
                <w:rFonts w:hint="eastAsia" w:ascii="Times New Roman" w:hAnsi="Times New Roman"/>
                <w:szCs w:val="24"/>
              </w:rPr>
              <w:t>（或主要投资方）</w:t>
            </w:r>
          </w:p>
        </w:tc>
        <w:tc>
          <w:tcPr>
            <w:tcW w:w="4677" w:type="dxa"/>
            <w:vAlign w:val="center"/>
          </w:tcPr>
          <w:p>
            <w:pPr>
              <w:ind w:firstLine="120" w:firstLineChars="50"/>
              <w:jc w:val="center"/>
              <w:rPr>
                <w:rFonts w:ascii="仿宋" w:hAnsi="仿宋" w:eastAsia="仿宋"/>
                <w:szCs w:val="24"/>
              </w:rPr>
            </w:pPr>
            <w:r>
              <w:rPr>
                <w:rFonts w:hint="eastAsia" w:ascii="仿宋" w:hAnsi="仿宋" w:eastAsia="仿宋"/>
                <w:szCs w:val="24"/>
                <w:lang w:eastAsia="zh-CN"/>
              </w:rPr>
              <w:t>重庆铁发建新高速公路有限公司</w:t>
            </w:r>
          </w:p>
        </w:tc>
        <w:tc>
          <w:tcPr>
            <w:tcW w:w="851" w:type="dxa"/>
            <w:vAlign w:val="center"/>
          </w:tcPr>
          <w:p>
            <w:pPr>
              <w:jc w:val="center"/>
              <w:rPr>
                <w:rFonts w:ascii="Times New Roman" w:hAnsi="Times New Roman"/>
                <w:szCs w:val="24"/>
              </w:rPr>
            </w:pPr>
            <w:r>
              <w:rPr>
                <w:rFonts w:hint="eastAsia" w:ascii="Times New Roman" w:hAnsi="Times New Roman"/>
                <w:szCs w:val="24"/>
              </w:rPr>
              <w:t>项目性质</w:t>
            </w:r>
          </w:p>
        </w:tc>
        <w:tc>
          <w:tcPr>
            <w:tcW w:w="956" w:type="dxa"/>
            <w:vAlign w:val="center"/>
          </w:tcPr>
          <w:p>
            <w:pPr>
              <w:ind w:firstLine="120" w:firstLineChars="50"/>
              <w:jc w:val="center"/>
              <w:rPr>
                <w:rFonts w:ascii="仿宋" w:hAnsi="仿宋" w:eastAsia="仿宋"/>
              </w:rPr>
            </w:pPr>
            <w:r>
              <w:rPr>
                <w:rFonts w:hint="eastAsia" w:ascii="仿宋" w:hAnsi="仿宋" w:eastAsia="仿宋"/>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82" w:hRule="exact"/>
          <w:jc w:val="center"/>
        </w:trPr>
        <w:tc>
          <w:tcPr>
            <w:tcW w:w="2802" w:type="dxa"/>
            <w:vAlign w:val="center"/>
          </w:tcPr>
          <w:p>
            <w:pPr>
              <w:ind w:left="137" w:leftChars="57"/>
              <w:jc w:val="center"/>
              <w:rPr>
                <w:rFonts w:eastAsia="等线"/>
              </w:rPr>
            </w:pPr>
            <w:r>
              <w:rPr>
                <w:rFonts w:hint="eastAsia"/>
              </w:rPr>
              <w:t>水土保持方案批复机关、文号及时间</w:t>
            </w:r>
          </w:p>
        </w:tc>
        <w:tc>
          <w:tcPr>
            <w:tcW w:w="6484" w:type="dxa"/>
            <w:gridSpan w:val="3"/>
            <w:vAlign w:val="center"/>
          </w:tcPr>
          <w:p>
            <w:pPr>
              <w:ind w:firstLine="120" w:firstLineChars="50"/>
              <w:jc w:val="center"/>
              <w:rPr>
                <w:rFonts w:ascii="Times New Roman" w:hAnsi="Times New Roman" w:eastAsia="仿宋"/>
              </w:rPr>
            </w:pPr>
            <w:r>
              <w:rPr>
                <w:rFonts w:hint="eastAsia" w:ascii="Times New Roman" w:hAnsi="Times New Roman" w:eastAsia="仿宋"/>
                <w:bCs/>
                <w:lang w:val="en-US" w:eastAsia="zh-CN"/>
              </w:rPr>
              <w:t>重庆市水利局</w:t>
            </w:r>
            <w:r>
              <w:rPr>
                <w:rFonts w:ascii="Times New Roman" w:hAnsi="Times New Roman" w:eastAsia="仿宋"/>
              </w:rPr>
              <w:t>，</w:t>
            </w:r>
            <w:r>
              <w:rPr>
                <w:rFonts w:hint="eastAsia" w:ascii="Times New Roman" w:hAnsi="Times New Roman" w:eastAsia="仿宋"/>
                <w:bCs/>
                <w:lang w:val="en-US" w:eastAsia="zh-CN"/>
              </w:rPr>
              <w:t>渝水许可</w:t>
            </w:r>
            <w:r>
              <w:rPr>
                <w:rFonts w:ascii="Times New Roman" w:hAnsi="Times New Roman" w:eastAsia="仿宋"/>
                <w:bCs/>
              </w:rPr>
              <w:t>〔201</w:t>
            </w:r>
            <w:r>
              <w:rPr>
                <w:rFonts w:hint="eastAsia" w:ascii="Times New Roman" w:hAnsi="Times New Roman" w:eastAsia="仿宋"/>
                <w:bCs/>
                <w:lang w:val="en-US" w:eastAsia="zh-CN"/>
              </w:rPr>
              <w:t>1</w:t>
            </w:r>
            <w:r>
              <w:rPr>
                <w:rFonts w:ascii="Times New Roman" w:hAnsi="Times New Roman" w:eastAsia="仿宋"/>
                <w:bCs/>
              </w:rPr>
              <w:t>〕</w:t>
            </w:r>
            <w:r>
              <w:rPr>
                <w:rFonts w:hint="eastAsia" w:ascii="Times New Roman" w:hAnsi="Times New Roman" w:eastAsia="仿宋"/>
                <w:bCs/>
                <w:lang w:val="en-US" w:eastAsia="zh-CN"/>
              </w:rPr>
              <w:t>45</w:t>
            </w:r>
            <w:r>
              <w:rPr>
                <w:rFonts w:ascii="Times New Roman" w:hAnsi="Times New Roman" w:eastAsia="仿宋"/>
                <w:bCs/>
              </w:rPr>
              <w:t>号</w:t>
            </w:r>
            <w:r>
              <w:rPr>
                <w:rFonts w:ascii="Times New Roman" w:hAnsi="Times New Roman" w:eastAsia="仿宋"/>
              </w:rPr>
              <w:t>，201</w:t>
            </w:r>
            <w:r>
              <w:rPr>
                <w:rFonts w:hint="eastAsia" w:ascii="Times New Roman" w:hAnsi="Times New Roman" w:eastAsia="仿宋"/>
                <w:lang w:val="en-US" w:eastAsia="zh-CN"/>
              </w:rPr>
              <w:t>1</w:t>
            </w:r>
            <w:r>
              <w:rPr>
                <w:rFonts w:ascii="Times New Roman" w:hAnsi="Times New Roman" w:eastAsia="仿宋"/>
              </w:rPr>
              <w:t>年</w:t>
            </w:r>
            <w:r>
              <w:rPr>
                <w:rFonts w:hint="eastAsia" w:ascii="Times New Roman" w:hAnsi="Times New Roman" w:eastAsia="仿宋"/>
                <w:lang w:val="en-US" w:eastAsia="zh-CN"/>
              </w:rPr>
              <w:t>5</w:t>
            </w:r>
            <w:r>
              <w:rPr>
                <w:rFonts w:ascii="Times New Roman" w:hAnsi="Times New Roman" w:eastAsia="仿宋"/>
              </w:rPr>
              <w:t>月</w:t>
            </w:r>
            <w:r>
              <w:rPr>
                <w:rFonts w:hint="eastAsia" w:ascii="Times New Roman" w:hAnsi="Times New Roman" w:eastAsia="仿宋"/>
              </w:rPr>
              <w:t>4</w:t>
            </w:r>
            <w:r>
              <w:rPr>
                <w:rFonts w:ascii="Times New Roman" w:hAnsi="Times New Roman" w:eastAsia="仿宋"/>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0" w:hRule="exact"/>
          <w:jc w:val="center"/>
        </w:trPr>
        <w:tc>
          <w:tcPr>
            <w:tcW w:w="2802" w:type="dxa"/>
            <w:vAlign w:val="center"/>
          </w:tcPr>
          <w:p>
            <w:pPr>
              <w:ind w:left="137" w:leftChars="57"/>
              <w:jc w:val="center"/>
              <w:rPr>
                <w:rFonts w:ascii="Times New Roman" w:hAnsi="Times New Roman"/>
                <w:szCs w:val="24"/>
              </w:rPr>
            </w:pPr>
            <w:r>
              <w:rPr>
                <w:rFonts w:hint="eastAsia" w:ascii="Times New Roman" w:hAnsi="Times New Roman"/>
                <w:szCs w:val="24"/>
              </w:rPr>
              <w:t>水土保持方案变更批复机关、文号及时间</w:t>
            </w:r>
          </w:p>
        </w:tc>
        <w:tc>
          <w:tcPr>
            <w:tcW w:w="6484" w:type="dxa"/>
            <w:gridSpan w:val="3"/>
            <w:vAlign w:val="center"/>
          </w:tcPr>
          <w:p>
            <w:pPr>
              <w:ind w:firstLine="120" w:firstLineChars="50"/>
              <w:jc w:val="center"/>
              <w:rPr>
                <w:rFonts w:ascii="Times New Roman" w:hAnsi="Times New Roman" w:eastAsia="仿宋"/>
              </w:rPr>
            </w:pPr>
            <w:r>
              <w:rPr>
                <w:rFonts w:hint="eastAsia" w:ascii="Times New Roman" w:hAnsi="Times New Roman" w:eastAsia="仿宋"/>
                <w:bCs/>
                <w:lang w:val="en-US" w:eastAsia="zh-CN"/>
              </w:rPr>
              <w:t>重庆市水利局</w:t>
            </w:r>
            <w:r>
              <w:rPr>
                <w:rFonts w:ascii="Times New Roman" w:hAnsi="Times New Roman" w:eastAsia="仿宋"/>
              </w:rPr>
              <w:t>，</w:t>
            </w:r>
            <w:r>
              <w:rPr>
                <w:rFonts w:hint="eastAsia" w:ascii="Times New Roman" w:hAnsi="Times New Roman" w:eastAsia="仿宋"/>
                <w:bCs/>
                <w:lang w:val="en-US" w:eastAsia="zh-CN"/>
              </w:rPr>
              <w:t>渝水许可</w:t>
            </w:r>
            <w:r>
              <w:rPr>
                <w:rFonts w:ascii="Times New Roman" w:hAnsi="Times New Roman" w:eastAsia="仿宋"/>
                <w:bCs/>
              </w:rPr>
              <w:t>〔20</w:t>
            </w:r>
            <w:r>
              <w:rPr>
                <w:rFonts w:hint="eastAsia" w:ascii="Times New Roman" w:hAnsi="Times New Roman" w:eastAsia="仿宋"/>
                <w:bCs/>
                <w:lang w:val="en-US" w:eastAsia="zh-CN"/>
              </w:rPr>
              <w:t>21</w:t>
            </w:r>
            <w:r>
              <w:rPr>
                <w:rFonts w:ascii="Times New Roman" w:hAnsi="Times New Roman" w:eastAsia="仿宋"/>
                <w:bCs/>
              </w:rPr>
              <w:t>〕</w:t>
            </w:r>
            <w:r>
              <w:rPr>
                <w:rFonts w:hint="eastAsia" w:ascii="Times New Roman" w:hAnsi="Times New Roman" w:eastAsia="仿宋"/>
                <w:bCs/>
                <w:lang w:val="en-US" w:eastAsia="zh-CN"/>
              </w:rPr>
              <w:t>70</w:t>
            </w:r>
            <w:r>
              <w:rPr>
                <w:rFonts w:ascii="Times New Roman" w:hAnsi="Times New Roman" w:eastAsia="仿宋"/>
                <w:bCs/>
              </w:rPr>
              <w:t>号</w:t>
            </w:r>
            <w:r>
              <w:rPr>
                <w:rFonts w:ascii="Times New Roman" w:hAnsi="Times New Roman" w:eastAsia="仿宋"/>
              </w:rPr>
              <w:t>，20</w:t>
            </w:r>
            <w:r>
              <w:rPr>
                <w:rFonts w:hint="eastAsia" w:ascii="Times New Roman" w:hAnsi="Times New Roman" w:eastAsia="仿宋"/>
                <w:lang w:val="en-US" w:eastAsia="zh-CN"/>
              </w:rPr>
              <w:t>21</w:t>
            </w:r>
            <w:r>
              <w:rPr>
                <w:rFonts w:ascii="Times New Roman" w:hAnsi="Times New Roman" w:eastAsia="仿宋"/>
              </w:rPr>
              <w:t>年</w:t>
            </w:r>
            <w:r>
              <w:rPr>
                <w:rFonts w:hint="eastAsia" w:ascii="Times New Roman" w:hAnsi="Times New Roman" w:eastAsia="仿宋"/>
                <w:lang w:val="en-US" w:eastAsia="zh-CN"/>
              </w:rPr>
              <w:t>8</w:t>
            </w:r>
            <w:r>
              <w:rPr>
                <w:rFonts w:ascii="Times New Roman" w:hAnsi="Times New Roman" w:eastAsia="仿宋"/>
              </w:rPr>
              <w:t>月</w:t>
            </w:r>
            <w:r>
              <w:rPr>
                <w:rFonts w:hint="eastAsia" w:ascii="Times New Roman" w:hAnsi="Times New Roman" w:eastAsia="仿宋"/>
                <w:lang w:val="en-US" w:eastAsia="zh-CN"/>
              </w:rPr>
              <w:t>24</w:t>
            </w:r>
            <w:r>
              <w:rPr>
                <w:rFonts w:ascii="Times New Roman" w:hAnsi="Times New Roman" w:eastAsia="仿宋"/>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0" w:hRule="exact"/>
          <w:jc w:val="center"/>
        </w:trPr>
        <w:tc>
          <w:tcPr>
            <w:tcW w:w="2802" w:type="dxa"/>
            <w:vAlign w:val="center"/>
          </w:tcPr>
          <w:p>
            <w:pPr>
              <w:jc w:val="center"/>
              <w:rPr>
                <w:rFonts w:eastAsia="等线"/>
              </w:rPr>
            </w:pPr>
            <w:r>
              <w:rPr>
                <w:rFonts w:hint="eastAsia"/>
              </w:rPr>
              <w:t>水土保持初步设计批复机关、文号及时间</w:t>
            </w:r>
          </w:p>
        </w:tc>
        <w:tc>
          <w:tcPr>
            <w:tcW w:w="6484" w:type="dxa"/>
            <w:gridSpan w:val="3"/>
            <w:vAlign w:val="center"/>
          </w:tcPr>
          <w:p>
            <w:pPr>
              <w:ind w:firstLine="120" w:firstLineChars="50"/>
              <w:jc w:val="center"/>
              <w:rPr>
                <w:rFonts w:ascii="Times New Roman" w:hAnsi="Times New Roman" w:eastAsia="仿宋"/>
              </w:rPr>
            </w:pPr>
            <w:r>
              <w:rPr>
                <w:rFonts w:hint="default" w:ascii="Times New Roman" w:hAnsi="Times New Roman" w:eastAsia="仿宋"/>
                <w:bCs/>
                <w:lang w:val="en-US" w:eastAsia="zh-CN"/>
              </w:rPr>
              <w:t>重庆市交通委员会</w:t>
            </w:r>
            <w:r>
              <w:rPr>
                <w:rFonts w:ascii="Times New Roman" w:hAnsi="Times New Roman" w:eastAsia="仿宋"/>
              </w:rPr>
              <w:t>，</w:t>
            </w:r>
          </w:p>
          <w:p>
            <w:pPr>
              <w:ind w:firstLine="120" w:firstLineChars="50"/>
              <w:jc w:val="center"/>
              <w:rPr>
                <w:rFonts w:ascii="Times New Roman" w:hAnsi="Times New Roman" w:eastAsia="仿宋"/>
              </w:rPr>
            </w:pPr>
            <w:r>
              <w:rPr>
                <w:rFonts w:hint="default" w:ascii="Times New Roman" w:hAnsi="Times New Roman" w:eastAsia="仿宋"/>
                <w:bCs/>
                <w:lang w:val="en-US" w:eastAsia="zh-CN"/>
              </w:rPr>
              <w:t>渝交委路</w:t>
            </w:r>
            <w:r>
              <w:rPr>
                <w:rFonts w:ascii="Times New Roman" w:hAnsi="Times New Roman" w:eastAsia="仿宋"/>
                <w:bCs/>
              </w:rPr>
              <w:t>〔201</w:t>
            </w:r>
            <w:r>
              <w:rPr>
                <w:rFonts w:hint="eastAsia" w:ascii="Times New Roman" w:hAnsi="Times New Roman" w:eastAsia="仿宋"/>
                <w:bCs/>
                <w:lang w:val="en-US" w:eastAsia="zh-CN"/>
              </w:rPr>
              <w:t>6</w:t>
            </w:r>
            <w:r>
              <w:rPr>
                <w:rFonts w:ascii="Times New Roman" w:hAnsi="Times New Roman" w:eastAsia="仿宋"/>
                <w:bCs/>
              </w:rPr>
              <w:t>〕</w:t>
            </w:r>
            <w:r>
              <w:rPr>
                <w:rFonts w:hint="eastAsia" w:ascii="Times New Roman" w:hAnsi="Times New Roman" w:eastAsia="仿宋"/>
                <w:bCs/>
                <w:lang w:val="en-US" w:eastAsia="zh-CN"/>
              </w:rPr>
              <w:t>58</w:t>
            </w:r>
            <w:r>
              <w:rPr>
                <w:rFonts w:ascii="Times New Roman" w:hAnsi="Times New Roman" w:eastAsia="仿宋"/>
                <w:bCs/>
              </w:rPr>
              <w:t>号</w:t>
            </w:r>
            <w:r>
              <w:rPr>
                <w:rFonts w:ascii="Times New Roman" w:hAnsi="Times New Roman" w:eastAsia="仿宋"/>
              </w:rPr>
              <w:t>，201</w:t>
            </w:r>
            <w:r>
              <w:rPr>
                <w:rFonts w:hint="eastAsia" w:ascii="Times New Roman" w:hAnsi="Times New Roman" w:eastAsia="仿宋"/>
                <w:lang w:val="en-US" w:eastAsia="zh-CN"/>
              </w:rPr>
              <w:t>6</w:t>
            </w:r>
            <w:r>
              <w:rPr>
                <w:rFonts w:ascii="Times New Roman" w:hAnsi="Times New Roman" w:eastAsia="仿宋"/>
              </w:rPr>
              <w:t>年</w:t>
            </w:r>
            <w:r>
              <w:rPr>
                <w:rFonts w:hint="eastAsia" w:ascii="Times New Roman" w:hAnsi="Times New Roman" w:eastAsia="仿宋"/>
                <w:lang w:val="en-US" w:eastAsia="zh-CN"/>
              </w:rPr>
              <w:t>9</w:t>
            </w:r>
            <w:r>
              <w:rPr>
                <w:rFonts w:ascii="Times New Roman" w:hAnsi="Times New Roman" w:eastAsia="仿宋"/>
              </w:rPr>
              <w:t>月</w:t>
            </w:r>
            <w:r>
              <w:rPr>
                <w:rFonts w:hint="eastAsia" w:ascii="Times New Roman" w:hAnsi="Times New Roman" w:eastAsia="仿宋"/>
                <w:lang w:val="en-US" w:eastAsia="zh-CN"/>
              </w:rPr>
              <w:t>8</w:t>
            </w:r>
            <w:r>
              <w:rPr>
                <w:rFonts w:ascii="Times New Roman" w:hAnsi="Times New Roman" w:eastAsia="仿宋"/>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0" w:hRule="exact"/>
          <w:jc w:val="center"/>
        </w:trPr>
        <w:tc>
          <w:tcPr>
            <w:tcW w:w="2802" w:type="dxa"/>
            <w:vAlign w:val="center"/>
          </w:tcPr>
          <w:p>
            <w:pPr>
              <w:spacing w:line="400" w:lineRule="exact"/>
              <w:jc w:val="center"/>
              <w:rPr>
                <w:rFonts w:eastAsia="等线"/>
              </w:rPr>
            </w:pPr>
            <w:r>
              <w:rPr>
                <w:rFonts w:hint="eastAsia"/>
              </w:rPr>
              <w:t>项目建设起止时间</w:t>
            </w:r>
          </w:p>
        </w:tc>
        <w:tc>
          <w:tcPr>
            <w:tcW w:w="6484" w:type="dxa"/>
            <w:gridSpan w:val="3"/>
            <w:vAlign w:val="center"/>
          </w:tcPr>
          <w:p>
            <w:pPr>
              <w:ind w:firstLine="120" w:firstLineChars="50"/>
              <w:jc w:val="center"/>
              <w:rPr>
                <w:rFonts w:ascii="Times New Roman" w:hAnsi="Times New Roman" w:eastAsia="仿宋"/>
              </w:rPr>
            </w:pPr>
            <w:r>
              <w:rPr>
                <w:rFonts w:ascii="Times New Roman" w:hAnsi="Times New Roman" w:eastAsia="仿宋"/>
                <w:highlight w:val="none"/>
              </w:rPr>
              <w:t>201</w:t>
            </w:r>
            <w:r>
              <w:rPr>
                <w:rFonts w:hint="eastAsia" w:ascii="Times New Roman" w:hAnsi="Times New Roman" w:eastAsia="仿宋"/>
                <w:highlight w:val="none"/>
              </w:rPr>
              <w:t>7</w:t>
            </w:r>
            <w:r>
              <w:rPr>
                <w:rFonts w:ascii="Times New Roman" w:hAnsi="Times New Roman" w:eastAsia="仿宋"/>
                <w:highlight w:val="none"/>
              </w:rPr>
              <w:t>年</w:t>
            </w:r>
            <w:r>
              <w:rPr>
                <w:rFonts w:hint="eastAsia" w:ascii="Times New Roman" w:hAnsi="Times New Roman" w:eastAsia="仿宋"/>
                <w:highlight w:val="none"/>
                <w:lang w:val="en-US" w:eastAsia="zh-CN"/>
              </w:rPr>
              <w:t>2</w:t>
            </w:r>
            <w:r>
              <w:rPr>
                <w:rFonts w:ascii="Times New Roman" w:hAnsi="Times New Roman" w:eastAsia="仿宋"/>
                <w:highlight w:val="none"/>
              </w:rPr>
              <w:t>月~20</w:t>
            </w:r>
            <w:r>
              <w:rPr>
                <w:rFonts w:hint="eastAsia" w:ascii="Times New Roman" w:hAnsi="Times New Roman" w:eastAsia="仿宋"/>
                <w:highlight w:val="none"/>
                <w:lang w:val="en-US" w:eastAsia="zh-CN"/>
              </w:rPr>
              <w:t>21</w:t>
            </w:r>
            <w:r>
              <w:rPr>
                <w:rFonts w:ascii="Times New Roman" w:hAnsi="Times New Roman" w:eastAsia="仿宋"/>
                <w:highlight w:val="none"/>
              </w:rPr>
              <w:t>年</w:t>
            </w:r>
            <w:r>
              <w:rPr>
                <w:rFonts w:hint="eastAsia" w:ascii="Times New Roman" w:hAnsi="Times New Roman" w:eastAsia="仿宋"/>
                <w:highlight w:val="none"/>
                <w:lang w:val="en-US" w:eastAsia="zh-CN"/>
              </w:rPr>
              <w:t>10</w:t>
            </w:r>
            <w:r>
              <w:rPr>
                <w:rFonts w:ascii="Times New Roman" w:hAnsi="Times New Roman" w:eastAsia="仿宋"/>
                <w:highlight w:val="none"/>
              </w:rPr>
              <w:t>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4" w:hRule="exact"/>
          <w:jc w:val="center"/>
        </w:trPr>
        <w:tc>
          <w:tcPr>
            <w:tcW w:w="2802" w:type="dxa"/>
            <w:vAlign w:val="center"/>
          </w:tcPr>
          <w:p>
            <w:pPr>
              <w:spacing w:line="400" w:lineRule="exact"/>
              <w:jc w:val="center"/>
              <w:rPr>
                <w:rFonts w:eastAsia="等线"/>
              </w:rPr>
            </w:pPr>
            <w:r>
              <w:rPr>
                <w:rFonts w:hint="eastAsia"/>
              </w:rPr>
              <w:t>水土保持方案编制单位</w:t>
            </w:r>
          </w:p>
        </w:tc>
        <w:tc>
          <w:tcPr>
            <w:tcW w:w="6484" w:type="dxa"/>
            <w:gridSpan w:val="3"/>
            <w:vAlign w:val="center"/>
          </w:tcPr>
          <w:p>
            <w:pPr>
              <w:ind w:firstLine="120" w:firstLineChars="50"/>
              <w:jc w:val="center"/>
              <w:rPr>
                <w:rFonts w:hint="default" w:ascii="Times New Roman" w:hAnsi="Times New Roman" w:eastAsia="仿宋"/>
              </w:rPr>
            </w:pPr>
            <w:r>
              <w:rPr>
                <w:rFonts w:hint="default" w:ascii="Times New Roman" w:hAnsi="Times New Roman" w:eastAsia="仿宋"/>
              </w:rPr>
              <w:t>中交第二公路勘察设计研究院有限公司</w:t>
            </w:r>
          </w:p>
          <w:p>
            <w:pPr>
              <w:ind w:firstLine="120" w:firstLineChars="50"/>
              <w:jc w:val="center"/>
              <w:rPr>
                <w:rFonts w:hint="default" w:ascii="Times New Roman" w:hAnsi="Times New Roman" w:eastAsia="仿宋"/>
                <w:lang w:val="en-US" w:eastAsia="zh-CN"/>
              </w:rPr>
            </w:pPr>
            <w:r>
              <w:rPr>
                <w:rFonts w:hint="eastAsia" w:ascii="Times New Roman" w:hAnsi="Times New Roman" w:eastAsia="仿宋"/>
                <w:lang w:val="en-US" w:eastAsia="zh-CN"/>
              </w:rPr>
              <w:t>重庆市水利电力建筑勘测设计研究院有限公司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1" w:hRule="exact"/>
          <w:jc w:val="center"/>
        </w:trPr>
        <w:tc>
          <w:tcPr>
            <w:tcW w:w="2802" w:type="dxa"/>
            <w:vAlign w:val="center"/>
          </w:tcPr>
          <w:p>
            <w:pPr>
              <w:spacing w:line="400" w:lineRule="exact"/>
              <w:jc w:val="center"/>
              <w:rPr>
                <w:rFonts w:eastAsia="等线"/>
              </w:rPr>
            </w:pPr>
            <w:r>
              <w:rPr>
                <w:rFonts w:hint="eastAsia"/>
              </w:rPr>
              <w:t>水土保持初步设计单位</w:t>
            </w:r>
          </w:p>
        </w:tc>
        <w:tc>
          <w:tcPr>
            <w:tcW w:w="6484" w:type="dxa"/>
            <w:gridSpan w:val="3"/>
            <w:vAlign w:val="center"/>
          </w:tcPr>
          <w:p>
            <w:pPr>
              <w:ind w:firstLine="120" w:firstLineChars="50"/>
              <w:jc w:val="center"/>
              <w:rPr>
                <w:rFonts w:hint="default" w:ascii="Times New Roman" w:hAnsi="Times New Roman" w:eastAsia="仿宋"/>
                <w:lang w:val="en-US" w:eastAsia="zh-CN"/>
              </w:rPr>
            </w:pPr>
            <w:r>
              <w:rPr>
                <w:rFonts w:hint="eastAsia" w:ascii="Times New Roman" w:hAnsi="Times New Roman" w:eastAsia="仿宋"/>
                <w:lang w:val="en-US" w:eastAsia="zh-CN"/>
              </w:rPr>
              <w:t>原重庆市交通规划勘测设计院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8" w:hRule="exact"/>
          <w:jc w:val="center"/>
        </w:trPr>
        <w:tc>
          <w:tcPr>
            <w:tcW w:w="2802" w:type="dxa"/>
            <w:vAlign w:val="center"/>
          </w:tcPr>
          <w:p>
            <w:pPr>
              <w:spacing w:line="400" w:lineRule="exact"/>
              <w:jc w:val="center"/>
              <w:rPr>
                <w:rFonts w:eastAsia="等线"/>
              </w:rPr>
            </w:pPr>
            <w:r>
              <w:rPr>
                <w:rFonts w:hint="eastAsia"/>
              </w:rPr>
              <w:t>水土保持监测单位</w:t>
            </w:r>
          </w:p>
        </w:tc>
        <w:tc>
          <w:tcPr>
            <w:tcW w:w="6484" w:type="dxa"/>
            <w:gridSpan w:val="3"/>
            <w:vAlign w:val="center"/>
          </w:tcPr>
          <w:p>
            <w:pPr>
              <w:ind w:firstLine="120" w:firstLineChars="50"/>
              <w:jc w:val="center"/>
              <w:rPr>
                <w:rFonts w:hint="default" w:ascii="仿宋" w:hAnsi="仿宋" w:eastAsia="仿宋"/>
                <w:lang w:val="en-US" w:eastAsia="zh-CN"/>
              </w:rPr>
            </w:pPr>
            <w:r>
              <w:rPr>
                <w:rFonts w:hint="eastAsia" w:ascii="仿宋" w:hAnsi="仿宋" w:eastAsia="仿宋"/>
                <w:lang w:val="en-US" w:eastAsia="zh-CN"/>
              </w:rPr>
              <w:t>重庆龙翰环保工程有限公司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exact"/>
          <w:jc w:val="center"/>
        </w:trPr>
        <w:tc>
          <w:tcPr>
            <w:tcW w:w="2802" w:type="dxa"/>
            <w:vAlign w:val="center"/>
          </w:tcPr>
          <w:p>
            <w:pPr>
              <w:spacing w:line="400" w:lineRule="exact"/>
              <w:jc w:val="center"/>
              <w:rPr>
                <w:rFonts w:eastAsia="等线"/>
              </w:rPr>
            </w:pPr>
            <w:r>
              <w:rPr>
                <w:rFonts w:hint="eastAsia"/>
              </w:rPr>
              <w:t>水土保持施工单位</w:t>
            </w:r>
          </w:p>
        </w:tc>
        <w:tc>
          <w:tcPr>
            <w:tcW w:w="6484" w:type="dxa"/>
            <w:gridSpan w:val="3"/>
            <w:vAlign w:val="center"/>
          </w:tcPr>
          <w:p>
            <w:pPr>
              <w:ind w:firstLine="120" w:firstLineChars="50"/>
              <w:jc w:val="center"/>
              <w:rPr>
                <w:rFonts w:hint="eastAsia" w:ascii="仿宋" w:hAnsi="仿宋" w:eastAsia="仿宋"/>
                <w:lang w:eastAsia="zh-CN"/>
              </w:rPr>
            </w:pPr>
            <w:r>
              <w:rPr>
                <w:rFonts w:hint="eastAsia" w:ascii="仿宋" w:hAnsi="仿宋" w:eastAsia="仿宋"/>
                <w:lang w:eastAsia="zh-CN"/>
              </w:rPr>
              <w:t>中铁十六局集团有限公司</w:t>
            </w:r>
          </w:p>
          <w:p>
            <w:pPr>
              <w:ind w:firstLine="120" w:firstLineChars="50"/>
              <w:jc w:val="center"/>
              <w:rPr>
                <w:rFonts w:hint="eastAsia" w:ascii="仿宋" w:hAnsi="仿宋" w:eastAsia="仿宋"/>
                <w:lang w:eastAsia="zh-CN"/>
              </w:rPr>
            </w:pPr>
            <w:r>
              <w:rPr>
                <w:rFonts w:hint="default" w:ascii="仿宋" w:hAnsi="仿宋" w:eastAsia="仿宋"/>
                <w:lang w:eastAsia="zh-CN"/>
              </w:rPr>
              <w:t>中铁二十局集团有限公司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0" w:hRule="exact"/>
          <w:jc w:val="center"/>
        </w:trPr>
        <w:tc>
          <w:tcPr>
            <w:tcW w:w="2802" w:type="dxa"/>
            <w:vAlign w:val="center"/>
          </w:tcPr>
          <w:p>
            <w:pPr>
              <w:spacing w:line="400" w:lineRule="exact"/>
              <w:jc w:val="center"/>
              <w:rPr>
                <w:rFonts w:eastAsia="等线"/>
              </w:rPr>
            </w:pPr>
            <w:r>
              <w:rPr>
                <w:rFonts w:hint="eastAsia"/>
              </w:rPr>
              <w:t>水土保持监理单位</w:t>
            </w:r>
          </w:p>
        </w:tc>
        <w:tc>
          <w:tcPr>
            <w:tcW w:w="6484" w:type="dxa"/>
            <w:gridSpan w:val="3"/>
            <w:vAlign w:val="center"/>
          </w:tcPr>
          <w:p>
            <w:pPr>
              <w:ind w:firstLine="120" w:firstLineChars="50"/>
              <w:jc w:val="center"/>
              <w:rPr>
                <w:rFonts w:hint="eastAsia" w:ascii="仿宋" w:hAnsi="仿宋" w:eastAsia="仿宋"/>
                <w:lang w:eastAsia="zh-CN"/>
              </w:rPr>
            </w:pPr>
            <w:r>
              <w:rPr>
                <w:rFonts w:hint="eastAsia" w:ascii="仿宋" w:hAnsi="仿宋" w:eastAsia="仿宋"/>
                <w:lang w:eastAsia="zh-CN"/>
              </w:rPr>
              <w:t>北京中港路通工程管理</w:t>
            </w:r>
            <w:r>
              <w:rPr>
                <w:rFonts w:hint="eastAsia" w:ascii="仿宋" w:hAnsi="仿宋" w:eastAsia="仿宋"/>
                <w:lang w:val="en-US" w:eastAsia="zh-CN"/>
              </w:rPr>
              <w:t>有限</w:t>
            </w:r>
            <w:r>
              <w:rPr>
                <w:rFonts w:hint="eastAsia" w:ascii="仿宋" w:hAnsi="仿宋" w:eastAsia="仿宋"/>
                <w:lang w:eastAsia="zh-CN"/>
              </w:rPr>
              <w:t>公司</w:t>
            </w:r>
          </w:p>
          <w:p>
            <w:pPr>
              <w:ind w:firstLine="120" w:firstLineChars="50"/>
              <w:jc w:val="center"/>
              <w:rPr>
                <w:rFonts w:hint="eastAsia" w:ascii="仿宋" w:hAnsi="仿宋" w:eastAsia="仿宋"/>
                <w:lang w:eastAsia="zh-CN"/>
              </w:rPr>
            </w:pPr>
            <w:r>
              <w:rPr>
                <w:rFonts w:hint="eastAsia" w:ascii="仿宋" w:hAnsi="仿宋" w:eastAsia="仿宋"/>
                <w:lang w:eastAsia="zh-CN"/>
              </w:rPr>
              <w:t>云南</w:t>
            </w:r>
            <w:r>
              <w:rPr>
                <w:rFonts w:hint="eastAsia" w:ascii="仿宋" w:hAnsi="仿宋" w:eastAsia="仿宋"/>
                <w:lang w:val="en-US" w:eastAsia="zh-CN"/>
              </w:rPr>
              <w:t>陆</w:t>
            </w:r>
            <w:r>
              <w:rPr>
                <w:rFonts w:hint="eastAsia" w:ascii="仿宋" w:hAnsi="仿宋" w:eastAsia="仿宋"/>
                <w:lang w:eastAsia="zh-CN"/>
              </w:rPr>
              <w:t>通建设监理咨询有限公司</w:t>
            </w:r>
          </w:p>
          <w:p>
            <w:pPr>
              <w:ind w:firstLine="120" w:firstLineChars="50"/>
              <w:jc w:val="center"/>
              <w:rPr>
                <w:rFonts w:hint="eastAsia" w:ascii="仿宋" w:hAnsi="仿宋" w:eastAsia="仿宋"/>
                <w:lang w:eastAsia="zh-CN"/>
              </w:rPr>
            </w:pPr>
            <w:r>
              <w:rPr>
                <w:rFonts w:hint="eastAsia" w:ascii="仿宋" w:hAnsi="仿宋" w:eastAsia="仿宋"/>
                <w:lang w:eastAsia="zh-CN"/>
              </w:rPr>
              <w:t>北京中通公路</w:t>
            </w:r>
            <w:r>
              <w:rPr>
                <w:rFonts w:hint="eastAsia" w:ascii="仿宋" w:hAnsi="仿宋" w:eastAsia="仿宋"/>
                <w:lang w:val="en-US" w:eastAsia="zh-CN"/>
              </w:rPr>
              <w:t>桥梁</w:t>
            </w:r>
            <w:r>
              <w:rPr>
                <w:rFonts w:hint="eastAsia" w:ascii="仿宋" w:hAnsi="仿宋" w:eastAsia="仿宋"/>
                <w:lang w:eastAsia="zh-CN"/>
              </w:rPr>
              <w:t>工程咨询发展有限公司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0" w:hRule="exact"/>
          <w:jc w:val="center"/>
        </w:trPr>
        <w:tc>
          <w:tcPr>
            <w:tcW w:w="2802" w:type="dxa"/>
            <w:vAlign w:val="center"/>
          </w:tcPr>
          <w:p>
            <w:pPr>
              <w:spacing w:line="400" w:lineRule="exact"/>
              <w:jc w:val="center"/>
              <w:rPr>
                <w:rFonts w:eastAsia="等线"/>
              </w:rPr>
            </w:pPr>
            <w:r>
              <w:rPr>
                <w:rFonts w:hint="eastAsia"/>
              </w:rPr>
              <w:t>水土保持设施验收</w:t>
            </w:r>
          </w:p>
          <w:p>
            <w:pPr>
              <w:spacing w:line="400" w:lineRule="exact"/>
              <w:jc w:val="center"/>
              <w:rPr>
                <w:rFonts w:eastAsia="等线"/>
              </w:rPr>
            </w:pPr>
            <w:r>
              <w:rPr>
                <w:rFonts w:hint="eastAsia"/>
              </w:rPr>
              <w:t>报告编制单位</w:t>
            </w:r>
          </w:p>
        </w:tc>
        <w:tc>
          <w:tcPr>
            <w:tcW w:w="6484" w:type="dxa"/>
            <w:gridSpan w:val="3"/>
            <w:vAlign w:val="center"/>
          </w:tcPr>
          <w:p>
            <w:pPr>
              <w:ind w:firstLine="120" w:firstLineChars="50"/>
              <w:jc w:val="center"/>
              <w:rPr>
                <w:rFonts w:ascii="仿宋" w:hAnsi="仿宋" w:eastAsia="仿宋"/>
              </w:rPr>
            </w:pPr>
            <w:r>
              <w:rPr>
                <w:rFonts w:hint="eastAsia" w:ascii="仿宋" w:hAnsi="仿宋" w:eastAsia="仿宋"/>
                <w:lang w:eastAsia="zh-CN"/>
              </w:rPr>
              <w:t>重庆鑫力源工程咨询有限公司</w:t>
            </w:r>
          </w:p>
        </w:tc>
      </w:tr>
    </w:tbl>
    <w:p>
      <w:pPr>
        <w:ind w:firstLine="615"/>
        <w:rPr>
          <w:rFonts w:ascii="Times New Roman" w:hAnsi="Times New Roman" w:eastAsia="黑体"/>
          <w:sz w:val="30"/>
          <w:szCs w:val="30"/>
        </w:rPr>
      </w:pPr>
    </w:p>
    <w:p>
      <w:pPr>
        <w:ind w:firstLine="615"/>
        <w:rPr>
          <w:rFonts w:ascii="Times New Roman" w:hAnsi="Times New Roman" w:eastAsia="黑体"/>
          <w:sz w:val="30"/>
          <w:szCs w:val="30"/>
        </w:rPr>
      </w:pPr>
    </w:p>
    <w:p>
      <w:pPr>
        <w:ind w:firstLine="600" w:firstLineChars="200"/>
        <w:rPr>
          <w:rFonts w:ascii="Times New Roman" w:hAnsi="Times New Roman"/>
        </w:rPr>
      </w:pPr>
      <w:r>
        <w:rPr>
          <w:rFonts w:hint="eastAsia" w:ascii="Times New Roman" w:hAnsi="Times New Roman" w:eastAsia="黑体"/>
          <w:sz w:val="30"/>
          <w:szCs w:val="30"/>
        </w:rPr>
        <w:t>二、验收意见</w:t>
      </w:r>
    </w:p>
    <w:tbl>
      <w:tblPr>
        <w:tblStyle w:val="1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4" w:hRule="atLeast"/>
          <w:jc w:val="center"/>
        </w:trPr>
        <w:tc>
          <w:tcPr>
            <w:tcW w:w="8838" w:type="dxa"/>
          </w:tcPr>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highlight w:val="none"/>
              </w:rPr>
              <w:t>根据</w:t>
            </w:r>
            <w:bookmarkStart w:id="0" w:name="OLE_LINK63"/>
            <w:bookmarkStart w:id="1" w:name="OLE_LINK62"/>
            <w:bookmarkStart w:id="2" w:name="OLE_LINK64"/>
            <w:bookmarkStart w:id="3" w:name="OLE_LINK65"/>
            <w:r>
              <w:rPr>
                <w:rFonts w:ascii="Times New Roman" w:hAnsi="Times New Roman" w:eastAsia="仿宋"/>
                <w:sz w:val="30"/>
                <w:szCs w:val="30"/>
                <w:highlight w:val="none"/>
              </w:rPr>
              <w:t>《水利部关于加强事中事后监管规范生产建设项目水土保持设施自主验收的通知》（水保〔2017〕365 号</w:t>
            </w:r>
            <w:bookmarkEnd w:id="0"/>
            <w:bookmarkEnd w:id="1"/>
            <w:r>
              <w:rPr>
                <w:rFonts w:ascii="Times New Roman" w:hAnsi="Times New Roman" w:eastAsia="仿宋"/>
                <w:sz w:val="30"/>
                <w:szCs w:val="30"/>
                <w:highlight w:val="none"/>
              </w:rPr>
              <w:t>）</w:t>
            </w:r>
            <w:bookmarkEnd w:id="2"/>
            <w:bookmarkEnd w:id="3"/>
            <w:r>
              <w:rPr>
                <w:rFonts w:hint="eastAsia" w:ascii="Times New Roman" w:hAnsi="Times New Roman" w:eastAsia="仿宋"/>
                <w:sz w:val="30"/>
                <w:szCs w:val="30"/>
                <w:highlight w:val="none"/>
              </w:rPr>
              <w:t>、</w:t>
            </w:r>
            <w:r>
              <w:rPr>
                <w:rFonts w:ascii="Times New Roman" w:hAnsi="Times New Roman" w:eastAsia="仿宋"/>
                <w:bCs/>
                <w:sz w:val="30"/>
                <w:szCs w:val="30"/>
                <w:highlight w:val="none"/>
              </w:rPr>
              <w:t>《水利部关于进一步深化“放管服”改革 全面加强水土保持监管的意见》（水保〔2019〕160号）等相关文件规定</w:t>
            </w:r>
            <w:r>
              <w:rPr>
                <w:rFonts w:ascii="Times New Roman" w:hAnsi="Times New Roman" w:eastAsia="仿宋"/>
                <w:sz w:val="30"/>
                <w:szCs w:val="30"/>
                <w:highlight w:val="none"/>
              </w:rPr>
              <w:t>，20</w:t>
            </w:r>
            <w:r>
              <w:rPr>
                <w:rFonts w:hint="eastAsia" w:ascii="Times New Roman" w:hAnsi="Times New Roman" w:eastAsia="仿宋"/>
                <w:sz w:val="30"/>
                <w:szCs w:val="30"/>
                <w:highlight w:val="none"/>
              </w:rPr>
              <w:t>2</w:t>
            </w:r>
            <w:r>
              <w:rPr>
                <w:rFonts w:hint="eastAsia" w:ascii="Times New Roman" w:hAnsi="Times New Roman" w:eastAsia="仿宋"/>
                <w:sz w:val="30"/>
                <w:szCs w:val="30"/>
                <w:highlight w:val="none"/>
                <w:lang w:val="en-US" w:eastAsia="zh-CN"/>
              </w:rPr>
              <w:t>3</w:t>
            </w:r>
            <w:r>
              <w:rPr>
                <w:rFonts w:ascii="Times New Roman" w:hAnsi="Times New Roman" w:eastAsia="仿宋"/>
                <w:sz w:val="30"/>
                <w:szCs w:val="30"/>
                <w:highlight w:val="none"/>
              </w:rPr>
              <w:t>年</w:t>
            </w:r>
            <w:r>
              <w:rPr>
                <w:rFonts w:hint="eastAsia" w:ascii="Times New Roman" w:hAnsi="Times New Roman" w:eastAsia="仿宋"/>
                <w:sz w:val="30"/>
                <w:szCs w:val="30"/>
                <w:highlight w:val="none"/>
                <w:lang w:val="en-US" w:eastAsia="zh-CN"/>
              </w:rPr>
              <w:t>11</w:t>
            </w:r>
            <w:r>
              <w:rPr>
                <w:rFonts w:ascii="Times New Roman" w:hAnsi="Times New Roman" w:eastAsia="仿宋"/>
                <w:sz w:val="30"/>
                <w:szCs w:val="30"/>
                <w:highlight w:val="none"/>
              </w:rPr>
              <w:t>月</w:t>
            </w:r>
            <w:r>
              <w:rPr>
                <w:rFonts w:hint="eastAsia" w:ascii="Times New Roman" w:hAnsi="Times New Roman" w:eastAsia="仿宋"/>
                <w:sz w:val="30"/>
                <w:szCs w:val="30"/>
                <w:highlight w:val="none"/>
                <w:lang w:val="en-US" w:eastAsia="zh-CN"/>
              </w:rPr>
              <w:t>9</w:t>
            </w:r>
            <w:r>
              <w:rPr>
                <w:rFonts w:ascii="Times New Roman" w:hAnsi="Times New Roman" w:eastAsia="仿宋"/>
                <w:sz w:val="30"/>
                <w:szCs w:val="30"/>
                <w:highlight w:val="none"/>
              </w:rPr>
              <w:t>日，</w:t>
            </w:r>
            <w:r>
              <w:rPr>
                <w:rFonts w:hint="eastAsia" w:ascii="Times New Roman" w:hAnsi="Times New Roman" w:eastAsia="仿宋"/>
                <w:bCs/>
                <w:sz w:val="30"/>
                <w:szCs w:val="30"/>
                <w:highlight w:val="none"/>
                <w:lang w:eastAsia="zh-CN"/>
              </w:rPr>
              <w:t>重庆铁发建新高速公路有限公司</w:t>
            </w:r>
            <w:r>
              <w:rPr>
                <w:rFonts w:hint="eastAsia" w:ascii="Times New Roman" w:hAnsi="Times New Roman" w:eastAsia="仿宋"/>
                <w:bCs/>
                <w:sz w:val="30"/>
                <w:szCs w:val="30"/>
                <w:highlight w:val="none"/>
              </w:rPr>
              <w:t>在</w:t>
            </w:r>
            <w:r>
              <w:rPr>
                <w:rFonts w:hint="eastAsia" w:ascii="Times New Roman" w:hAnsi="Times New Roman" w:eastAsia="仿宋"/>
                <w:bCs/>
                <w:sz w:val="30"/>
                <w:szCs w:val="30"/>
                <w:highlight w:val="none"/>
                <w:lang w:val="en-US" w:eastAsia="zh-CN"/>
              </w:rPr>
              <w:t>重庆</w:t>
            </w:r>
            <w:r>
              <w:rPr>
                <w:rFonts w:ascii="Times New Roman" w:hAnsi="Times New Roman" w:eastAsia="仿宋"/>
                <w:sz w:val="30"/>
                <w:szCs w:val="30"/>
                <w:highlight w:val="none"/>
              </w:rPr>
              <w:t>组织召开了</w:t>
            </w:r>
            <w:r>
              <w:rPr>
                <w:rFonts w:hint="eastAsia" w:ascii="Times New Roman" w:hAnsi="Times New Roman" w:eastAsia="仿宋"/>
                <w:sz w:val="30"/>
                <w:szCs w:val="30"/>
                <w:highlight w:val="none"/>
                <w:lang w:eastAsia="zh-CN"/>
              </w:rPr>
              <w:t>重庆梁平至黔江高速公路</w:t>
            </w:r>
            <w:r>
              <w:rPr>
                <w:rFonts w:hint="eastAsia" w:ascii="Times New Roman" w:hAnsi="Times New Roman" w:eastAsia="仿宋"/>
                <w:sz w:val="30"/>
                <w:szCs w:val="30"/>
                <w:lang w:eastAsia="zh-CN"/>
              </w:rPr>
              <w:t>（石柱至黔江段）</w:t>
            </w:r>
            <w:r>
              <w:rPr>
                <w:rFonts w:ascii="Times New Roman" w:hAnsi="Times New Roman" w:eastAsia="仿宋"/>
                <w:sz w:val="30"/>
                <w:szCs w:val="30"/>
              </w:rPr>
              <w:t>水土保持设施自主验收会议</w:t>
            </w:r>
            <w:r>
              <w:rPr>
                <w:rFonts w:ascii="Times New Roman" w:hAnsi="Times New Roman" w:eastAsia="仿宋"/>
                <w:sz w:val="30"/>
                <w:szCs w:val="30"/>
                <w:highlight w:val="none"/>
              </w:rPr>
              <w:t>。参加会议的有</w:t>
            </w:r>
            <w:r>
              <w:rPr>
                <w:rFonts w:hint="eastAsia" w:ascii="Times New Roman" w:hAnsi="Times New Roman" w:eastAsia="仿宋"/>
                <w:sz w:val="30"/>
                <w:szCs w:val="30"/>
                <w:highlight w:val="none"/>
                <w:lang w:eastAsia="zh-CN"/>
              </w:rPr>
              <w:t>重庆铁发建新高速公路有限公司</w:t>
            </w:r>
            <w:r>
              <w:rPr>
                <w:rFonts w:hint="eastAsia" w:ascii="Times New Roman" w:hAnsi="Times New Roman" w:eastAsia="仿宋"/>
                <w:sz w:val="30"/>
                <w:szCs w:val="30"/>
                <w:highlight w:val="none"/>
              </w:rPr>
              <w:t>、中交第二公路勘察设计研究院有限公司</w:t>
            </w:r>
            <w:r>
              <w:rPr>
                <w:rFonts w:hint="eastAsia" w:ascii="Times New Roman" w:hAnsi="Times New Roman" w:eastAsia="仿宋"/>
                <w:bCs/>
                <w:sz w:val="30"/>
                <w:szCs w:val="30"/>
                <w:highlight w:val="none"/>
              </w:rPr>
              <w:t>、</w:t>
            </w:r>
            <w:r>
              <w:rPr>
                <w:rFonts w:hint="eastAsia" w:ascii="Times New Roman" w:hAnsi="Times New Roman" w:eastAsia="仿宋"/>
                <w:bCs/>
                <w:sz w:val="30"/>
                <w:szCs w:val="30"/>
                <w:highlight w:val="none"/>
                <w:lang w:val="en-US" w:eastAsia="zh-CN"/>
              </w:rPr>
              <w:t>原重庆市交通规划勘测设计院、中铁十六局集团有限公司、中铁二十局集团有限公司、北京中港路通工程管理有限公司、云南路通建设监理咨询有限公司、北京中通公路桥梁工程咨询发展有限公司、重庆市水利电力建筑勘测设计研究院有限公司、重庆龙翰环保工程有限公司、重庆鑫力源工程咨询有限公司</w:t>
            </w:r>
            <w:r>
              <w:rPr>
                <w:rFonts w:ascii="Times New Roman" w:hAnsi="Times New Roman" w:eastAsia="仿宋"/>
                <w:sz w:val="30"/>
                <w:szCs w:val="30"/>
                <w:highlight w:val="none"/>
              </w:rPr>
              <w:t>等代表</w:t>
            </w:r>
            <w:r>
              <w:rPr>
                <w:rFonts w:hint="eastAsia" w:ascii="Times New Roman" w:hAnsi="Times New Roman" w:eastAsia="仿宋"/>
                <w:sz w:val="30"/>
                <w:szCs w:val="30"/>
                <w:highlight w:val="none"/>
                <w:lang w:val="en-US" w:eastAsia="zh-CN"/>
              </w:rPr>
              <w:t>及特邀专家</w:t>
            </w:r>
            <w:r>
              <w:rPr>
                <w:rFonts w:ascii="Times New Roman" w:hAnsi="Times New Roman" w:eastAsia="仿宋"/>
                <w:sz w:val="30"/>
                <w:szCs w:val="30"/>
                <w:highlight w:val="none"/>
              </w:rPr>
              <w:t>共</w:t>
            </w:r>
            <w:r>
              <w:rPr>
                <w:rFonts w:hint="eastAsia" w:ascii="Times New Roman" w:hAnsi="Times New Roman" w:eastAsia="仿宋"/>
                <w:sz w:val="30"/>
                <w:szCs w:val="30"/>
                <w:highlight w:val="none"/>
                <w:lang w:val="en-US" w:eastAsia="zh-CN"/>
              </w:rPr>
              <w:t>14</w:t>
            </w:r>
            <w:r>
              <w:rPr>
                <w:rFonts w:ascii="Times New Roman" w:hAnsi="Times New Roman" w:eastAsia="仿宋"/>
                <w:sz w:val="30"/>
                <w:szCs w:val="30"/>
                <w:highlight w:val="none"/>
              </w:rPr>
              <w:t>人，会议成立了验收组（名单附后）。</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验收组成员</w:t>
            </w:r>
            <w:r>
              <w:rPr>
                <w:rFonts w:hint="eastAsia" w:ascii="Times New Roman" w:hAnsi="Times New Roman" w:eastAsia="仿宋"/>
                <w:sz w:val="30"/>
                <w:szCs w:val="30"/>
                <w:lang w:val="en-US" w:eastAsia="zh-CN"/>
              </w:rPr>
              <w:t>听取了各参建单位和</w:t>
            </w:r>
            <w:r>
              <w:rPr>
                <w:rFonts w:ascii="Times New Roman" w:hAnsi="Times New Roman" w:eastAsia="仿宋"/>
                <w:sz w:val="30"/>
                <w:szCs w:val="30"/>
              </w:rPr>
              <w:t>技术服务单位</w:t>
            </w:r>
            <w:r>
              <w:rPr>
                <w:rFonts w:hint="eastAsia" w:ascii="Times New Roman" w:hAnsi="Times New Roman" w:eastAsia="仿宋"/>
                <w:sz w:val="30"/>
                <w:szCs w:val="30"/>
                <w:lang w:val="en-US" w:eastAsia="zh-CN"/>
              </w:rPr>
              <w:t>关于</w:t>
            </w:r>
            <w:r>
              <w:rPr>
                <w:rFonts w:ascii="Times New Roman" w:hAnsi="Times New Roman" w:eastAsia="仿宋"/>
                <w:sz w:val="30"/>
                <w:szCs w:val="30"/>
              </w:rPr>
              <w:t>工程建设及水土保持工作</w:t>
            </w:r>
            <w:r>
              <w:rPr>
                <w:rFonts w:hint="eastAsia" w:ascii="Times New Roman" w:hAnsi="Times New Roman" w:eastAsia="仿宋"/>
                <w:sz w:val="30"/>
                <w:szCs w:val="30"/>
                <w:lang w:eastAsia="zh-CN"/>
              </w:rPr>
              <w:t>的</w:t>
            </w:r>
            <w:r>
              <w:rPr>
                <w:rFonts w:ascii="Times New Roman" w:hAnsi="Times New Roman" w:eastAsia="仿宋"/>
                <w:sz w:val="30"/>
                <w:szCs w:val="30"/>
              </w:rPr>
              <w:t>情况</w:t>
            </w:r>
            <w:r>
              <w:rPr>
                <w:rFonts w:hint="eastAsia" w:ascii="Times New Roman" w:hAnsi="Times New Roman" w:eastAsia="仿宋"/>
                <w:sz w:val="30"/>
                <w:szCs w:val="30"/>
                <w:lang w:val="en-US" w:eastAsia="zh-CN"/>
              </w:rPr>
              <w:t>汇报</w:t>
            </w:r>
            <w:r>
              <w:rPr>
                <w:rFonts w:ascii="Times New Roman" w:hAnsi="Times New Roman" w:eastAsia="仿宋"/>
                <w:sz w:val="30"/>
                <w:szCs w:val="30"/>
              </w:rPr>
              <w:t>，经过验收组讨论形成验收意见。</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（一）项目概况</w:t>
            </w:r>
          </w:p>
          <w:p>
            <w:pPr>
              <w:spacing w:line="500" w:lineRule="exact"/>
              <w:ind w:firstLine="594" w:firstLineChars="198"/>
              <w:rPr>
                <w:rFonts w:hint="eastAsia" w:ascii="Times New Roman" w:hAnsi="Times New Roman" w:eastAsia="仿宋"/>
                <w:bCs/>
                <w:sz w:val="30"/>
                <w:szCs w:val="30"/>
              </w:rPr>
            </w:pPr>
            <w:bookmarkStart w:id="4" w:name="_Hlk17208702"/>
            <w:r>
              <w:rPr>
                <w:rFonts w:hint="eastAsia" w:ascii="Times New Roman" w:hAnsi="Times New Roman" w:eastAsia="仿宋"/>
                <w:bCs/>
                <w:sz w:val="30"/>
                <w:szCs w:val="30"/>
                <w:lang w:eastAsia="zh-CN"/>
              </w:rPr>
              <w:t>重庆梁平至黔江高速公路（石柱至黔江段）位于重庆市石柱县、彭水县和黔江区境内，线路起于垫利高速（G50）石柱境内的三店，在原三店立交与三店服务区之间与垫利高速相接，经石柱县平桥村、三汇村、龙潭乡、马武镇，彭水县三义乡、莲湖镇，黔江区黑溪镇、石会镇，终点在册山与渝湘高速公路相接。路线全长83.18km，其中石柱县境内40.267km（K0+000—K40+110），彭水县境内15.490km（K40+110—K55+640），黔江区境内27.424km（K55+640—K83+064），全线整体呈南东—北西向布设，</w:t>
            </w:r>
            <w:r>
              <w:rPr>
                <w:rFonts w:hint="eastAsia" w:ascii="Times New Roman" w:hAnsi="Times New Roman" w:eastAsia="仿宋"/>
                <w:bCs/>
                <w:sz w:val="30"/>
                <w:szCs w:val="30"/>
                <w:lang w:val="en-US" w:eastAsia="zh-CN"/>
              </w:rPr>
              <w:t>双向四车道，整体式路基路基宽度为24.50m，分离式路基路基宽度为12.75m，设计车速</w:t>
            </w:r>
            <w:r>
              <w:rPr>
                <w:rFonts w:hint="eastAsia" w:ascii="Times New Roman" w:hAnsi="Times New Roman" w:eastAsia="仿宋"/>
                <w:bCs/>
                <w:sz w:val="30"/>
                <w:szCs w:val="30"/>
                <w:lang w:eastAsia="zh-CN"/>
              </w:rPr>
              <w:t>80km/h。</w:t>
            </w:r>
          </w:p>
          <w:bookmarkEnd w:id="4"/>
          <w:p>
            <w:pPr>
              <w:spacing w:line="500" w:lineRule="exact"/>
              <w:ind w:firstLine="594" w:firstLineChars="198"/>
              <w:rPr>
                <w:rFonts w:ascii="Times New Roman" w:hAnsi="Times New Roman" w:eastAsia="仿宋"/>
                <w:b/>
                <w:bCs/>
                <w:sz w:val="30"/>
                <w:szCs w:val="30"/>
                <w:highlight w:val="none"/>
              </w:rPr>
            </w:pPr>
            <w:r>
              <w:rPr>
                <w:rFonts w:ascii="Times New Roman" w:hAnsi="Times New Roman" w:eastAsia="仿宋"/>
                <w:sz w:val="30"/>
                <w:szCs w:val="30"/>
              </w:rPr>
              <w:t>项目总投资</w:t>
            </w:r>
            <w:r>
              <w:rPr>
                <w:rFonts w:hint="default" w:ascii="Times New Roman" w:hAnsi="Times New Roman" w:eastAsia="仿宋"/>
                <w:sz w:val="30"/>
                <w:szCs w:val="30"/>
                <w:lang w:eastAsia="zh-CN"/>
              </w:rPr>
              <w:t>122.56</w:t>
            </w:r>
            <w:r>
              <w:rPr>
                <w:rFonts w:hint="default" w:ascii="Times New Roman" w:hAnsi="Times New Roman" w:eastAsia="仿宋"/>
                <w:sz w:val="30"/>
                <w:szCs w:val="30"/>
              </w:rPr>
              <w:t>亿元</w:t>
            </w:r>
            <w:r>
              <w:rPr>
                <w:rFonts w:ascii="Times New Roman" w:hAnsi="Times New Roman" w:eastAsia="仿宋"/>
                <w:sz w:val="30"/>
                <w:szCs w:val="30"/>
              </w:rPr>
              <w:t>，其中土建</w:t>
            </w:r>
            <w:r>
              <w:rPr>
                <w:rFonts w:hint="eastAsia" w:ascii="Times New Roman" w:hAnsi="Times New Roman" w:eastAsia="仿宋"/>
                <w:sz w:val="30"/>
                <w:szCs w:val="30"/>
              </w:rPr>
              <w:t>投资</w:t>
            </w:r>
            <w:r>
              <w:rPr>
                <w:rFonts w:hint="eastAsia" w:ascii="Times New Roman" w:hAnsi="Times New Roman" w:eastAsia="仿宋"/>
                <w:sz w:val="30"/>
                <w:szCs w:val="30"/>
                <w:lang w:eastAsia="zh-CN"/>
              </w:rPr>
              <w:t>93.97</w:t>
            </w:r>
            <w:r>
              <w:rPr>
                <w:rFonts w:hint="eastAsia" w:ascii="Times New Roman" w:hAnsi="Times New Roman" w:eastAsia="仿宋"/>
                <w:sz w:val="30"/>
                <w:szCs w:val="30"/>
              </w:rPr>
              <w:t>亿元</w:t>
            </w:r>
            <w:r>
              <w:rPr>
                <w:rFonts w:ascii="Times New Roman" w:hAnsi="Times New Roman" w:eastAsia="仿宋"/>
                <w:sz w:val="30"/>
                <w:szCs w:val="30"/>
              </w:rPr>
              <w:t>。项目</w:t>
            </w:r>
            <w:r>
              <w:rPr>
                <w:rFonts w:hint="eastAsia" w:ascii="Times New Roman" w:hAnsi="Times New Roman" w:eastAsia="仿宋"/>
                <w:sz w:val="30"/>
                <w:szCs w:val="30"/>
              </w:rPr>
              <w:t>于</w:t>
            </w:r>
            <w:r>
              <w:rPr>
                <w:rFonts w:ascii="Times New Roman" w:hAnsi="Times New Roman" w:eastAsia="仿宋"/>
                <w:sz w:val="30"/>
                <w:szCs w:val="30"/>
              </w:rPr>
              <w:t>201</w:t>
            </w:r>
            <w:r>
              <w:rPr>
                <w:rFonts w:hint="eastAsia" w:ascii="Times New Roman" w:hAnsi="Times New Roman" w:eastAsia="仿宋"/>
                <w:sz w:val="30"/>
                <w:szCs w:val="30"/>
              </w:rPr>
              <w:t>7</w:t>
            </w:r>
            <w:r>
              <w:rPr>
                <w:rFonts w:ascii="Times New Roman" w:hAnsi="Times New Roman" w:eastAsia="仿宋"/>
                <w:sz w:val="30"/>
                <w:szCs w:val="30"/>
              </w:rPr>
              <w:t>年</w:t>
            </w:r>
            <w:r>
              <w:rPr>
                <w:rFonts w:hint="eastAsia" w:ascii="Times New Roman" w:hAnsi="Times New Roman" w:eastAsia="仿宋"/>
                <w:sz w:val="30"/>
                <w:szCs w:val="30"/>
                <w:lang w:val="en-US" w:eastAsia="zh-CN"/>
              </w:rPr>
              <w:t>2</w:t>
            </w:r>
            <w:r>
              <w:rPr>
                <w:rFonts w:ascii="Times New Roman" w:hAnsi="Times New Roman" w:eastAsia="仿宋"/>
                <w:sz w:val="30"/>
                <w:szCs w:val="30"/>
              </w:rPr>
              <w:t>月</w:t>
            </w:r>
            <w:r>
              <w:rPr>
                <w:rFonts w:hint="eastAsia" w:ascii="Times New Roman" w:hAnsi="Times New Roman" w:eastAsia="仿宋"/>
                <w:sz w:val="30"/>
                <w:szCs w:val="30"/>
              </w:rPr>
              <w:t>开工</w:t>
            </w:r>
            <w:r>
              <w:rPr>
                <w:rFonts w:ascii="Times New Roman" w:hAnsi="Times New Roman" w:eastAsia="仿宋"/>
                <w:sz w:val="30"/>
                <w:szCs w:val="30"/>
              </w:rPr>
              <w:t>，</w:t>
            </w:r>
            <w:r>
              <w:rPr>
                <w:rFonts w:hint="eastAsia" w:ascii="Times New Roman" w:hAnsi="Times New Roman" w:eastAsia="仿宋"/>
                <w:sz w:val="30"/>
                <w:szCs w:val="30"/>
                <w:lang w:val="en-US" w:eastAsia="zh-CN"/>
              </w:rPr>
              <w:t>2021年10月完工后</w:t>
            </w:r>
            <w:r>
              <w:rPr>
                <w:rFonts w:hint="eastAsia" w:ascii="Times New Roman" w:hAnsi="Times New Roman" w:eastAsia="仿宋"/>
                <w:sz w:val="30"/>
                <w:szCs w:val="30"/>
                <w:highlight w:val="none"/>
                <w:lang w:val="en-US" w:eastAsia="zh-CN"/>
              </w:rPr>
              <w:t>全线试运行通车</w:t>
            </w:r>
            <w:r>
              <w:rPr>
                <w:rFonts w:ascii="Times New Roman" w:hAnsi="Times New Roman" w:eastAsia="仿宋"/>
                <w:sz w:val="30"/>
                <w:szCs w:val="30"/>
                <w:highlight w:val="none"/>
              </w:rPr>
              <w:t>。</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（二）水土保持方案批复情况</w:t>
            </w:r>
          </w:p>
          <w:p>
            <w:pPr>
              <w:spacing w:line="500" w:lineRule="exact"/>
              <w:ind w:firstLine="594" w:firstLineChars="198"/>
              <w:rPr>
                <w:rFonts w:hint="eastAsia" w:ascii="Times New Roman" w:hAnsi="Times New Roman" w:eastAsia="仿宋"/>
                <w:bCs/>
                <w:sz w:val="30"/>
                <w:szCs w:val="30"/>
                <w:lang w:eastAsia="zh-CN"/>
              </w:rPr>
            </w:pPr>
            <w:r>
              <w:rPr>
                <w:rFonts w:hint="default" w:ascii="Times New Roman" w:hAnsi="Times New Roman" w:eastAsia="仿宋"/>
                <w:bCs/>
                <w:sz w:val="30"/>
                <w:szCs w:val="30"/>
              </w:rPr>
              <w:t>2011年</w:t>
            </w:r>
            <w:r>
              <w:rPr>
                <w:rFonts w:hint="default" w:ascii="Times New Roman" w:hAnsi="Times New Roman" w:eastAsia="仿宋"/>
                <w:bCs/>
                <w:sz w:val="30"/>
                <w:szCs w:val="30"/>
                <w:lang w:val="en-US" w:eastAsia="zh-CN"/>
              </w:rPr>
              <w:t>5</w:t>
            </w:r>
            <w:r>
              <w:rPr>
                <w:rFonts w:hint="default" w:ascii="Times New Roman" w:hAnsi="Times New Roman" w:eastAsia="仿宋"/>
                <w:bCs/>
                <w:sz w:val="30"/>
                <w:szCs w:val="30"/>
              </w:rPr>
              <w:t>月</w:t>
            </w:r>
            <w:r>
              <w:rPr>
                <w:rFonts w:hint="default" w:ascii="Times New Roman" w:hAnsi="Times New Roman" w:eastAsia="仿宋"/>
                <w:bCs/>
                <w:sz w:val="30"/>
                <w:szCs w:val="30"/>
                <w:lang w:val="en-US" w:eastAsia="zh-CN"/>
              </w:rPr>
              <w:t>4</w:t>
            </w:r>
            <w:r>
              <w:rPr>
                <w:rFonts w:hint="default" w:ascii="Times New Roman" w:hAnsi="Times New Roman" w:eastAsia="仿宋"/>
                <w:bCs/>
                <w:sz w:val="30"/>
                <w:szCs w:val="30"/>
              </w:rPr>
              <w:t>日，重庆市水利局</w:t>
            </w:r>
            <w:r>
              <w:rPr>
                <w:rFonts w:hint="default" w:ascii="Times New Roman" w:hAnsi="Times New Roman" w:eastAsia="仿宋"/>
                <w:bCs/>
                <w:sz w:val="30"/>
                <w:szCs w:val="30"/>
                <w:lang w:val="en-US" w:eastAsia="zh-CN"/>
              </w:rPr>
              <w:t>下发了</w:t>
            </w:r>
            <w:r>
              <w:rPr>
                <w:rFonts w:hint="default" w:ascii="Times New Roman" w:hAnsi="Times New Roman" w:eastAsia="仿宋"/>
                <w:bCs/>
                <w:sz w:val="30"/>
                <w:szCs w:val="30"/>
              </w:rPr>
              <w:t>《</w:t>
            </w:r>
            <w:r>
              <w:rPr>
                <w:rFonts w:hint="default" w:ascii="Times New Roman" w:hAnsi="Times New Roman" w:eastAsia="仿宋"/>
                <w:bCs/>
                <w:sz w:val="30"/>
                <w:szCs w:val="30"/>
                <w:lang w:val="en-US" w:eastAsia="zh-CN"/>
              </w:rPr>
              <w:t>重庆市水利局关于</w:t>
            </w:r>
            <w:r>
              <w:rPr>
                <w:rFonts w:hint="default" w:ascii="Times New Roman" w:hAnsi="Times New Roman" w:eastAsia="仿宋"/>
                <w:bCs/>
                <w:sz w:val="30"/>
                <w:szCs w:val="30"/>
              </w:rPr>
              <w:t>重庆梁平至黔江高速公路（石柱至黔江段）水土保持方案的</w:t>
            </w:r>
            <w:r>
              <w:rPr>
                <w:rFonts w:hint="default" w:ascii="Times New Roman" w:hAnsi="Times New Roman" w:eastAsia="仿宋"/>
                <w:bCs/>
                <w:sz w:val="30"/>
                <w:szCs w:val="30"/>
                <w:lang w:val="en-US" w:eastAsia="zh-CN"/>
              </w:rPr>
              <w:t>函</w:t>
            </w:r>
            <w:r>
              <w:rPr>
                <w:rFonts w:hint="default" w:ascii="Times New Roman" w:hAnsi="Times New Roman" w:eastAsia="仿宋"/>
                <w:bCs/>
                <w:sz w:val="30"/>
                <w:szCs w:val="30"/>
              </w:rPr>
              <w:t>》（渝水许可</w:t>
            </w:r>
            <w:r>
              <w:rPr>
                <w:rFonts w:ascii="Times New Roman" w:hAnsi="Times New Roman" w:eastAsia="仿宋"/>
                <w:bCs/>
                <w:sz w:val="30"/>
                <w:szCs w:val="30"/>
              </w:rPr>
              <w:t>〔</w:t>
            </w:r>
            <w:r>
              <w:rPr>
                <w:rFonts w:hint="default" w:ascii="Times New Roman" w:hAnsi="Times New Roman" w:eastAsia="仿宋"/>
                <w:bCs/>
                <w:sz w:val="30"/>
                <w:szCs w:val="30"/>
              </w:rPr>
              <w:t>2011</w:t>
            </w:r>
            <w:r>
              <w:rPr>
                <w:rFonts w:ascii="Times New Roman" w:hAnsi="Times New Roman" w:eastAsia="仿宋"/>
                <w:bCs/>
                <w:sz w:val="30"/>
                <w:szCs w:val="30"/>
              </w:rPr>
              <w:t>〕</w:t>
            </w:r>
            <w:r>
              <w:rPr>
                <w:rFonts w:hint="default" w:ascii="Times New Roman" w:hAnsi="Times New Roman" w:eastAsia="仿宋"/>
                <w:bCs/>
                <w:sz w:val="30"/>
                <w:szCs w:val="30"/>
                <w:lang w:eastAsia="zh-CN"/>
              </w:rPr>
              <w:t>45号</w:t>
            </w:r>
            <w:r>
              <w:rPr>
                <w:rFonts w:hint="default" w:ascii="Times New Roman" w:hAnsi="Times New Roman" w:eastAsia="仿宋"/>
                <w:bCs/>
                <w:sz w:val="30"/>
                <w:szCs w:val="30"/>
              </w:rPr>
              <w:t>）</w:t>
            </w:r>
            <w:r>
              <w:rPr>
                <w:rFonts w:hint="eastAsia" w:ascii="Times New Roman" w:hAnsi="Times New Roman" w:eastAsia="仿宋"/>
                <w:bCs/>
                <w:sz w:val="30"/>
                <w:szCs w:val="30"/>
                <w:lang w:eastAsia="zh-CN"/>
              </w:rPr>
              <w:t>。</w:t>
            </w:r>
          </w:p>
          <w:p>
            <w:pPr>
              <w:spacing w:line="500" w:lineRule="exact"/>
              <w:ind w:firstLine="594" w:firstLineChars="198"/>
              <w:rPr>
                <w:rFonts w:hint="eastAsia" w:ascii="Times New Roman" w:hAnsi="Times New Roman" w:eastAsia="仿宋"/>
                <w:bCs/>
                <w:sz w:val="30"/>
                <w:szCs w:val="30"/>
                <w:lang w:eastAsia="zh-CN"/>
              </w:rPr>
            </w:pPr>
            <w:r>
              <w:rPr>
                <w:rFonts w:hint="default" w:ascii="Times New Roman" w:hAnsi="Times New Roman" w:eastAsia="仿宋"/>
                <w:bCs/>
                <w:sz w:val="30"/>
                <w:szCs w:val="30"/>
                <w:lang w:val="en-US" w:eastAsia="zh-CN"/>
              </w:rPr>
              <w:t>2021年8月24日，重庆市水利局下发了《重庆市水利局关于重庆梁平至黔江高速公路（石柱至黔江段）水土保持方案（弃渣场补充）准予行政许可的决定》</w:t>
            </w:r>
            <w:r>
              <w:rPr>
                <w:rFonts w:hint="default" w:ascii="Times New Roman" w:hAnsi="Times New Roman" w:eastAsia="仿宋"/>
                <w:bCs/>
                <w:sz w:val="30"/>
                <w:szCs w:val="30"/>
              </w:rPr>
              <w:t>（渝水许可</w:t>
            </w:r>
            <w:r>
              <w:rPr>
                <w:rFonts w:ascii="Times New Roman" w:hAnsi="Times New Roman" w:eastAsia="仿宋"/>
                <w:bCs/>
                <w:sz w:val="30"/>
                <w:szCs w:val="30"/>
              </w:rPr>
              <w:t>〔</w:t>
            </w:r>
            <w:r>
              <w:rPr>
                <w:rFonts w:hint="default" w:ascii="Times New Roman" w:hAnsi="Times New Roman" w:eastAsia="仿宋"/>
                <w:bCs/>
                <w:sz w:val="30"/>
                <w:szCs w:val="30"/>
              </w:rPr>
              <w:t>20</w:t>
            </w:r>
            <w:r>
              <w:rPr>
                <w:rFonts w:hint="default" w:ascii="Times New Roman" w:hAnsi="Times New Roman" w:eastAsia="仿宋"/>
                <w:bCs/>
                <w:sz w:val="30"/>
                <w:szCs w:val="30"/>
                <w:lang w:val="en-US" w:eastAsia="zh-CN"/>
              </w:rPr>
              <w:t>21</w:t>
            </w:r>
            <w:r>
              <w:rPr>
                <w:rFonts w:ascii="Times New Roman" w:hAnsi="Times New Roman" w:eastAsia="仿宋"/>
                <w:bCs/>
                <w:sz w:val="30"/>
                <w:szCs w:val="30"/>
              </w:rPr>
              <w:t>〕</w:t>
            </w:r>
            <w:r>
              <w:rPr>
                <w:rFonts w:hint="default" w:ascii="Times New Roman" w:hAnsi="Times New Roman" w:eastAsia="仿宋"/>
                <w:bCs/>
                <w:sz w:val="30"/>
                <w:szCs w:val="30"/>
                <w:lang w:val="en-US" w:eastAsia="zh-CN"/>
              </w:rPr>
              <w:t>70</w:t>
            </w:r>
            <w:r>
              <w:rPr>
                <w:rFonts w:hint="default" w:ascii="Times New Roman" w:hAnsi="Times New Roman" w:eastAsia="仿宋"/>
                <w:bCs/>
                <w:sz w:val="30"/>
                <w:szCs w:val="30"/>
                <w:lang w:eastAsia="zh-CN"/>
              </w:rPr>
              <w:t>号</w:t>
            </w:r>
            <w:r>
              <w:rPr>
                <w:rFonts w:hint="default" w:ascii="Times New Roman" w:hAnsi="Times New Roman" w:eastAsia="仿宋"/>
                <w:bCs/>
                <w:sz w:val="30"/>
                <w:szCs w:val="30"/>
              </w:rPr>
              <w:t>）</w:t>
            </w:r>
            <w:r>
              <w:rPr>
                <w:rFonts w:hint="eastAsia" w:ascii="Times New Roman" w:hAnsi="Times New Roman" w:eastAsia="仿宋"/>
                <w:bCs/>
                <w:sz w:val="30"/>
                <w:szCs w:val="30"/>
                <w:lang w:eastAsia="zh-CN"/>
              </w:rPr>
              <w:t>。</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（三）水土保持初步设计或施工图设计情况</w:t>
            </w:r>
          </w:p>
          <w:p>
            <w:pPr>
              <w:spacing w:line="500" w:lineRule="exact"/>
              <w:ind w:firstLine="594" w:firstLineChars="198"/>
              <w:rPr>
                <w:rFonts w:ascii="Times New Roman" w:hAnsi="Times New Roman" w:eastAsia="仿宋"/>
                <w:bCs/>
                <w:sz w:val="30"/>
                <w:szCs w:val="30"/>
              </w:rPr>
            </w:pPr>
            <w:r>
              <w:rPr>
                <w:rFonts w:hint="eastAsia" w:ascii="Times New Roman" w:hAnsi="Times New Roman" w:eastAsia="仿宋"/>
                <w:bCs/>
                <w:sz w:val="30"/>
                <w:szCs w:val="30"/>
              </w:rPr>
              <w:t>水土保持后续设计纳入了主体工程初步设计和施工图设计。</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（四）水土保持监测情况</w:t>
            </w:r>
          </w:p>
          <w:p>
            <w:pPr>
              <w:spacing w:line="500" w:lineRule="exact"/>
              <w:ind w:firstLine="594" w:firstLineChars="198"/>
              <w:rPr>
                <w:rFonts w:ascii="Times New Roman" w:hAnsi="Times New Roman" w:eastAsia="仿宋"/>
                <w:bCs/>
                <w:sz w:val="30"/>
                <w:szCs w:val="30"/>
                <w:highlight w:val="none"/>
              </w:rPr>
            </w:pPr>
            <w:r>
              <w:rPr>
                <w:rFonts w:hint="eastAsia" w:ascii="Times New Roman" w:hAnsi="Times New Roman" w:eastAsia="仿宋"/>
                <w:bCs/>
                <w:sz w:val="30"/>
                <w:szCs w:val="30"/>
                <w:highlight w:val="none"/>
              </w:rPr>
              <w:t>建设单位于</w:t>
            </w:r>
            <w:r>
              <w:rPr>
                <w:rFonts w:ascii="Times New Roman" w:hAnsi="Times New Roman" w:eastAsia="仿宋"/>
                <w:bCs/>
                <w:color w:val="auto"/>
                <w:sz w:val="30"/>
                <w:szCs w:val="30"/>
                <w:highlight w:val="none"/>
              </w:rPr>
              <w:t>20</w:t>
            </w:r>
            <w:r>
              <w:rPr>
                <w:rFonts w:hint="eastAsia" w:ascii="Times New Roman" w:hAnsi="Times New Roman" w:eastAsia="仿宋"/>
                <w:bCs/>
                <w:color w:val="auto"/>
                <w:sz w:val="30"/>
                <w:szCs w:val="30"/>
                <w:highlight w:val="none"/>
              </w:rPr>
              <w:t>18</w:t>
            </w:r>
            <w:r>
              <w:rPr>
                <w:rFonts w:ascii="Times New Roman" w:hAnsi="Times New Roman" w:eastAsia="仿宋"/>
                <w:bCs/>
                <w:color w:val="auto"/>
                <w:sz w:val="30"/>
                <w:szCs w:val="30"/>
                <w:highlight w:val="none"/>
              </w:rPr>
              <w:t>年</w:t>
            </w:r>
            <w:r>
              <w:rPr>
                <w:rFonts w:hint="eastAsia" w:ascii="Times New Roman" w:hAnsi="Times New Roman" w:eastAsia="仿宋"/>
                <w:bCs/>
                <w:color w:val="auto"/>
                <w:sz w:val="30"/>
                <w:szCs w:val="30"/>
                <w:highlight w:val="none"/>
                <w:lang w:val="en-US" w:eastAsia="zh-CN"/>
              </w:rPr>
              <w:t>3</w:t>
            </w:r>
            <w:r>
              <w:rPr>
                <w:rFonts w:ascii="Times New Roman" w:hAnsi="Times New Roman" w:eastAsia="仿宋"/>
                <w:bCs/>
                <w:sz w:val="30"/>
                <w:szCs w:val="30"/>
                <w:highlight w:val="none"/>
              </w:rPr>
              <w:t>月</w:t>
            </w:r>
            <w:r>
              <w:rPr>
                <w:rFonts w:hint="eastAsia" w:ascii="Times New Roman" w:hAnsi="Times New Roman" w:eastAsia="仿宋"/>
                <w:bCs/>
                <w:sz w:val="30"/>
                <w:szCs w:val="30"/>
                <w:highlight w:val="none"/>
              </w:rPr>
              <w:t>委托</w:t>
            </w:r>
            <w:r>
              <w:rPr>
                <w:rFonts w:hint="eastAsia" w:ascii="Times New Roman" w:hAnsi="Times New Roman" w:eastAsia="仿宋"/>
                <w:bCs/>
                <w:sz w:val="30"/>
                <w:szCs w:val="30"/>
                <w:highlight w:val="none"/>
                <w:lang w:val="en-US" w:eastAsia="zh-CN"/>
              </w:rPr>
              <w:t>重庆龙翰环保工程有限公司</w:t>
            </w:r>
            <w:r>
              <w:rPr>
                <w:rFonts w:hint="eastAsia" w:ascii="Times New Roman" w:hAnsi="Times New Roman" w:eastAsia="仿宋"/>
                <w:bCs/>
                <w:sz w:val="30"/>
                <w:szCs w:val="30"/>
                <w:highlight w:val="none"/>
              </w:rPr>
              <w:t>开展水土保持监测，监测单位于2018年</w:t>
            </w:r>
            <w:r>
              <w:rPr>
                <w:rFonts w:hint="eastAsia" w:ascii="Times New Roman" w:hAnsi="Times New Roman" w:eastAsia="仿宋"/>
                <w:bCs/>
                <w:sz w:val="30"/>
                <w:szCs w:val="30"/>
                <w:highlight w:val="none"/>
                <w:lang w:val="en-US" w:eastAsia="zh-CN"/>
              </w:rPr>
              <w:t>4</w:t>
            </w:r>
            <w:r>
              <w:rPr>
                <w:rFonts w:hint="eastAsia" w:ascii="Times New Roman" w:hAnsi="Times New Roman" w:eastAsia="仿宋"/>
                <w:bCs/>
                <w:sz w:val="30"/>
                <w:szCs w:val="30"/>
                <w:highlight w:val="none"/>
              </w:rPr>
              <w:t>月提交了《</w:t>
            </w:r>
            <w:r>
              <w:rPr>
                <w:rFonts w:hint="eastAsia" w:ascii="Times New Roman" w:hAnsi="Times New Roman" w:eastAsia="仿宋"/>
                <w:bCs/>
                <w:sz w:val="30"/>
                <w:szCs w:val="30"/>
                <w:highlight w:val="none"/>
                <w:lang w:val="en-US" w:eastAsia="zh-CN"/>
              </w:rPr>
              <w:t xml:space="preserve"> </w:t>
            </w:r>
            <w:r>
              <w:rPr>
                <w:rFonts w:hint="eastAsia" w:ascii="Times New Roman" w:hAnsi="Times New Roman" w:eastAsia="仿宋"/>
                <w:bCs/>
                <w:sz w:val="30"/>
                <w:szCs w:val="30"/>
                <w:highlight w:val="none"/>
                <w:lang w:eastAsia="zh-CN"/>
              </w:rPr>
              <w:t>重庆梁平至黔江高速公路（石柱至黔江段）</w:t>
            </w:r>
            <w:r>
              <w:rPr>
                <w:rFonts w:hint="eastAsia" w:ascii="Times New Roman" w:hAnsi="Times New Roman" w:eastAsia="仿宋"/>
                <w:bCs/>
                <w:sz w:val="30"/>
                <w:szCs w:val="30"/>
                <w:highlight w:val="none"/>
              </w:rPr>
              <w:t>水土保持监测实施方案》，按期提交了水土保持监测季报，并于202</w:t>
            </w:r>
            <w:r>
              <w:rPr>
                <w:rFonts w:hint="eastAsia" w:ascii="Times New Roman" w:hAnsi="Times New Roman" w:eastAsia="仿宋"/>
                <w:bCs/>
                <w:sz w:val="30"/>
                <w:szCs w:val="30"/>
                <w:highlight w:val="none"/>
                <w:lang w:val="en-US" w:eastAsia="zh-CN"/>
              </w:rPr>
              <w:t>3</w:t>
            </w:r>
            <w:r>
              <w:rPr>
                <w:rFonts w:hint="eastAsia" w:ascii="Times New Roman" w:hAnsi="Times New Roman" w:eastAsia="仿宋"/>
                <w:bCs/>
                <w:sz w:val="30"/>
                <w:szCs w:val="30"/>
                <w:highlight w:val="none"/>
              </w:rPr>
              <w:t>年</w:t>
            </w:r>
            <w:r>
              <w:rPr>
                <w:rFonts w:hint="eastAsia" w:ascii="Times New Roman" w:hAnsi="Times New Roman" w:eastAsia="仿宋"/>
                <w:bCs/>
                <w:sz w:val="30"/>
                <w:szCs w:val="30"/>
                <w:highlight w:val="none"/>
                <w:lang w:val="en-US" w:eastAsia="zh-CN"/>
              </w:rPr>
              <w:t>11</w:t>
            </w:r>
            <w:r>
              <w:rPr>
                <w:rFonts w:hint="eastAsia" w:ascii="Times New Roman" w:hAnsi="Times New Roman" w:eastAsia="仿宋"/>
                <w:bCs/>
                <w:sz w:val="30"/>
                <w:szCs w:val="30"/>
                <w:highlight w:val="none"/>
              </w:rPr>
              <w:t>月提交了《</w:t>
            </w:r>
            <w:r>
              <w:rPr>
                <w:rFonts w:hint="eastAsia" w:ascii="Times New Roman" w:hAnsi="Times New Roman" w:eastAsia="仿宋"/>
                <w:bCs/>
                <w:sz w:val="30"/>
                <w:szCs w:val="30"/>
                <w:highlight w:val="none"/>
                <w:lang w:eastAsia="zh-CN"/>
              </w:rPr>
              <w:t>重庆梁平至黔江高速公路（石柱至黔江段）</w:t>
            </w:r>
            <w:r>
              <w:rPr>
                <w:rFonts w:hint="eastAsia" w:ascii="Times New Roman" w:hAnsi="Times New Roman" w:eastAsia="仿宋"/>
                <w:bCs/>
                <w:sz w:val="30"/>
                <w:szCs w:val="30"/>
                <w:highlight w:val="none"/>
              </w:rPr>
              <w:t>水土保持监测总结报告》。</w:t>
            </w:r>
          </w:p>
          <w:p>
            <w:pPr>
              <w:spacing w:line="500" w:lineRule="exact"/>
              <w:ind w:firstLine="594" w:firstLineChars="198"/>
              <w:rPr>
                <w:rFonts w:ascii="Times New Roman" w:hAnsi="Times New Roman" w:eastAsia="仿宋"/>
                <w:bCs/>
                <w:sz w:val="30"/>
                <w:szCs w:val="30"/>
                <w:highlight w:val="none"/>
              </w:rPr>
            </w:pPr>
            <w:r>
              <w:rPr>
                <w:rFonts w:hint="eastAsia" w:ascii="Times New Roman" w:hAnsi="Times New Roman" w:eastAsia="仿宋"/>
                <w:bCs/>
                <w:sz w:val="30"/>
                <w:szCs w:val="30"/>
                <w:highlight w:val="none"/>
              </w:rPr>
              <w:t>监测报告主要结论：</w:t>
            </w:r>
            <w:bookmarkStart w:id="5" w:name="_Hlk85792023"/>
            <w:r>
              <w:rPr>
                <w:rFonts w:ascii="Times New Roman" w:hAnsi="Times New Roman" w:eastAsia="仿宋"/>
                <w:bCs/>
                <w:sz w:val="30"/>
                <w:szCs w:val="30"/>
                <w:highlight w:val="none"/>
              </w:rPr>
              <w:t>扰动土地整治率</w:t>
            </w:r>
            <w:r>
              <w:rPr>
                <w:rFonts w:hint="eastAsia" w:ascii="Times New Roman" w:hAnsi="Times New Roman" w:eastAsia="仿宋"/>
                <w:bCs/>
                <w:sz w:val="30"/>
                <w:szCs w:val="30"/>
                <w:highlight w:val="none"/>
                <w:lang w:val="en-US" w:eastAsia="zh-CN"/>
              </w:rPr>
              <w:t>99.79</w:t>
            </w:r>
            <w:r>
              <w:rPr>
                <w:rFonts w:ascii="Times New Roman" w:hAnsi="Times New Roman" w:eastAsia="仿宋"/>
                <w:bCs/>
                <w:sz w:val="30"/>
                <w:szCs w:val="30"/>
                <w:highlight w:val="none"/>
              </w:rPr>
              <w:t>%，水土流失总治理度</w:t>
            </w:r>
            <w:r>
              <w:rPr>
                <w:rFonts w:hint="eastAsia" w:ascii="Times New Roman" w:hAnsi="Times New Roman" w:eastAsia="仿宋"/>
                <w:bCs/>
                <w:sz w:val="30"/>
                <w:szCs w:val="30"/>
                <w:highlight w:val="none"/>
                <w:lang w:val="en-US" w:eastAsia="zh-CN"/>
              </w:rPr>
              <w:t>99.59</w:t>
            </w:r>
            <w:r>
              <w:rPr>
                <w:rFonts w:ascii="Times New Roman" w:hAnsi="Times New Roman" w:eastAsia="仿宋"/>
                <w:bCs/>
                <w:sz w:val="30"/>
                <w:szCs w:val="30"/>
                <w:highlight w:val="none"/>
              </w:rPr>
              <w:t>%，土壤流失控制比</w:t>
            </w:r>
            <w:r>
              <w:rPr>
                <w:rFonts w:hint="eastAsia" w:ascii="Times New Roman" w:hAnsi="Times New Roman" w:eastAsia="仿宋"/>
                <w:bCs/>
                <w:sz w:val="30"/>
                <w:szCs w:val="30"/>
                <w:highlight w:val="none"/>
              </w:rPr>
              <w:t>1.</w:t>
            </w:r>
            <w:r>
              <w:rPr>
                <w:rFonts w:hint="eastAsia" w:ascii="Times New Roman" w:hAnsi="Times New Roman" w:eastAsia="仿宋"/>
                <w:bCs/>
                <w:sz w:val="30"/>
                <w:szCs w:val="30"/>
                <w:highlight w:val="none"/>
                <w:lang w:val="en-US" w:eastAsia="zh-CN"/>
              </w:rPr>
              <w:t>0</w:t>
            </w:r>
            <w:r>
              <w:rPr>
                <w:rFonts w:ascii="Times New Roman" w:hAnsi="Times New Roman" w:eastAsia="仿宋"/>
                <w:bCs/>
                <w:sz w:val="30"/>
                <w:szCs w:val="30"/>
                <w:highlight w:val="none"/>
              </w:rPr>
              <w:t>，拦渣率</w:t>
            </w:r>
            <w:r>
              <w:rPr>
                <w:rFonts w:hint="eastAsia" w:ascii="Times New Roman" w:hAnsi="Times New Roman" w:eastAsia="仿宋"/>
                <w:bCs/>
                <w:sz w:val="30"/>
                <w:szCs w:val="30"/>
                <w:highlight w:val="none"/>
                <w:lang w:val="en-US" w:eastAsia="zh-CN"/>
              </w:rPr>
              <w:t>99.95</w:t>
            </w:r>
            <w:r>
              <w:rPr>
                <w:rFonts w:ascii="Times New Roman" w:hAnsi="Times New Roman" w:eastAsia="仿宋"/>
                <w:bCs/>
                <w:sz w:val="30"/>
                <w:szCs w:val="30"/>
                <w:highlight w:val="none"/>
              </w:rPr>
              <w:t>%，林草植被恢复率</w:t>
            </w:r>
            <w:r>
              <w:rPr>
                <w:rFonts w:hint="eastAsia" w:ascii="Times New Roman" w:hAnsi="Times New Roman" w:eastAsia="仿宋"/>
                <w:bCs/>
                <w:sz w:val="30"/>
                <w:szCs w:val="30"/>
                <w:highlight w:val="none"/>
                <w:lang w:val="en-US" w:eastAsia="zh-CN"/>
              </w:rPr>
              <w:t>99.38</w:t>
            </w:r>
            <w:r>
              <w:rPr>
                <w:rFonts w:ascii="Times New Roman" w:hAnsi="Times New Roman" w:eastAsia="仿宋"/>
                <w:bCs/>
                <w:sz w:val="30"/>
                <w:szCs w:val="30"/>
                <w:highlight w:val="none"/>
              </w:rPr>
              <w:t>%，林草覆盖率</w:t>
            </w:r>
            <w:r>
              <w:rPr>
                <w:rFonts w:hint="eastAsia" w:ascii="Times New Roman" w:hAnsi="Times New Roman" w:eastAsia="仿宋"/>
                <w:bCs/>
                <w:sz w:val="30"/>
                <w:szCs w:val="30"/>
                <w:highlight w:val="none"/>
                <w:lang w:val="en-US" w:eastAsia="zh-CN"/>
              </w:rPr>
              <w:t>34.04</w:t>
            </w:r>
            <w:r>
              <w:rPr>
                <w:rFonts w:ascii="Times New Roman" w:hAnsi="Times New Roman" w:eastAsia="仿宋"/>
                <w:bCs/>
                <w:sz w:val="30"/>
                <w:szCs w:val="30"/>
                <w:highlight w:val="none"/>
              </w:rPr>
              <w:t>%。</w:t>
            </w:r>
            <w:bookmarkEnd w:id="5"/>
            <w:r>
              <w:rPr>
                <w:rFonts w:hint="eastAsia" w:ascii="Times New Roman" w:hAnsi="Times New Roman" w:eastAsia="仿宋"/>
                <w:bCs/>
                <w:sz w:val="30"/>
                <w:szCs w:val="30"/>
                <w:highlight w:val="none"/>
              </w:rPr>
              <w:t>六项指标达到批复的水土保持方案确定的目标值，</w:t>
            </w:r>
            <w:r>
              <w:rPr>
                <w:rFonts w:ascii="Times New Roman" w:hAnsi="Times New Roman" w:eastAsia="仿宋"/>
                <w:bCs/>
                <w:sz w:val="30"/>
                <w:szCs w:val="30"/>
                <w:highlight w:val="none"/>
              </w:rPr>
              <w:t>达到了治理水土流失的效果</w:t>
            </w:r>
            <w:r>
              <w:rPr>
                <w:rFonts w:hint="eastAsia" w:ascii="Times New Roman" w:hAnsi="Times New Roman" w:eastAsia="仿宋"/>
                <w:bCs/>
                <w:sz w:val="30"/>
                <w:szCs w:val="30"/>
                <w:highlight w:val="none"/>
              </w:rPr>
              <w:t>。实施的各项水土保持措施发挥了有效的水土保持作用，满足水土保持要求。</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（五）验收报告编制情况和主要结论</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20</w:t>
            </w:r>
            <w:r>
              <w:rPr>
                <w:rFonts w:hint="eastAsia" w:ascii="Times New Roman" w:hAnsi="Times New Roman" w:eastAsia="仿宋"/>
                <w:sz w:val="30"/>
                <w:szCs w:val="30"/>
                <w:lang w:val="en-US" w:eastAsia="zh-CN"/>
              </w:rPr>
              <w:t>23</w:t>
            </w:r>
            <w:r>
              <w:rPr>
                <w:rFonts w:ascii="Times New Roman" w:hAnsi="Times New Roman" w:eastAsia="仿宋"/>
                <w:sz w:val="30"/>
                <w:szCs w:val="30"/>
              </w:rPr>
              <w:t>年</w:t>
            </w:r>
            <w:r>
              <w:rPr>
                <w:rFonts w:hint="eastAsia" w:ascii="Times New Roman" w:hAnsi="Times New Roman" w:eastAsia="仿宋"/>
                <w:sz w:val="30"/>
                <w:szCs w:val="30"/>
                <w:lang w:val="en-US" w:eastAsia="zh-CN"/>
              </w:rPr>
              <w:t>3</w:t>
            </w:r>
            <w:r>
              <w:rPr>
                <w:rFonts w:ascii="Times New Roman" w:hAnsi="Times New Roman" w:eastAsia="仿宋"/>
                <w:sz w:val="30"/>
                <w:szCs w:val="30"/>
              </w:rPr>
              <w:t>月，</w:t>
            </w:r>
            <w:r>
              <w:rPr>
                <w:rFonts w:hint="eastAsia" w:ascii="Times New Roman" w:hAnsi="Times New Roman" w:eastAsia="仿宋"/>
                <w:sz w:val="30"/>
                <w:szCs w:val="30"/>
                <w:lang w:eastAsia="zh-CN"/>
              </w:rPr>
              <w:t>重庆铁发建新高速公路有限公司</w:t>
            </w:r>
            <w:r>
              <w:rPr>
                <w:rFonts w:ascii="Times New Roman" w:hAnsi="Times New Roman" w:eastAsia="仿宋"/>
                <w:sz w:val="30"/>
                <w:szCs w:val="30"/>
              </w:rPr>
              <w:t>委托</w:t>
            </w:r>
            <w:r>
              <w:rPr>
                <w:rFonts w:hint="eastAsia" w:ascii="Times New Roman" w:hAnsi="Times New Roman" w:eastAsia="仿宋"/>
                <w:sz w:val="30"/>
                <w:szCs w:val="30"/>
                <w:lang w:val="en-US" w:eastAsia="zh-CN"/>
              </w:rPr>
              <w:t>重庆鑫力源工程咨询有限公司</w:t>
            </w:r>
            <w:r>
              <w:rPr>
                <w:rFonts w:ascii="Times New Roman" w:hAnsi="Times New Roman" w:eastAsia="仿宋"/>
                <w:sz w:val="30"/>
                <w:szCs w:val="30"/>
              </w:rPr>
              <w:t>开展</w:t>
            </w:r>
            <w:r>
              <w:rPr>
                <w:rFonts w:hint="eastAsia" w:ascii="Times New Roman" w:hAnsi="Times New Roman" w:eastAsia="仿宋"/>
                <w:sz w:val="30"/>
                <w:szCs w:val="30"/>
                <w:lang w:eastAsia="zh-CN"/>
              </w:rPr>
              <w:t>重庆梁平至黔江高速公路（石柱至黔江段）</w:t>
            </w:r>
            <w:r>
              <w:rPr>
                <w:rFonts w:ascii="Times New Roman" w:hAnsi="Times New Roman" w:eastAsia="仿宋"/>
                <w:sz w:val="30"/>
                <w:szCs w:val="30"/>
              </w:rPr>
              <w:t>水土保持设施验收报告编制工作。验收报告编制单位</w:t>
            </w:r>
            <w:r>
              <w:rPr>
                <w:rFonts w:ascii="Times New Roman" w:hAnsi="Times New Roman" w:eastAsia="仿宋"/>
                <w:sz w:val="30"/>
                <w:szCs w:val="30"/>
                <w:highlight w:val="none"/>
              </w:rPr>
              <w:t>于20</w:t>
            </w:r>
            <w:r>
              <w:rPr>
                <w:rFonts w:hint="eastAsia" w:ascii="Times New Roman" w:hAnsi="Times New Roman" w:eastAsia="仿宋"/>
                <w:sz w:val="30"/>
                <w:szCs w:val="30"/>
                <w:highlight w:val="none"/>
              </w:rPr>
              <w:t>2</w:t>
            </w:r>
            <w:r>
              <w:rPr>
                <w:rFonts w:hint="eastAsia" w:ascii="Times New Roman" w:hAnsi="Times New Roman" w:eastAsia="仿宋"/>
                <w:sz w:val="30"/>
                <w:szCs w:val="30"/>
                <w:highlight w:val="none"/>
                <w:lang w:val="en-US" w:eastAsia="zh-CN"/>
              </w:rPr>
              <w:t>3</w:t>
            </w:r>
            <w:r>
              <w:rPr>
                <w:rFonts w:ascii="Times New Roman" w:hAnsi="Times New Roman" w:eastAsia="仿宋"/>
                <w:sz w:val="30"/>
                <w:szCs w:val="30"/>
                <w:highlight w:val="none"/>
              </w:rPr>
              <w:t>年</w:t>
            </w:r>
            <w:r>
              <w:rPr>
                <w:rFonts w:hint="eastAsia" w:ascii="Times New Roman" w:hAnsi="Times New Roman" w:eastAsia="仿宋"/>
                <w:sz w:val="30"/>
                <w:szCs w:val="30"/>
                <w:highlight w:val="none"/>
                <w:lang w:val="en-US" w:eastAsia="zh-CN"/>
              </w:rPr>
              <w:t>11</w:t>
            </w:r>
            <w:r>
              <w:rPr>
                <w:rFonts w:ascii="Times New Roman" w:hAnsi="Times New Roman" w:eastAsia="仿宋"/>
                <w:sz w:val="30"/>
                <w:szCs w:val="30"/>
                <w:highlight w:val="none"/>
              </w:rPr>
              <w:t>月</w:t>
            </w:r>
            <w:r>
              <w:rPr>
                <w:rFonts w:ascii="Times New Roman" w:hAnsi="Times New Roman" w:eastAsia="仿宋"/>
                <w:sz w:val="30"/>
                <w:szCs w:val="30"/>
              </w:rPr>
              <w:t>编制完成《</w:t>
            </w:r>
            <w:r>
              <w:rPr>
                <w:rFonts w:hint="eastAsia" w:ascii="Times New Roman" w:hAnsi="Times New Roman" w:eastAsia="仿宋"/>
                <w:sz w:val="30"/>
                <w:szCs w:val="30"/>
                <w:lang w:eastAsia="zh-CN"/>
              </w:rPr>
              <w:t>重庆梁平至黔江高速公路（石柱至黔江段）</w:t>
            </w:r>
            <w:r>
              <w:rPr>
                <w:rFonts w:ascii="Times New Roman" w:hAnsi="Times New Roman" w:eastAsia="仿宋"/>
                <w:sz w:val="30"/>
                <w:szCs w:val="30"/>
              </w:rPr>
              <w:t>水土保持设施验收报告》。主要结论如下：</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本工程依法编报了水土保持方案</w:t>
            </w:r>
            <w:r>
              <w:rPr>
                <w:rFonts w:hint="eastAsia" w:ascii="Times New Roman" w:hAnsi="Times New Roman" w:eastAsia="仿宋"/>
                <w:sz w:val="30"/>
                <w:szCs w:val="30"/>
                <w:lang w:val="en-US" w:eastAsia="zh-CN"/>
              </w:rPr>
              <w:t>和弃渣场补充方案</w:t>
            </w:r>
            <w:r>
              <w:rPr>
                <w:rFonts w:ascii="Times New Roman" w:hAnsi="Times New Roman" w:eastAsia="仿宋"/>
                <w:sz w:val="30"/>
                <w:szCs w:val="30"/>
              </w:rPr>
              <w:t>，</w:t>
            </w:r>
            <w:r>
              <w:rPr>
                <w:rFonts w:hint="eastAsia" w:ascii="Times New Roman" w:hAnsi="Times New Roman" w:eastAsia="仿宋"/>
                <w:sz w:val="30"/>
                <w:szCs w:val="30"/>
              </w:rPr>
              <w:t>开展了水土保持后续设计</w:t>
            </w:r>
            <w:r>
              <w:rPr>
                <w:rFonts w:ascii="Times New Roman" w:hAnsi="Times New Roman" w:eastAsia="仿宋"/>
                <w:sz w:val="30"/>
                <w:szCs w:val="30"/>
              </w:rPr>
              <w:t>；</w:t>
            </w:r>
            <w:bookmarkStart w:id="6" w:name="_Hlk517430690"/>
            <w:r>
              <w:rPr>
                <w:rFonts w:ascii="Times New Roman" w:hAnsi="Times New Roman" w:eastAsia="仿宋"/>
                <w:sz w:val="30"/>
                <w:szCs w:val="30"/>
              </w:rPr>
              <w:t>主体监理单位落实了水土保持监理工作</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开展了分部工程、单位工程质量评定，评定结论合格；重要防护对象开展了稳定性评价，结论为稳定</w:t>
            </w:r>
            <w:r>
              <w:rPr>
                <w:rFonts w:ascii="Times New Roman" w:hAnsi="Times New Roman" w:eastAsia="仿宋"/>
                <w:sz w:val="30"/>
                <w:szCs w:val="30"/>
              </w:rPr>
              <w:t>；</w:t>
            </w:r>
            <w:bookmarkEnd w:id="6"/>
            <w:bookmarkStart w:id="7" w:name="_Hlk517430724"/>
            <w:r>
              <w:rPr>
                <w:rFonts w:hint="eastAsia" w:ascii="Times New Roman" w:hAnsi="Times New Roman" w:eastAsia="仿宋"/>
                <w:sz w:val="30"/>
                <w:szCs w:val="30"/>
                <w:lang w:val="en-US" w:eastAsia="zh-CN"/>
              </w:rPr>
              <w:t>在项目建设过程中</w:t>
            </w:r>
            <w:r>
              <w:rPr>
                <w:rFonts w:ascii="Times New Roman" w:hAnsi="Times New Roman" w:eastAsia="仿宋"/>
                <w:sz w:val="30"/>
                <w:szCs w:val="30"/>
              </w:rPr>
              <w:t>建设单位</w:t>
            </w:r>
            <w:bookmarkEnd w:id="7"/>
            <w:r>
              <w:rPr>
                <w:rFonts w:hint="eastAsia" w:ascii="Times New Roman" w:hAnsi="Times New Roman" w:eastAsia="仿宋"/>
                <w:sz w:val="30"/>
                <w:szCs w:val="30"/>
              </w:rPr>
              <w:t>委托了</w:t>
            </w:r>
            <w:r>
              <w:rPr>
                <w:rFonts w:hint="eastAsia" w:ascii="Times New Roman" w:hAnsi="Times New Roman" w:eastAsia="仿宋"/>
                <w:sz w:val="30"/>
                <w:szCs w:val="30"/>
                <w:lang w:val="en-US" w:eastAsia="zh-CN"/>
              </w:rPr>
              <w:t>第三方单位开展了</w:t>
            </w:r>
            <w:r>
              <w:rPr>
                <w:rFonts w:hint="eastAsia" w:ascii="Times New Roman" w:hAnsi="Times New Roman" w:eastAsia="仿宋"/>
                <w:sz w:val="30"/>
                <w:szCs w:val="30"/>
              </w:rPr>
              <w:t>水土保持监测工作</w:t>
            </w:r>
            <w:r>
              <w:rPr>
                <w:rFonts w:hint="eastAsia" w:ascii="Times New Roman" w:hAnsi="Times New Roman" w:eastAsia="仿宋"/>
                <w:sz w:val="30"/>
                <w:szCs w:val="30"/>
                <w:lang w:eastAsia="zh-CN"/>
              </w:rPr>
              <w:t>；</w:t>
            </w:r>
            <w:r>
              <w:rPr>
                <w:rFonts w:hint="eastAsia" w:ascii="Times New Roman" w:hAnsi="Times New Roman" w:eastAsia="仿宋"/>
                <w:bCs/>
                <w:sz w:val="30"/>
                <w:szCs w:val="30"/>
              </w:rPr>
              <w:t>足额</w:t>
            </w:r>
            <w:r>
              <w:rPr>
                <w:rFonts w:ascii="Times New Roman" w:hAnsi="Times New Roman" w:eastAsia="仿宋"/>
                <w:sz w:val="30"/>
                <w:szCs w:val="30"/>
              </w:rPr>
              <w:t>缴纳了水土保持补偿费；</w:t>
            </w:r>
            <w:r>
              <w:rPr>
                <w:rFonts w:hint="eastAsia" w:ascii="Times New Roman" w:hAnsi="Times New Roman" w:eastAsia="仿宋"/>
                <w:sz w:val="30"/>
                <w:szCs w:val="30"/>
              </w:rPr>
              <w:t>水土保持后续管理、维护责任落实。项目水土保持设施具备验收条件。</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（六）验收结论</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本工程在建设过程中基本落实了水土保持方案</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含弃渣场补充方案</w:t>
            </w:r>
            <w:r>
              <w:rPr>
                <w:rFonts w:hint="eastAsia" w:ascii="Times New Roman" w:hAnsi="Times New Roman" w:eastAsia="仿宋"/>
                <w:sz w:val="30"/>
                <w:szCs w:val="30"/>
                <w:lang w:eastAsia="zh-CN"/>
              </w:rPr>
              <w:t>）</w:t>
            </w:r>
            <w:r>
              <w:rPr>
                <w:rFonts w:ascii="Times New Roman" w:hAnsi="Times New Roman" w:eastAsia="仿宋"/>
                <w:sz w:val="30"/>
                <w:szCs w:val="30"/>
              </w:rPr>
              <w:t>及批复文件的要求，基本完成了水土流失预防和治理任务，六项防治指标全部达到水土保持方案确定的目标值，符合水土保持设施验收条件，同意该工程水土保持设施通过验收。</w:t>
            </w:r>
          </w:p>
          <w:p>
            <w:pPr>
              <w:spacing w:line="500" w:lineRule="exact"/>
              <w:ind w:firstLine="594" w:firstLineChars="198"/>
              <w:rPr>
                <w:rFonts w:ascii="Times New Roman" w:hAnsi="Times New Roman" w:eastAsia="仿宋"/>
                <w:sz w:val="30"/>
                <w:szCs w:val="30"/>
              </w:rPr>
            </w:pPr>
            <w:r>
              <w:rPr>
                <w:rFonts w:ascii="Times New Roman" w:hAnsi="Times New Roman" w:eastAsia="仿宋"/>
                <w:sz w:val="30"/>
                <w:szCs w:val="30"/>
              </w:rPr>
              <w:t>（七）后续管护要求</w:t>
            </w:r>
          </w:p>
          <w:p>
            <w:pPr>
              <w:spacing w:line="500" w:lineRule="exact"/>
              <w:ind w:firstLine="594" w:firstLineChars="198"/>
              <w:rPr>
                <w:rFonts w:ascii="Times New Roman" w:hAnsi="Times New Roman" w:eastAsia="仿宋"/>
                <w:bCs/>
                <w:sz w:val="30"/>
                <w:szCs w:val="30"/>
              </w:rPr>
            </w:pPr>
            <w:r>
              <w:rPr>
                <w:rFonts w:ascii="Times New Roman" w:hAnsi="Times New Roman" w:eastAsia="仿宋"/>
                <w:bCs/>
                <w:sz w:val="30"/>
                <w:szCs w:val="30"/>
              </w:rPr>
              <w:t>本工程投入运营后，管理单位加强水土保持设施管护，确保水土保持设施正常运行和持续发挥效益</w:t>
            </w:r>
            <w:r>
              <w:rPr>
                <w:rFonts w:hint="eastAsia" w:ascii="Times New Roman" w:hAnsi="Times New Roman" w:eastAsia="仿宋"/>
                <w:bCs/>
                <w:sz w:val="30"/>
                <w:szCs w:val="30"/>
              </w:rPr>
              <w:t>。</w:t>
            </w:r>
          </w:p>
          <w:p>
            <w:pPr>
              <w:spacing w:line="500" w:lineRule="exact"/>
              <w:ind w:firstLine="594" w:firstLineChars="198"/>
              <w:rPr>
                <w:rFonts w:ascii="Times New Roman" w:hAnsi="Times New Roman" w:eastAsia="仿宋"/>
                <w:bCs/>
                <w:sz w:val="30"/>
                <w:szCs w:val="30"/>
              </w:rPr>
            </w:pPr>
          </w:p>
          <w:p>
            <w:pPr>
              <w:spacing w:line="500" w:lineRule="exact"/>
              <w:ind w:firstLine="594" w:firstLineChars="198"/>
              <w:rPr>
                <w:rFonts w:ascii="Times New Roman" w:hAnsi="Times New Roman" w:eastAsia="仿宋"/>
                <w:sz w:val="30"/>
                <w:szCs w:val="30"/>
              </w:rPr>
            </w:pPr>
          </w:p>
        </w:tc>
      </w:tr>
    </w:tbl>
    <w:p>
      <w:pPr>
        <w:outlineLvl w:val="0"/>
        <w:rPr>
          <w:rFonts w:ascii="Times New Roman" w:hAnsi="Times New Roman" w:eastAsia="黑体"/>
          <w:sz w:val="30"/>
          <w:szCs w:val="30"/>
        </w:rPr>
      </w:pPr>
    </w:p>
    <w:p>
      <w:pPr>
        <w:outlineLvl w:val="0"/>
        <w:rPr>
          <w:rFonts w:ascii="Times New Roman" w:hAnsi="Times New Roman" w:eastAsia="黑体"/>
          <w:sz w:val="30"/>
          <w:szCs w:val="30"/>
        </w:rPr>
      </w:pPr>
    </w:p>
    <w:p>
      <w:pPr>
        <w:outlineLvl w:val="0"/>
        <w:rPr>
          <w:rFonts w:hint="eastAsia" w:ascii="Times New Roman" w:hAnsi="Times New Roman" w:eastAsia="黑体"/>
          <w:szCs w:val="24"/>
          <w:lang w:eastAsia="zh-CN"/>
        </w:rPr>
      </w:pPr>
      <w:bookmarkStart w:id="8" w:name="_GoBack"/>
      <w:r>
        <w:drawing>
          <wp:anchor distT="0" distB="0" distL="114300" distR="114300" simplePos="0" relativeHeight="251660288" behindDoc="0" locked="0" layoutInCell="1" allowOverlap="1">
            <wp:simplePos x="0" y="0"/>
            <wp:positionH relativeFrom="column">
              <wp:posOffset>-783590</wp:posOffset>
            </wp:positionH>
            <wp:positionV relativeFrom="paragraph">
              <wp:posOffset>-914400</wp:posOffset>
            </wp:positionV>
            <wp:extent cx="7571105" cy="10452735"/>
            <wp:effectExtent l="0" t="0" r="10795" b="571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7571105" cy="10452735"/>
                    </a:xfrm>
                    <a:prstGeom prst="rect">
                      <a:avLst/>
                    </a:prstGeom>
                    <a:noFill/>
                    <a:ln>
                      <a:noFill/>
                    </a:ln>
                  </pic:spPr>
                </pic:pic>
              </a:graphicData>
            </a:graphic>
          </wp:anchor>
        </w:drawing>
      </w:r>
      <w:bookmarkEnd w:id="8"/>
    </w:p>
    <w:sectPr>
      <w:footerReference r:id="rId3" w:type="default"/>
      <w:pgSz w:w="11906" w:h="16838"/>
      <w:pgMar w:top="1440" w:right="1418" w:bottom="1440"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mZWJiY2Q1MjRiODMyOTcwNjI2MTMxYjBlYTg3ZjEifQ=="/>
  </w:docVars>
  <w:rsids>
    <w:rsidRoot w:val="00F702B8"/>
    <w:rsid w:val="00001621"/>
    <w:rsid w:val="00002F3E"/>
    <w:rsid w:val="000143C8"/>
    <w:rsid w:val="000249BB"/>
    <w:rsid w:val="000410EB"/>
    <w:rsid w:val="00041272"/>
    <w:rsid w:val="0004309F"/>
    <w:rsid w:val="0005470C"/>
    <w:rsid w:val="00054F41"/>
    <w:rsid w:val="00077687"/>
    <w:rsid w:val="00082658"/>
    <w:rsid w:val="00087835"/>
    <w:rsid w:val="00091043"/>
    <w:rsid w:val="00097843"/>
    <w:rsid w:val="000A0984"/>
    <w:rsid w:val="000B456C"/>
    <w:rsid w:val="000C0EF2"/>
    <w:rsid w:val="000D039E"/>
    <w:rsid w:val="000D5333"/>
    <w:rsid w:val="000D6936"/>
    <w:rsid w:val="000E0548"/>
    <w:rsid w:val="000E0E83"/>
    <w:rsid w:val="000E3ADC"/>
    <w:rsid w:val="000F03BF"/>
    <w:rsid w:val="00104F68"/>
    <w:rsid w:val="00116D62"/>
    <w:rsid w:val="0012207A"/>
    <w:rsid w:val="00123B43"/>
    <w:rsid w:val="00135CC5"/>
    <w:rsid w:val="0014450C"/>
    <w:rsid w:val="00144CC6"/>
    <w:rsid w:val="00147D1F"/>
    <w:rsid w:val="0015092B"/>
    <w:rsid w:val="00150A51"/>
    <w:rsid w:val="001552BE"/>
    <w:rsid w:val="00156391"/>
    <w:rsid w:val="00163519"/>
    <w:rsid w:val="00182174"/>
    <w:rsid w:val="001903D6"/>
    <w:rsid w:val="001A17F8"/>
    <w:rsid w:val="001A2D66"/>
    <w:rsid w:val="001A76FB"/>
    <w:rsid w:val="001B52B1"/>
    <w:rsid w:val="001D55CE"/>
    <w:rsid w:val="001E5685"/>
    <w:rsid w:val="00203F83"/>
    <w:rsid w:val="00204D1F"/>
    <w:rsid w:val="00210761"/>
    <w:rsid w:val="00214665"/>
    <w:rsid w:val="00245450"/>
    <w:rsid w:val="002541D6"/>
    <w:rsid w:val="002602DF"/>
    <w:rsid w:val="00270E95"/>
    <w:rsid w:val="00271FC1"/>
    <w:rsid w:val="00275A88"/>
    <w:rsid w:val="00287C26"/>
    <w:rsid w:val="002904B6"/>
    <w:rsid w:val="002B2679"/>
    <w:rsid w:val="002B4416"/>
    <w:rsid w:val="002B7BFD"/>
    <w:rsid w:val="002E4E5C"/>
    <w:rsid w:val="002F1691"/>
    <w:rsid w:val="002F4E04"/>
    <w:rsid w:val="002F7B2D"/>
    <w:rsid w:val="003062B4"/>
    <w:rsid w:val="00310595"/>
    <w:rsid w:val="00311389"/>
    <w:rsid w:val="003269C3"/>
    <w:rsid w:val="0033462D"/>
    <w:rsid w:val="003430CD"/>
    <w:rsid w:val="0034437C"/>
    <w:rsid w:val="00364447"/>
    <w:rsid w:val="00390467"/>
    <w:rsid w:val="0039417C"/>
    <w:rsid w:val="00397E9C"/>
    <w:rsid w:val="003A0359"/>
    <w:rsid w:val="003A3AA6"/>
    <w:rsid w:val="003B555C"/>
    <w:rsid w:val="003B6970"/>
    <w:rsid w:val="003B7438"/>
    <w:rsid w:val="003B76D0"/>
    <w:rsid w:val="003E11F3"/>
    <w:rsid w:val="00405BF2"/>
    <w:rsid w:val="00413260"/>
    <w:rsid w:val="00427403"/>
    <w:rsid w:val="004503A8"/>
    <w:rsid w:val="004520E5"/>
    <w:rsid w:val="004528F4"/>
    <w:rsid w:val="00460072"/>
    <w:rsid w:val="0046459A"/>
    <w:rsid w:val="00465235"/>
    <w:rsid w:val="004805F3"/>
    <w:rsid w:val="00486127"/>
    <w:rsid w:val="004952E6"/>
    <w:rsid w:val="004B1720"/>
    <w:rsid w:val="004C3578"/>
    <w:rsid w:val="004C45E6"/>
    <w:rsid w:val="004C64A6"/>
    <w:rsid w:val="004C6773"/>
    <w:rsid w:val="004D773D"/>
    <w:rsid w:val="004E31E3"/>
    <w:rsid w:val="004E6602"/>
    <w:rsid w:val="004F5D22"/>
    <w:rsid w:val="00501E72"/>
    <w:rsid w:val="005028E9"/>
    <w:rsid w:val="00506CAA"/>
    <w:rsid w:val="0051115F"/>
    <w:rsid w:val="00517D8A"/>
    <w:rsid w:val="005205F7"/>
    <w:rsid w:val="00521C80"/>
    <w:rsid w:val="00526350"/>
    <w:rsid w:val="00526F8A"/>
    <w:rsid w:val="00554737"/>
    <w:rsid w:val="00556790"/>
    <w:rsid w:val="00560732"/>
    <w:rsid w:val="00582391"/>
    <w:rsid w:val="005865C2"/>
    <w:rsid w:val="00590CF7"/>
    <w:rsid w:val="005B1FE3"/>
    <w:rsid w:val="005D78A3"/>
    <w:rsid w:val="005D79EA"/>
    <w:rsid w:val="0060686A"/>
    <w:rsid w:val="006136AF"/>
    <w:rsid w:val="006141A1"/>
    <w:rsid w:val="00637303"/>
    <w:rsid w:val="00640D60"/>
    <w:rsid w:val="006440FE"/>
    <w:rsid w:val="00645348"/>
    <w:rsid w:val="00651CF4"/>
    <w:rsid w:val="00662424"/>
    <w:rsid w:val="00663398"/>
    <w:rsid w:val="006654AD"/>
    <w:rsid w:val="00675D84"/>
    <w:rsid w:val="006A1541"/>
    <w:rsid w:val="006A6791"/>
    <w:rsid w:val="006B60C4"/>
    <w:rsid w:val="006C088B"/>
    <w:rsid w:val="006C36F4"/>
    <w:rsid w:val="006F0DE8"/>
    <w:rsid w:val="006F63D4"/>
    <w:rsid w:val="006F78CB"/>
    <w:rsid w:val="00712BD3"/>
    <w:rsid w:val="00721B32"/>
    <w:rsid w:val="00731DA5"/>
    <w:rsid w:val="007418EB"/>
    <w:rsid w:val="007623DD"/>
    <w:rsid w:val="007629B3"/>
    <w:rsid w:val="00781F85"/>
    <w:rsid w:val="00784C91"/>
    <w:rsid w:val="007867BF"/>
    <w:rsid w:val="007917B4"/>
    <w:rsid w:val="007961D7"/>
    <w:rsid w:val="007A5728"/>
    <w:rsid w:val="007B667D"/>
    <w:rsid w:val="007D68F7"/>
    <w:rsid w:val="007E500A"/>
    <w:rsid w:val="007E5390"/>
    <w:rsid w:val="007F19DD"/>
    <w:rsid w:val="007F52AA"/>
    <w:rsid w:val="007F5E61"/>
    <w:rsid w:val="007F6BA0"/>
    <w:rsid w:val="008137DE"/>
    <w:rsid w:val="00814AF2"/>
    <w:rsid w:val="008169A3"/>
    <w:rsid w:val="00821F4F"/>
    <w:rsid w:val="00831B05"/>
    <w:rsid w:val="008446A8"/>
    <w:rsid w:val="008617C3"/>
    <w:rsid w:val="00863D6B"/>
    <w:rsid w:val="00867BA2"/>
    <w:rsid w:val="00882EF7"/>
    <w:rsid w:val="008904A3"/>
    <w:rsid w:val="00892B30"/>
    <w:rsid w:val="00893156"/>
    <w:rsid w:val="008A1AC0"/>
    <w:rsid w:val="008A7BF3"/>
    <w:rsid w:val="008B0109"/>
    <w:rsid w:val="008B5B80"/>
    <w:rsid w:val="008C06D9"/>
    <w:rsid w:val="008D32A0"/>
    <w:rsid w:val="008D3B54"/>
    <w:rsid w:val="008E175E"/>
    <w:rsid w:val="008E3A7B"/>
    <w:rsid w:val="008F6649"/>
    <w:rsid w:val="009242F7"/>
    <w:rsid w:val="0093058E"/>
    <w:rsid w:val="009348C7"/>
    <w:rsid w:val="00942D44"/>
    <w:rsid w:val="0095600D"/>
    <w:rsid w:val="00956292"/>
    <w:rsid w:val="00960422"/>
    <w:rsid w:val="0096247E"/>
    <w:rsid w:val="00962761"/>
    <w:rsid w:val="009677D2"/>
    <w:rsid w:val="0097221C"/>
    <w:rsid w:val="00977DA1"/>
    <w:rsid w:val="00983C31"/>
    <w:rsid w:val="00986992"/>
    <w:rsid w:val="00994575"/>
    <w:rsid w:val="009A2480"/>
    <w:rsid w:val="009A6BBE"/>
    <w:rsid w:val="009D124B"/>
    <w:rsid w:val="009E1E03"/>
    <w:rsid w:val="009F420C"/>
    <w:rsid w:val="00A01381"/>
    <w:rsid w:val="00A127F8"/>
    <w:rsid w:val="00A14D0C"/>
    <w:rsid w:val="00A339D9"/>
    <w:rsid w:val="00A61917"/>
    <w:rsid w:val="00A61CC2"/>
    <w:rsid w:val="00A66F1F"/>
    <w:rsid w:val="00A73675"/>
    <w:rsid w:val="00A77245"/>
    <w:rsid w:val="00A83175"/>
    <w:rsid w:val="00A86183"/>
    <w:rsid w:val="00A86535"/>
    <w:rsid w:val="00A9052D"/>
    <w:rsid w:val="00A90B11"/>
    <w:rsid w:val="00AA0227"/>
    <w:rsid w:val="00AA32A1"/>
    <w:rsid w:val="00AA537A"/>
    <w:rsid w:val="00AA6E26"/>
    <w:rsid w:val="00AB3E1E"/>
    <w:rsid w:val="00AC0F37"/>
    <w:rsid w:val="00AC4EAD"/>
    <w:rsid w:val="00AE05B5"/>
    <w:rsid w:val="00AE2836"/>
    <w:rsid w:val="00AE38D3"/>
    <w:rsid w:val="00AF1409"/>
    <w:rsid w:val="00AF509A"/>
    <w:rsid w:val="00B03856"/>
    <w:rsid w:val="00B05A8C"/>
    <w:rsid w:val="00B07F3D"/>
    <w:rsid w:val="00B13734"/>
    <w:rsid w:val="00B16A6E"/>
    <w:rsid w:val="00B2023B"/>
    <w:rsid w:val="00B406B8"/>
    <w:rsid w:val="00B572F5"/>
    <w:rsid w:val="00B606FF"/>
    <w:rsid w:val="00B731B2"/>
    <w:rsid w:val="00B75585"/>
    <w:rsid w:val="00B94569"/>
    <w:rsid w:val="00BA1CB9"/>
    <w:rsid w:val="00BC1AFD"/>
    <w:rsid w:val="00BC2D5A"/>
    <w:rsid w:val="00BC78B0"/>
    <w:rsid w:val="00BD5FEB"/>
    <w:rsid w:val="00BE544D"/>
    <w:rsid w:val="00BF09F1"/>
    <w:rsid w:val="00BF4193"/>
    <w:rsid w:val="00BF6E1D"/>
    <w:rsid w:val="00C23287"/>
    <w:rsid w:val="00C236ED"/>
    <w:rsid w:val="00C421D6"/>
    <w:rsid w:val="00C42284"/>
    <w:rsid w:val="00C579C4"/>
    <w:rsid w:val="00C75AAD"/>
    <w:rsid w:val="00C76540"/>
    <w:rsid w:val="00C858BC"/>
    <w:rsid w:val="00CA51B9"/>
    <w:rsid w:val="00CC12B3"/>
    <w:rsid w:val="00CC49D8"/>
    <w:rsid w:val="00CD3DEE"/>
    <w:rsid w:val="00CD4867"/>
    <w:rsid w:val="00CD7CD2"/>
    <w:rsid w:val="00CE7983"/>
    <w:rsid w:val="00CF1C8B"/>
    <w:rsid w:val="00D21AC2"/>
    <w:rsid w:val="00D358E2"/>
    <w:rsid w:val="00D35FA2"/>
    <w:rsid w:val="00D51E1E"/>
    <w:rsid w:val="00D54D1A"/>
    <w:rsid w:val="00D569EE"/>
    <w:rsid w:val="00D83F20"/>
    <w:rsid w:val="00D846E8"/>
    <w:rsid w:val="00D869DF"/>
    <w:rsid w:val="00D932F3"/>
    <w:rsid w:val="00DA3068"/>
    <w:rsid w:val="00DB1779"/>
    <w:rsid w:val="00DB4E41"/>
    <w:rsid w:val="00DB52A1"/>
    <w:rsid w:val="00DB5B10"/>
    <w:rsid w:val="00DC34FB"/>
    <w:rsid w:val="00DC3AEF"/>
    <w:rsid w:val="00DC75BF"/>
    <w:rsid w:val="00DD5EF8"/>
    <w:rsid w:val="00DD7A57"/>
    <w:rsid w:val="00DE16D4"/>
    <w:rsid w:val="00DE7761"/>
    <w:rsid w:val="00DF4775"/>
    <w:rsid w:val="00DF6D98"/>
    <w:rsid w:val="00E0140C"/>
    <w:rsid w:val="00E02085"/>
    <w:rsid w:val="00E03378"/>
    <w:rsid w:val="00E03CFB"/>
    <w:rsid w:val="00E318DA"/>
    <w:rsid w:val="00E33663"/>
    <w:rsid w:val="00E54953"/>
    <w:rsid w:val="00E6039C"/>
    <w:rsid w:val="00E62791"/>
    <w:rsid w:val="00E65AB8"/>
    <w:rsid w:val="00E66F84"/>
    <w:rsid w:val="00E7134B"/>
    <w:rsid w:val="00E85692"/>
    <w:rsid w:val="00E87F0F"/>
    <w:rsid w:val="00EA08EC"/>
    <w:rsid w:val="00EA46E2"/>
    <w:rsid w:val="00EB74CB"/>
    <w:rsid w:val="00EC1BD9"/>
    <w:rsid w:val="00EC5474"/>
    <w:rsid w:val="00EC710D"/>
    <w:rsid w:val="00ED320E"/>
    <w:rsid w:val="00EE3078"/>
    <w:rsid w:val="00EE4BDB"/>
    <w:rsid w:val="00EF6D60"/>
    <w:rsid w:val="00F05664"/>
    <w:rsid w:val="00F13BFE"/>
    <w:rsid w:val="00F30B6C"/>
    <w:rsid w:val="00F33905"/>
    <w:rsid w:val="00F350C6"/>
    <w:rsid w:val="00F36869"/>
    <w:rsid w:val="00F37073"/>
    <w:rsid w:val="00F46EFB"/>
    <w:rsid w:val="00F5576A"/>
    <w:rsid w:val="00F6012C"/>
    <w:rsid w:val="00F702B8"/>
    <w:rsid w:val="00F72211"/>
    <w:rsid w:val="00F8110C"/>
    <w:rsid w:val="00F845EC"/>
    <w:rsid w:val="00F91B34"/>
    <w:rsid w:val="00FB12D2"/>
    <w:rsid w:val="00FC5A87"/>
    <w:rsid w:val="00FC6B75"/>
    <w:rsid w:val="00FD30B7"/>
    <w:rsid w:val="00FD4992"/>
    <w:rsid w:val="00FD607F"/>
    <w:rsid w:val="00FE59ED"/>
    <w:rsid w:val="00FF5567"/>
    <w:rsid w:val="06060DAE"/>
    <w:rsid w:val="08982DF2"/>
    <w:rsid w:val="0A2D5EB7"/>
    <w:rsid w:val="10143155"/>
    <w:rsid w:val="116114EB"/>
    <w:rsid w:val="17252940"/>
    <w:rsid w:val="176B3476"/>
    <w:rsid w:val="18DF7793"/>
    <w:rsid w:val="1A111C52"/>
    <w:rsid w:val="1E585B19"/>
    <w:rsid w:val="200957F9"/>
    <w:rsid w:val="227C3844"/>
    <w:rsid w:val="236B1EE6"/>
    <w:rsid w:val="24A42D94"/>
    <w:rsid w:val="28687287"/>
    <w:rsid w:val="2A094D30"/>
    <w:rsid w:val="2B7B3A0B"/>
    <w:rsid w:val="33576819"/>
    <w:rsid w:val="382B7DB9"/>
    <w:rsid w:val="39674E9F"/>
    <w:rsid w:val="3C7B72B5"/>
    <w:rsid w:val="3FC544D7"/>
    <w:rsid w:val="43456981"/>
    <w:rsid w:val="44460B4F"/>
    <w:rsid w:val="4B8A513A"/>
    <w:rsid w:val="50E84A1B"/>
    <w:rsid w:val="58FA7E92"/>
    <w:rsid w:val="5BE13F3E"/>
    <w:rsid w:val="603A6BEF"/>
    <w:rsid w:val="62B965EC"/>
    <w:rsid w:val="663D530E"/>
    <w:rsid w:val="682E55B4"/>
    <w:rsid w:val="7481619E"/>
    <w:rsid w:val="7587012F"/>
    <w:rsid w:val="79F949BB"/>
    <w:rsid w:val="7C737183"/>
    <w:rsid w:val="7D083FA0"/>
    <w:rsid w:val="7DFD3A6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ocked="1"/>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宋体" w:cs="Times New Roman"/>
      <w:kern w:val="2"/>
      <w:sz w:val="24"/>
      <w:szCs w:val="22"/>
      <w:lang w:val="en-US" w:eastAsia="zh-CN" w:bidi="ar-SA"/>
    </w:rPr>
  </w:style>
  <w:style w:type="paragraph" w:styleId="2">
    <w:name w:val="heading 1"/>
    <w:basedOn w:val="1"/>
    <w:next w:val="1"/>
    <w:link w:val="18"/>
    <w:qFormat/>
    <w:uiPriority w:val="99"/>
    <w:pPr>
      <w:keepNext/>
      <w:keepLines/>
      <w:snapToGrid w:val="0"/>
      <w:spacing w:line="360" w:lineRule="auto"/>
      <w:ind w:firstLine="640" w:firstLineChars="200"/>
      <w:jc w:val="left"/>
      <w:outlineLvl w:val="0"/>
    </w:pPr>
    <w:rPr>
      <w:rFonts w:ascii="黑体" w:hAnsi="黑体" w:eastAsia="黑体"/>
      <w:bCs/>
      <w:kern w:val="44"/>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32"/>
    <w:semiHidden/>
    <w:qFormat/>
    <w:uiPriority w:val="99"/>
    <w:rPr>
      <w:rFonts w:ascii="宋体"/>
      <w:sz w:val="18"/>
      <w:szCs w:val="18"/>
    </w:rPr>
  </w:style>
  <w:style w:type="paragraph" w:styleId="4">
    <w:name w:val="annotation text"/>
    <w:basedOn w:val="1"/>
    <w:link w:val="19"/>
    <w:semiHidden/>
    <w:qFormat/>
    <w:uiPriority w:val="99"/>
    <w:pPr>
      <w:jc w:val="left"/>
    </w:pPr>
  </w:style>
  <w:style w:type="paragraph" w:styleId="5">
    <w:name w:val="Body Text Indent"/>
    <w:basedOn w:val="1"/>
    <w:link w:val="21"/>
    <w:qFormat/>
    <w:uiPriority w:val="99"/>
    <w:pPr>
      <w:widowControl/>
      <w:ind w:firstLine="675"/>
    </w:pPr>
    <w:rPr>
      <w:sz w:val="28"/>
      <w:szCs w:val="28"/>
    </w:rPr>
  </w:style>
  <w:style w:type="paragraph" w:styleId="6">
    <w:name w:val="Date"/>
    <w:basedOn w:val="1"/>
    <w:next w:val="1"/>
    <w:link w:val="35"/>
    <w:semiHidden/>
    <w:unhideWhenUsed/>
    <w:qFormat/>
    <w:locked/>
    <w:uiPriority w:val="99"/>
    <w:pPr>
      <w:ind w:left="100" w:leftChars="2500"/>
    </w:pPr>
  </w:style>
  <w:style w:type="paragraph" w:styleId="7">
    <w:name w:val="Balloon Text"/>
    <w:basedOn w:val="1"/>
    <w:link w:val="22"/>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25"/>
    <w:qFormat/>
    <w:uiPriority w:val="99"/>
    <w:pPr>
      <w:ind w:left="-120" w:leftChars="-50" w:right="-120" w:rightChars="-50"/>
      <w:jc w:val="center"/>
    </w:pPr>
    <w:rPr>
      <w:bCs/>
      <w:sz w:val="18"/>
      <w:szCs w:val="32"/>
    </w:rPr>
  </w:style>
  <w:style w:type="paragraph" w:styleId="11">
    <w:name w:val="annotation subject"/>
    <w:basedOn w:val="4"/>
    <w:next w:val="4"/>
    <w:link w:val="20"/>
    <w:semiHidden/>
    <w:qFormat/>
    <w:uiPriority w:val="99"/>
    <w:rPr>
      <w:b/>
      <w:bCs/>
    </w:rPr>
  </w:style>
  <w:style w:type="table" w:styleId="13">
    <w:name w:val="Table Grid"/>
    <w:basedOn w:val="12"/>
    <w:qFormat/>
    <w:uiPriority w:val="9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locked/>
    <w:uiPriority w:val="0"/>
    <w:rPr>
      <w:b/>
      <w:bCs/>
    </w:rPr>
  </w:style>
  <w:style w:type="character" w:styleId="16">
    <w:name w:val="page number"/>
    <w:qFormat/>
    <w:uiPriority w:val="99"/>
    <w:rPr>
      <w:rFonts w:cs="Times New Roman"/>
    </w:rPr>
  </w:style>
  <w:style w:type="character" w:styleId="17">
    <w:name w:val="annotation reference"/>
    <w:semiHidden/>
    <w:qFormat/>
    <w:uiPriority w:val="99"/>
    <w:rPr>
      <w:rFonts w:cs="Times New Roman"/>
      <w:sz w:val="21"/>
      <w:szCs w:val="21"/>
    </w:rPr>
  </w:style>
  <w:style w:type="character" w:customStyle="1" w:styleId="18">
    <w:name w:val="标题 1 Char"/>
    <w:link w:val="2"/>
    <w:qFormat/>
    <w:locked/>
    <w:uiPriority w:val="99"/>
    <w:rPr>
      <w:rFonts w:ascii="黑体" w:hAnsi="黑体" w:eastAsia="黑体" w:cs="Times New Roman"/>
      <w:bCs/>
      <w:kern w:val="44"/>
      <w:sz w:val="32"/>
      <w:szCs w:val="32"/>
    </w:rPr>
  </w:style>
  <w:style w:type="character" w:customStyle="1" w:styleId="19">
    <w:name w:val="批注文字 Char"/>
    <w:link w:val="4"/>
    <w:semiHidden/>
    <w:qFormat/>
    <w:locked/>
    <w:uiPriority w:val="99"/>
    <w:rPr>
      <w:rFonts w:cs="Times New Roman"/>
      <w:kern w:val="2"/>
      <w:sz w:val="22"/>
      <w:szCs w:val="22"/>
    </w:rPr>
  </w:style>
  <w:style w:type="character" w:customStyle="1" w:styleId="20">
    <w:name w:val="批注主题 Char"/>
    <w:link w:val="11"/>
    <w:semiHidden/>
    <w:qFormat/>
    <w:locked/>
    <w:uiPriority w:val="99"/>
    <w:rPr>
      <w:rFonts w:cs="Times New Roman"/>
      <w:b/>
      <w:bCs/>
      <w:kern w:val="2"/>
      <w:sz w:val="22"/>
      <w:szCs w:val="22"/>
    </w:rPr>
  </w:style>
  <w:style w:type="character" w:customStyle="1" w:styleId="21">
    <w:name w:val="正文文本缩进 Char"/>
    <w:link w:val="5"/>
    <w:qFormat/>
    <w:locked/>
    <w:uiPriority w:val="99"/>
    <w:rPr>
      <w:rFonts w:eastAsia="宋体" w:cs="Times New Roman"/>
      <w:sz w:val="28"/>
      <w:szCs w:val="28"/>
    </w:rPr>
  </w:style>
  <w:style w:type="character" w:customStyle="1" w:styleId="22">
    <w:name w:val="批注框文本 Char"/>
    <w:link w:val="7"/>
    <w:semiHidden/>
    <w:qFormat/>
    <w:locked/>
    <w:uiPriority w:val="99"/>
    <w:rPr>
      <w:rFonts w:cs="Times New Roman"/>
      <w:sz w:val="18"/>
      <w:szCs w:val="18"/>
    </w:rPr>
  </w:style>
  <w:style w:type="character" w:customStyle="1" w:styleId="23">
    <w:name w:val="页脚 Char"/>
    <w:link w:val="8"/>
    <w:qFormat/>
    <w:locked/>
    <w:uiPriority w:val="99"/>
    <w:rPr>
      <w:rFonts w:cs="Times New Roman"/>
      <w:sz w:val="18"/>
      <w:szCs w:val="18"/>
    </w:rPr>
  </w:style>
  <w:style w:type="character" w:customStyle="1" w:styleId="24">
    <w:name w:val="页眉 Char"/>
    <w:link w:val="9"/>
    <w:qFormat/>
    <w:locked/>
    <w:uiPriority w:val="99"/>
    <w:rPr>
      <w:rFonts w:cs="Times New Roman"/>
      <w:sz w:val="18"/>
      <w:szCs w:val="18"/>
    </w:rPr>
  </w:style>
  <w:style w:type="character" w:customStyle="1" w:styleId="25">
    <w:name w:val="标题 Char"/>
    <w:link w:val="10"/>
    <w:qFormat/>
    <w:locked/>
    <w:uiPriority w:val="99"/>
    <w:rPr>
      <w:rFonts w:ascii="Cambria" w:hAnsi="Cambria" w:eastAsia="宋体" w:cs="Times New Roman"/>
      <w:b/>
      <w:bCs/>
      <w:sz w:val="32"/>
      <w:szCs w:val="32"/>
    </w:rPr>
  </w:style>
  <w:style w:type="paragraph" w:customStyle="1" w:styleId="26">
    <w:name w:val="正文1"/>
    <w:basedOn w:val="1"/>
    <w:qFormat/>
    <w:uiPriority w:val="99"/>
    <w:pPr>
      <w:adjustRightInd w:val="0"/>
      <w:snapToGrid w:val="0"/>
      <w:spacing w:line="360" w:lineRule="auto"/>
      <w:ind w:firstLine="200" w:firstLineChars="200"/>
    </w:pPr>
    <w:rPr>
      <w:rFonts w:ascii="Times New Roman" w:hAnsi="Times New Roman"/>
      <w:szCs w:val="24"/>
    </w:rPr>
  </w:style>
  <w:style w:type="paragraph" w:styleId="27">
    <w:name w:val="No Spacing"/>
    <w:basedOn w:val="1"/>
    <w:link w:val="28"/>
    <w:qFormat/>
    <w:uiPriority w:val="99"/>
    <w:pPr>
      <w:adjustRightInd w:val="0"/>
      <w:snapToGrid w:val="0"/>
      <w:jc w:val="center"/>
    </w:pPr>
    <w:rPr>
      <w:rFonts w:ascii="Times New Roman" w:hAnsi="Times New Roman"/>
      <w:kern w:val="0"/>
      <w:szCs w:val="20"/>
    </w:rPr>
  </w:style>
  <w:style w:type="character" w:customStyle="1" w:styleId="28">
    <w:name w:val="无间隔 Char"/>
    <w:link w:val="27"/>
    <w:qFormat/>
    <w:locked/>
    <w:uiPriority w:val="99"/>
    <w:rPr>
      <w:rFonts w:ascii="Times New Roman" w:hAnsi="Times New Roman" w:eastAsia="宋体"/>
      <w:sz w:val="24"/>
    </w:rPr>
  </w:style>
  <w:style w:type="paragraph" w:styleId="29">
    <w:name w:val="List Paragraph"/>
    <w:basedOn w:val="1"/>
    <w:qFormat/>
    <w:uiPriority w:val="99"/>
    <w:pPr>
      <w:ind w:firstLine="420" w:firstLineChars="200"/>
    </w:pPr>
  </w:style>
  <w:style w:type="character" w:customStyle="1" w:styleId="30">
    <w:name w:val="wj样式 Char"/>
    <w:link w:val="31"/>
    <w:qFormat/>
    <w:locked/>
    <w:uiPriority w:val="99"/>
    <w:rPr>
      <w:rFonts w:eastAsia="宋体"/>
      <w:spacing w:val="14"/>
      <w:sz w:val="24"/>
    </w:rPr>
  </w:style>
  <w:style w:type="paragraph" w:customStyle="1" w:styleId="31">
    <w:name w:val="wj样式"/>
    <w:basedOn w:val="1"/>
    <w:next w:val="1"/>
    <w:link w:val="30"/>
    <w:qFormat/>
    <w:uiPriority w:val="99"/>
    <w:pPr>
      <w:spacing w:line="360" w:lineRule="auto"/>
      <w:ind w:firstLine="200" w:firstLineChars="200"/>
    </w:pPr>
    <w:rPr>
      <w:spacing w:val="14"/>
      <w:kern w:val="0"/>
      <w:szCs w:val="20"/>
    </w:rPr>
  </w:style>
  <w:style w:type="character" w:customStyle="1" w:styleId="32">
    <w:name w:val="文档结构图 Char"/>
    <w:link w:val="3"/>
    <w:semiHidden/>
    <w:qFormat/>
    <w:locked/>
    <w:uiPriority w:val="99"/>
    <w:rPr>
      <w:rFonts w:ascii="宋体" w:eastAsia="宋体" w:cs="Times New Roman"/>
      <w:kern w:val="2"/>
      <w:sz w:val="18"/>
      <w:szCs w:val="18"/>
    </w:rPr>
  </w:style>
  <w:style w:type="paragraph" w:customStyle="1" w:styleId="33">
    <w:name w:val="表格10号"/>
    <w:basedOn w:val="1"/>
    <w:link w:val="34"/>
    <w:qFormat/>
    <w:uiPriority w:val="99"/>
    <w:pPr>
      <w:keepLines/>
      <w:adjustRightInd w:val="0"/>
      <w:snapToGrid w:val="0"/>
      <w:jc w:val="center"/>
    </w:pPr>
    <w:rPr>
      <w:rFonts w:ascii="Times New Roman" w:hAnsi="Times New Roman"/>
      <w:color w:val="000000"/>
      <w:sz w:val="28"/>
      <w:szCs w:val="20"/>
    </w:rPr>
  </w:style>
  <w:style w:type="character" w:customStyle="1" w:styleId="34">
    <w:name w:val="表格10号 Char"/>
    <w:link w:val="33"/>
    <w:qFormat/>
    <w:locked/>
    <w:uiPriority w:val="99"/>
    <w:rPr>
      <w:rFonts w:ascii="Times New Roman" w:hAnsi="Times New Roman" w:eastAsia="宋体"/>
      <w:color w:val="000000"/>
      <w:kern w:val="2"/>
      <w:sz w:val="28"/>
    </w:rPr>
  </w:style>
  <w:style w:type="character" w:customStyle="1" w:styleId="35">
    <w:name w:val="日期 Char"/>
    <w:link w:val="6"/>
    <w:semiHidden/>
    <w:qFormat/>
    <w:uiPriority w:val="99"/>
    <w:rPr>
      <w:rFonts w:eastAsia="宋体"/>
      <w:kern w:val="2"/>
      <w:sz w:val="24"/>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JDC</Company>
  <Pages>6</Pages>
  <Words>2318</Words>
  <Characters>2459</Characters>
  <Lines>17</Lines>
  <Paragraphs>5</Paragraphs>
  <TotalTime>1</TotalTime>
  <ScaleCrop>false</ScaleCrop>
  <LinksUpToDate>false</LinksUpToDate>
  <CharactersWithSpaces>2560</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2018-06-21T03:28:00Z</dcterms:created>
  <dc:creator>LIUYu</dc:creator>
  <cp:lastModifiedBy>Administrator</cp:lastModifiedBy>
  <cp:lastPrinted>2019-01-08T02:47:00Z</cp:lastPrinted>
  <dcterms:modified xsi:type="dcterms:W3CDTF">2023-12-28T06:56:56Z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37BD735B4659423B94D1A81E983761C5_13</vt:lpwstr>
  </property>
</Properties>
</file>