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rPr>
      </w:pPr>
      <w:r>
        <w:drawing>
          <wp:anchor distT="0" distB="0" distL="114300" distR="114300" simplePos="0" relativeHeight="251659264" behindDoc="0" locked="0" layoutInCell="1" allowOverlap="1">
            <wp:simplePos x="0" y="0"/>
            <wp:positionH relativeFrom="column">
              <wp:posOffset>-904240</wp:posOffset>
            </wp:positionH>
            <wp:positionV relativeFrom="paragraph">
              <wp:posOffset>-1278255</wp:posOffset>
            </wp:positionV>
            <wp:extent cx="7574915" cy="10707370"/>
            <wp:effectExtent l="0" t="0" r="6985" b="1778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7574915" cy="10707370"/>
                    </a:xfrm>
                    <a:prstGeom prst="rect">
                      <a:avLst/>
                    </a:prstGeom>
                    <a:noFill/>
                    <a:ln>
                      <a:noFill/>
                    </a:ln>
                  </pic:spPr>
                </pic:pic>
              </a:graphicData>
            </a:graphic>
          </wp:anchor>
        </w:drawing>
      </w:r>
    </w:p>
    <w:p>
      <w:pPr>
        <w:spacing w:before="120" w:beforeLines="50" w:after="120" w:afterLines="50" w:line="360" w:lineRule="auto"/>
        <w:jc w:val="both"/>
        <w:rPr>
          <w:rFonts w:ascii="Times New Roman" w:hAnsi="Times New Roman" w:eastAsia="黑体" w:cs="Times New Roman"/>
          <w:sz w:val="30"/>
          <w:szCs w:val="30"/>
        </w:rPr>
        <w:sectPr>
          <w:footerReference r:id="rId3" w:type="default"/>
          <w:pgSz w:w="11906" w:h="16838"/>
          <w:pgMar w:top="1440" w:right="1440" w:bottom="1440" w:left="1440" w:header="851" w:footer="992" w:gutter="0"/>
          <w:pgNumType w:start="1"/>
          <w:cols w:space="425" w:num="1"/>
          <w:docGrid w:linePitch="312" w:charSpace="0"/>
        </w:sectPr>
      </w:pPr>
    </w:p>
    <w:p>
      <w:pPr>
        <w:spacing w:before="120" w:beforeLines="50" w:after="120" w:afterLines="50" w:line="360" w:lineRule="auto"/>
        <w:jc w:val="both"/>
        <w:rPr>
          <w:rFonts w:ascii="Times New Roman" w:hAnsi="Times New Roman" w:eastAsia="黑体" w:cs="Times New Roman"/>
          <w:sz w:val="30"/>
          <w:szCs w:val="30"/>
        </w:rPr>
      </w:pPr>
      <w:r>
        <w:rPr>
          <w:rFonts w:ascii="Times New Roman" w:hAnsi="Times New Roman" w:eastAsia="黑体" w:cs="Times New Roman"/>
          <w:sz w:val="30"/>
          <w:szCs w:val="30"/>
        </w:rPr>
        <w:t>一、生产建设项目水土保持设施验收基本情况表</w:t>
      </w:r>
    </w:p>
    <w:tbl>
      <w:tblPr>
        <w:tblStyle w:val="7"/>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0"/>
        <w:gridCol w:w="4133"/>
        <w:gridCol w:w="1135"/>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exact"/>
          <w:jc w:val="center"/>
        </w:trPr>
        <w:tc>
          <w:tcPr>
            <w:tcW w:w="2920" w:type="dxa"/>
            <w:vAlign w:val="center"/>
          </w:tcPr>
          <w:p>
            <w:pPr>
              <w:ind w:left="120" w:leftChars="57"/>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项目名称</w:t>
            </w:r>
          </w:p>
        </w:tc>
        <w:tc>
          <w:tcPr>
            <w:tcW w:w="4133" w:type="dxa"/>
            <w:vAlign w:val="center"/>
          </w:tcPr>
          <w:p>
            <w:pPr>
              <w:ind w:left="120" w:leftChars="57"/>
              <w:jc w:val="cente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坪山大道</w:t>
            </w:r>
          </w:p>
        </w:tc>
        <w:tc>
          <w:tcPr>
            <w:tcW w:w="1135" w:type="dxa"/>
            <w:vAlign w:val="center"/>
          </w:tcPr>
          <w:p>
            <w:pPr>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行业</w:t>
            </w:r>
          </w:p>
          <w:p>
            <w:pPr>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类别</w:t>
            </w:r>
          </w:p>
        </w:tc>
        <w:tc>
          <w:tcPr>
            <w:tcW w:w="1054" w:type="dxa"/>
            <w:vAlign w:val="center"/>
          </w:tcPr>
          <w:p>
            <w:pPr>
              <w:jc w:val="cente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公路工程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exact"/>
          <w:jc w:val="center"/>
        </w:trPr>
        <w:tc>
          <w:tcPr>
            <w:tcW w:w="2920" w:type="dxa"/>
            <w:vAlign w:val="center"/>
          </w:tcPr>
          <w:p>
            <w:pPr>
              <w:ind w:left="120" w:leftChars="57"/>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主管部门</w:t>
            </w:r>
          </w:p>
          <w:p>
            <w:pPr>
              <w:ind w:left="120" w:leftChars="57"/>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（或主要投资方）</w:t>
            </w:r>
          </w:p>
        </w:tc>
        <w:tc>
          <w:tcPr>
            <w:tcW w:w="4133" w:type="dxa"/>
            <w:vAlign w:val="center"/>
          </w:tcPr>
          <w:p>
            <w:pPr>
              <w:ind w:firstLine="120" w:firstLineChars="50"/>
              <w:jc w:val="center"/>
              <w:rPr>
                <w:rFonts w:ascii="Times New Roman" w:hAnsi="Times New Roman" w:eastAsia="仿宋" w:cs="Times New Roman"/>
                <w:color w:val="000000"/>
                <w:sz w:val="24"/>
                <w:szCs w:val="24"/>
              </w:rPr>
            </w:pPr>
            <w:r>
              <w:rPr>
                <w:rFonts w:ascii="Times New Roman" w:hAnsi="Times New Roman" w:eastAsia="仿宋" w:cs="Times New Roman"/>
                <w:color w:val="000000" w:themeColor="text1"/>
                <w:sz w:val="24"/>
                <w:szCs w:val="24"/>
                <w14:textFill>
                  <w14:solidFill>
                    <w14:schemeClr w14:val="tx1"/>
                  </w14:solidFill>
                </w14:textFill>
              </w:rPr>
              <w:t>主要投资方：</w:t>
            </w:r>
            <w:r>
              <w:rPr>
                <w:rFonts w:hint="eastAsia" w:ascii="Times New Roman" w:hAnsi="Times New Roman" w:eastAsia="仿宋" w:cs="Times New Roman"/>
                <w:color w:val="000000"/>
                <w:sz w:val="24"/>
                <w:szCs w:val="24"/>
              </w:rPr>
              <w:t>重庆市</w:t>
            </w:r>
            <w:r>
              <w:rPr>
                <w:rFonts w:ascii="Times New Roman" w:hAnsi="Times New Roman" w:eastAsia="仿宋" w:cs="Times New Roman"/>
                <w:color w:val="000000"/>
                <w:sz w:val="24"/>
                <w:szCs w:val="24"/>
              </w:rPr>
              <w:t>城市建设投资(集团)有限公司</w:t>
            </w:r>
          </w:p>
        </w:tc>
        <w:tc>
          <w:tcPr>
            <w:tcW w:w="1135" w:type="dxa"/>
            <w:vAlign w:val="center"/>
          </w:tcPr>
          <w:p>
            <w:pPr>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项目</w:t>
            </w:r>
          </w:p>
          <w:p>
            <w:pPr>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性质</w:t>
            </w:r>
          </w:p>
        </w:tc>
        <w:tc>
          <w:tcPr>
            <w:tcW w:w="1054" w:type="dxa"/>
            <w:vAlign w:val="center"/>
          </w:tcPr>
          <w:p>
            <w:pPr>
              <w:adjustRightInd w:val="0"/>
              <w:snapToGrid w:val="0"/>
              <w:jc w:val="cente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920" w:type="dxa"/>
            <w:vAlign w:val="center"/>
          </w:tcPr>
          <w:p>
            <w:pPr>
              <w:ind w:left="120" w:leftChars="57"/>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水土保持方案批复机</w:t>
            </w:r>
          </w:p>
          <w:p>
            <w:pPr>
              <w:ind w:left="120" w:leftChars="57"/>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关、文号及时间</w:t>
            </w:r>
          </w:p>
        </w:tc>
        <w:tc>
          <w:tcPr>
            <w:tcW w:w="6322" w:type="dxa"/>
            <w:gridSpan w:val="3"/>
            <w:vAlign w:val="center"/>
          </w:tcPr>
          <w:p>
            <w:pPr>
              <w:jc w:val="left"/>
              <w:rPr>
                <w:rFonts w:ascii="Times New Roman" w:hAnsi="Times New Roman" w:eastAsia="仿宋" w:cs="Times New Roman"/>
                <w:color w:val="000000" w:themeColor="text1"/>
                <w:kern w:val="0"/>
                <w:sz w:val="24"/>
                <w:szCs w:val="24"/>
                <w14:textFill>
                  <w14:solidFill>
                    <w14:schemeClr w14:val="tx1"/>
                  </w14:solidFill>
                </w14:textFill>
              </w:rPr>
            </w:pPr>
            <w:r>
              <w:rPr>
                <w:rFonts w:ascii="Times New Roman" w:hAnsi="Times New Roman" w:eastAsia="仿宋" w:cs="Times New Roman"/>
                <w:color w:val="000000" w:themeColor="text1"/>
                <w:sz w:val="24"/>
                <w:szCs w:val="24"/>
                <w14:textFill>
                  <w14:solidFill>
                    <w14:schemeClr w14:val="tx1"/>
                  </w14:solidFill>
                </w14:textFill>
              </w:rPr>
              <w:t>2018年10月23日，重庆市水利局以《重庆市水利局关于坪山大道水土保持方案准予许可的决定》（渝水许可〔2018〕86号）对水土保持方案予以批复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920" w:type="dxa"/>
            <w:vAlign w:val="center"/>
          </w:tcPr>
          <w:p>
            <w:pPr>
              <w:ind w:left="120" w:leftChars="57"/>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水土保持方案变更批复</w:t>
            </w:r>
          </w:p>
          <w:p>
            <w:pPr>
              <w:ind w:left="120" w:leftChars="57"/>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机关、文号及时间</w:t>
            </w:r>
          </w:p>
        </w:tc>
        <w:tc>
          <w:tcPr>
            <w:tcW w:w="6322" w:type="dxa"/>
            <w:gridSpan w:val="3"/>
            <w:vAlign w:val="center"/>
          </w:tcPr>
          <w:p>
            <w:pPr>
              <w:adjustRightInd w:val="0"/>
              <w:snapToGrid w:val="0"/>
              <w:jc w:val="center"/>
              <w:rPr>
                <w:rFonts w:ascii="Times New Roman" w:hAnsi="Times New Roman" w:eastAsia="仿宋" w:cs="Times New Roman"/>
                <w:color w:val="000000"/>
                <w:sz w:val="24"/>
                <w:szCs w:val="24"/>
              </w:rPr>
            </w:pPr>
            <w:r>
              <w:rPr>
                <w:rFonts w:ascii="Times New Roman" w:hAnsi="Times New Roman" w:eastAsia="仿宋" w:cs="Times New Roman"/>
                <w:sz w:val="24"/>
                <w:szCs w:val="24"/>
              </w:rPr>
              <w:t>无变更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920" w:type="dxa"/>
            <w:vAlign w:val="center"/>
          </w:tcPr>
          <w:p>
            <w:pPr>
              <w:ind w:left="120" w:leftChars="57"/>
              <w:jc w:val="center"/>
              <w:rPr>
                <w:rFonts w:ascii="Times New Roman" w:hAnsi="Times New Roman" w:eastAsia="仿宋" w:cs="Times New Roman"/>
                <w:sz w:val="24"/>
                <w:szCs w:val="24"/>
              </w:rPr>
            </w:pPr>
            <w:r>
              <w:rPr>
                <w:rFonts w:ascii="Times New Roman" w:hAnsi="Times New Roman" w:eastAsia="仿宋" w:cs="Times New Roman"/>
                <w:sz w:val="24"/>
                <w:szCs w:val="24"/>
              </w:rPr>
              <w:t>水土保持</w:t>
            </w:r>
            <w:r>
              <w:rPr>
                <w:rFonts w:hint="eastAsia" w:ascii="Times New Roman" w:hAnsi="Times New Roman" w:eastAsia="仿宋" w:cs="Times New Roman"/>
                <w:sz w:val="24"/>
                <w:szCs w:val="24"/>
              </w:rPr>
              <w:t>初步设计</w:t>
            </w:r>
            <w:r>
              <w:rPr>
                <w:rFonts w:ascii="Times New Roman" w:hAnsi="Times New Roman" w:eastAsia="仿宋" w:cs="Times New Roman"/>
                <w:sz w:val="24"/>
                <w:szCs w:val="24"/>
              </w:rPr>
              <w:t>批复机关、文号及时间</w:t>
            </w:r>
          </w:p>
        </w:tc>
        <w:tc>
          <w:tcPr>
            <w:tcW w:w="6322" w:type="dxa"/>
            <w:gridSpan w:val="3"/>
            <w:vAlign w:val="center"/>
          </w:tcPr>
          <w:p>
            <w:pPr>
              <w:adjustRightInd w:val="0"/>
              <w:snapToGrid w:val="0"/>
              <w:jc w:val="left"/>
              <w:rPr>
                <w:rFonts w:ascii="Times New Roman" w:hAnsi="Times New Roman" w:eastAsia="仿宋" w:cs="Times New Roman"/>
                <w:color w:val="000000" w:themeColor="text1"/>
                <w:sz w:val="24"/>
                <w:szCs w:val="24"/>
                <w14:textFill>
                  <w14:solidFill>
                    <w14:schemeClr w14:val="tx1"/>
                  </w14:solidFill>
                </w14:textFill>
              </w:rPr>
            </w:pPr>
            <w:r>
              <w:rPr>
                <w:rFonts w:ascii="Times New Roman" w:hAnsi="Times New Roman" w:eastAsia="仿宋" w:cs="Times New Roman"/>
                <w:color w:val="000000" w:themeColor="text1"/>
                <w:sz w:val="24"/>
                <w:szCs w:val="24"/>
                <w14:textFill>
                  <w14:solidFill>
                    <w14:schemeClr w14:val="tx1"/>
                  </w14:solidFill>
                </w14:textFill>
              </w:rPr>
              <w:t>2017</w:t>
            </w:r>
            <w:r>
              <w:rPr>
                <w:rFonts w:hint="eastAsia" w:ascii="Times New Roman" w:hAnsi="Times New Roman" w:eastAsia="仿宋" w:cs="Times New Roman"/>
                <w:color w:val="000000" w:themeColor="text1"/>
                <w:sz w:val="24"/>
                <w:szCs w:val="24"/>
                <w14:textFill>
                  <w14:solidFill>
                    <w14:schemeClr w14:val="tx1"/>
                  </w14:solidFill>
                </w14:textFill>
              </w:rPr>
              <w:t>年</w:t>
            </w:r>
            <w:r>
              <w:rPr>
                <w:rFonts w:ascii="Times New Roman" w:hAnsi="Times New Roman" w:eastAsia="仿宋" w:cs="Times New Roman"/>
                <w:color w:val="000000" w:themeColor="text1"/>
                <w:sz w:val="24"/>
                <w:szCs w:val="24"/>
                <w14:textFill>
                  <w14:solidFill>
                    <w14:schemeClr w14:val="tx1"/>
                  </w14:solidFill>
                </w14:textFill>
              </w:rPr>
              <w:t>9</w:t>
            </w:r>
            <w:r>
              <w:rPr>
                <w:rFonts w:hint="eastAsia" w:ascii="Times New Roman" w:hAnsi="Times New Roman" w:eastAsia="仿宋" w:cs="Times New Roman"/>
                <w:color w:val="000000" w:themeColor="text1"/>
                <w:sz w:val="24"/>
                <w:szCs w:val="24"/>
                <w14:textFill>
                  <w14:solidFill>
                    <w14:schemeClr w14:val="tx1"/>
                  </w14:solidFill>
                </w14:textFill>
              </w:rPr>
              <w:t>月，重庆市城乡建设委员会下发《重庆市城乡建设委员会关于坪山大道工程初步设计的批复》（渝建初设〔</w:t>
            </w:r>
            <w:r>
              <w:rPr>
                <w:rFonts w:ascii="Times New Roman" w:hAnsi="Times New Roman" w:eastAsia="仿宋" w:cs="Times New Roman"/>
                <w:color w:val="000000" w:themeColor="text1"/>
                <w:sz w:val="24"/>
                <w:szCs w:val="24"/>
                <w14:textFill>
                  <w14:solidFill>
                    <w14:schemeClr w14:val="tx1"/>
                  </w14:solidFill>
                </w14:textFill>
              </w:rPr>
              <w:t>2017</w:t>
            </w:r>
            <w:r>
              <w:rPr>
                <w:rFonts w:hint="eastAsia" w:ascii="Times New Roman" w:hAnsi="Times New Roman" w:eastAsia="仿宋" w:cs="Times New Roman"/>
                <w:color w:val="000000" w:themeColor="text1"/>
                <w:sz w:val="24"/>
                <w:szCs w:val="24"/>
                <w14:textFill>
                  <w14:solidFill>
                    <w14:schemeClr w14:val="tx1"/>
                  </w14:solidFill>
                </w14:textFill>
              </w:rPr>
              <w:t>〕</w:t>
            </w:r>
            <w:r>
              <w:rPr>
                <w:rFonts w:ascii="Times New Roman" w:hAnsi="Times New Roman" w:eastAsia="仿宋" w:cs="Times New Roman"/>
                <w:color w:val="000000" w:themeColor="text1"/>
                <w:sz w:val="24"/>
                <w:szCs w:val="24"/>
                <w14:textFill>
                  <w14:solidFill>
                    <w14:schemeClr w14:val="tx1"/>
                  </w14:solidFill>
                </w14:textFill>
              </w:rPr>
              <w:t>173</w:t>
            </w:r>
            <w:r>
              <w:rPr>
                <w:rFonts w:hint="eastAsia" w:ascii="Times New Roman" w:hAnsi="Times New Roman" w:eastAsia="仿宋" w:cs="Times New Roman"/>
                <w:color w:val="000000" w:themeColor="text1"/>
                <w:sz w:val="24"/>
                <w:szCs w:val="24"/>
                <w14:textFill>
                  <w14:solidFill>
                    <w14:schemeClr w14:val="tx1"/>
                  </w14:solidFill>
                </w14:textFill>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920" w:type="dxa"/>
            <w:vAlign w:val="center"/>
          </w:tcPr>
          <w:p>
            <w:pPr>
              <w:ind w:left="120" w:leftChars="57"/>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项目建设起止时间</w:t>
            </w:r>
          </w:p>
        </w:tc>
        <w:tc>
          <w:tcPr>
            <w:tcW w:w="6322" w:type="dxa"/>
            <w:gridSpan w:val="3"/>
            <w:vAlign w:val="center"/>
          </w:tcPr>
          <w:p>
            <w:pPr>
              <w:ind w:right="120"/>
              <w:jc w:val="center"/>
              <w:rPr>
                <w:rFonts w:ascii="Times New Roman" w:hAnsi="Times New Roman" w:eastAsia="仿宋" w:cs="Times New Roman"/>
                <w:color w:val="000000" w:themeColor="text1"/>
                <w:sz w:val="24"/>
                <w:szCs w:val="24"/>
                <w14:textFill>
                  <w14:solidFill>
                    <w14:schemeClr w14:val="tx1"/>
                  </w14:solidFill>
                </w14:textFill>
              </w:rPr>
            </w:pPr>
            <w:r>
              <w:rPr>
                <w:rFonts w:ascii="Times New Roman" w:hAnsi="Times New Roman" w:eastAsia="仿宋" w:cs="Times New Roman"/>
                <w:color w:val="000000" w:themeColor="text1"/>
                <w:sz w:val="24"/>
                <w:szCs w:val="24"/>
                <w14:textFill>
                  <w14:solidFill>
                    <w14:schemeClr w14:val="tx1"/>
                  </w14:solidFill>
                </w14:textFill>
              </w:rPr>
              <w:t>201</w:t>
            </w:r>
            <w:r>
              <w:rPr>
                <w:rFonts w:hint="eastAsia" w:ascii="Times New Roman" w:hAnsi="Times New Roman" w:eastAsia="仿宋" w:cs="Times New Roman"/>
                <w:color w:val="000000" w:themeColor="text1"/>
                <w:sz w:val="24"/>
                <w:szCs w:val="24"/>
                <w14:textFill>
                  <w14:solidFill>
                    <w14:schemeClr w14:val="tx1"/>
                  </w14:solidFill>
                </w14:textFill>
              </w:rPr>
              <w:t>9</w:t>
            </w:r>
            <w:r>
              <w:rPr>
                <w:rFonts w:ascii="Times New Roman" w:hAnsi="Times New Roman" w:eastAsia="仿宋" w:cs="Times New Roman"/>
                <w:color w:val="000000" w:themeColor="text1"/>
                <w:sz w:val="24"/>
                <w:szCs w:val="24"/>
                <w14:textFill>
                  <w14:solidFill>
                    <w14:schemeClr w14:val="tx1"/>
                  </w14:solidFill>
                </w14:textFill>
              </w:rPr>
              <w:t>年</w:t>
            </w:r>
            <w:r>
              <w:rPr>
                <w:rFonts w:hint="eastAsia" w:ascii="Times New Roman" w:hAnsi="Times New Roman" w:eastAsia="仿宋" w:cs="Times New Roman"/>
                <w:color w:val="000000" w:themeColor="text1"/>
                <w:sz w:val="24"/>
                <w:szCs w:val="24"/>
                <w14:textFill>
                  <w14:solidFill>
                    <w14:schemeClr w14:val="tx1"/>
                  </w14:solidFill>
                </w14:textFill>
              </w:rPr>
              <w:t>6</w:t>
            </w:r>
            <w:r>
              <w:rPr>
                <w:rFonts w:ascii="Times New Roman" w:hAnsi="Times New Roman" w:eastAsia="仿宋" w:cs="Times New Roman"/>
                <w:color w:val="000000" w:themeColor="text1"/>
                <w:sz w:val="24"/>
                <w:szCs w:val="24"/>
                <w14:textFill>
                  <w14:solidFill>
                    <w14:schemeClr w14:val="tx1"/>
                  </w14:solidFill>
                </w14:textFill>
              </w:rPr>
              <w:t>月开工，2022年</w:t>
            </w:r>
            <w:r>
              <w:rPr>
                <w:rFonts w:hint="eastAsia" w:ascii="Times New Roman" w:hAnsi="Times New Roman" w:eastAsia="仿宋" w:cs="Times New Roman"/>
                <w:color w:val="000000" w:themeColor="text1"/>
                <w:sz w:val="24"/>
                <w:szCs w:val="24"/>
                <w14:textFill>
                  <w14:solidFill>
                    <w14:schemeClr w14:val="tx1"/>
                  </w14:solidFill>
                </w14:textFill>
              </w:rPr>
              <w:t>6</w:t>
            </w:r>
            <w:r>
              <w:rPr>
                <w:rFonts w:ascii="Times New Roman" w:hAnsi="Times New Roman" w:eastAsia="仿宋" w:cs="Times New Roman"/>
                <w:color w:val="000000" w:themeColor="text1"/>
                <w:sz w:val="24"/>
                <w:szCs w:val="24"/>
                <w14:textFill>
                  <w14:solidFill>
                    <w14:schemeClr w14:val="tx1"/>
                  </w14:solidFill>
                </w14:textFill>
              </w:rPr>
              <w:t>月</w:t>
            </w:r>
            <w:r>
              <w:rPr>
                <w:rFonts w:hint="eastAsia" w:ascii="Times New Roman" w:hAnsi="Times New Roman" w:eastAsia="仿宋" w:cs="Times New Roman"/>
                <w:color w:val="000000" w:themeColor="text1"/>
                <w:sz w:val="24"/>
                <w:szCs w:val="24"/>
                <w14:textFill>
                  <w14:solidFill>
                    <w14:schemeClr w14:val="tx1"/>
                  </w14:solidFill>
                </w14:textFill>
              </w:rPr>
              <w:t>主体竣</w:t>
            </w:r>
            <w:r>
              <w:rPr>
                <w:rFonts w:ascii="Times New Roman" w:hAnsi="Times New Roman" w:eastAsia="仿宋" w:cs="Times New Roman"/>
                <w:color w:val="000000" w:themeColor="text1"/>
                <w:sz w:val="24"/>
                <w:szCs w:val="24"/>
                <w14:textFill>
                  <w14:solidFill>
                    <w14:schemeClr w14:val="tx1"/>
                  </w14:solidFill>
                </w14:textFill>
              </w:rPr>
              <w:t>工，</w:t>
            </w:r>
            <w:r>
              <w:rPr>
                <w:rFonts w:hint="eastAsia" w:ascii="Times New Roman" w:hAnsi="Times New Roman" w:eastAsia="仿宋" w:cs="Times New Roman"/>
                <w:color w:val="000000" w:themeColor="text1"/>
                <w:sz w:val="24"/>
                <w:szCs w:val="24"/>
                <w14:textFill>
                  <w14:solidFill>
                    <w14:schemeClr w14:val="tx1"/>
                  </w14:solidFill>
                </w14:textFill>
              </w:rPr>
              <w:t>2022年10月</w:t>
            </w:r>
            <w:r>
              <w:rPr>
                <w:rFonts w:ascii="Times New Roman" w:hAnsi="Times New Roman" w:eastAsia="仿宋" w:cs="Times New Roman"/>
                <w:color w:val="000000" w:themeColor="text1"/>
                <w:sz w:val="24"/>
                <w:szCs w:val="24"/>
                <w14:textFill>
                  <w14:solidFill>
                    <w14:schemeClr w14:val="tx1"/>
                  </w14:solidFill>
                </w14:textFill>
              </w:rPr>
              <w:t>绿化竣工，总工期41个月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exact"/>
          <w:jc w:val="center"/>
        </w:trPr>
        <w:tc>
          <w:tcPr>
            <w:tcW w:w="2920" w:type="dxa"/>
            <w:vAlign w:val="center"/>
          </w:tcPr>
          <w:p>
            <w:pPr>
              <w:ind w:left="120" w:leftChars="57"/>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水土保持方案编制单位</w:t>
            </w:r>
          </w:p>
        </w:tc>
        <w:tc>
          <w:tcPr>
            <w:tcW w:w="6322" w:type="dxa"/>
            <w:gridSpan w:val="3"/>
            <w:vAlign w:val="center"/>
          </w:tcPr>
          <w:p>
            <w:pPr>
              <w:adjustRightInd w:val="0"/>
              <w:snapToGrid w:val="0"/>
              <w:jc w:val="center"/>
              <w:rPr>
                <w:rFonts w:ascii="Times New Roman" w:hAnsi="Times New Roman" w:eastAsia="仿宋" w:cs="Times New Roman"/>
                <w:color w:val="000000" w:themeColor="text1"/>
                <w:sz w:val="24"/>
                <w:szCs w:val="24"/>
                <w14:textFill>
                  <w14:solidFill>
                    <w14:schemeClr w14:val="tx1"/>
                  </w14:solidFill>
                </w14:textFill>
              </w:rPr>
            </w:pPr>
            <w:r>
              <w:rPr>
                <w:rFonts w:hint="eastAsia" w:ascii="Times New Roman" w:hAnsi="Times New Roman" w:eastAsia="仿宋" w:cs="Times New Roman"/>
                <w:color w:val="000000" w:themeColor="text1"/>
                <w:sz w:val="24"/>
                <w:szCs w:val="24"/>
                <w14:textFill>
                  <w14:solidFill>
                    <w14:schemeClr w14:val="tx1"/>
                  </w14:solidFill>
                </w14:textFill>
              </w:rPr>
              <w:t>中煤科工集团重庆设计研究院有限公司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exact"/>
          <w:jc w:val="center"/>
        </w:trPr>
        <w:tc>
          <w:tcPr>
            <w:tcW w:w="2920" w:type="dxa"/>
            <w:vAlign w:val="center"/>
          </w:tcPr>
          <w:p>
            <w:pPr>
              <w:ind w:left="120" w:leftChars="57"/>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水土保持</w:t>
            </w:r>
            <w:r>
              <w:rPr>
                <w:rFonts w:hint="eastAsia" w:ascii="Times New Roman" w:hAnsi="Times New Roman" w:eastAsia="仿宋" w:cs="Times New Roman"/>
                <w:color w:val="000000"/>
                <w:sz w:val="24"/>
                <w:szCs w:val="24"/>
              </w:rPr>
              <w:t>初步设计</w:t>
            </w:r>
            <w:r>
              <w:rPr>
                <w:rFonts w:ascii="Times New Roman" w:hAnsi="Times New Roman" w:eastAsia="仿宋" w:cs="Times New Roman"/>
                <w:color w:val="000000"/>
                <w:sz w:val="24"/>
                <w:szCs w:val="24"/>
              </w:rPr>
              <w:t>单位</w:t>
            </w:r>
          </w:p>
        </w:tc>
        <w:tc>
          <w:tcPr>
            <w:tcW w:w="6322" w:type="dxa"/>
            <w:gridSpan w:val="3"/>
            <w:vAlign w:val="center"/>
          </w:tcPr>
          <w:p>
            <w:pPr>
              <w:adjustRightInd w:val="0"/>
              <w:snapToGrid w:val="0"/>
              <w:jc w:val="center"/>
              <w:rPr>
                <w:rFonts w:ascii="Times New Roman" w:hAnsi="Times New Roman" w:eastAsia="仿宋" w:cs="Times New Roman"/>
                <w:color w:val="000000" w:themeColor="text1"/>
                <w:sz w:val="24"/>
                <w:szCs w:val="24"/>
                <w14:textFill>
                  <w14:solidFill>
                    <w14:schemeClr w14:val="tx1"/>
                  </w14:solidFill>
                </w14:textFill>
              </w:rPr>
            </w:pPr>
            <w:r>
              <w:rPr>
                <w:rFonts w:ascii="Times New Roman" w:hAnsi="Times New Roman" w:eastAsia="仿宋" w:cs="Times New Roman"/>
                <w:color w:val="000000" w:themeColor="text1"/>
                <w:sz w:val="24"/>
                <w:szCs w:val="24"/>
                <w14:textFill>
                  <w14:solidFill>
                    <w14:schemeClr w14:val="tx1"/>
                  </w14:solidFill>
                </w14:textFill>
              </w:rPr>
              <w:t>重庆市设计院</w:t>
            </w:r>
            <w:r>
              <w:rPr>
                <w:rFonts w:hint="eastAsia" w:ascii="Times New Roman" w:hAnsi="Times New Roman" w:eastAsia="仿宋" w:cs="Times New Roman"/>
                <w:color w:val="000000" w:themeColor="text1"/>
                <w:sz w:val="24"/>
                <w:szCs w:val="24"/>
                <w14:textFill>
                  <w14:solidFill>
                    <w14:schemeClr w14:val="tx1"/>
                  </w14:solidFill>
                </w14:textFill>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exact"/>
          <w:jc w:val="center"/>
        </w:trPr>
        <w:tc>
          <w:tcPr>
            <w:tcW w:w="2920" w:type="dxa"/>
            <w:vAlign w:val="center"/>
          </w:tcPr>
          <w:p>
            <w:pPr>
              <w:ind w:left="120" w:leftChars="57"/>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水土保持监测单位</w:t>
            </w:r>
          </w:p>
        </w:tc>
        <w:tc>
          <w:tcPr>
            <w:tcW w:w="6322" w:type="dxa"/>
            <w:gridSpan w:val="3"/>
            <w:vAlign w:val="center"/>
          </w:tcPr>
          <w:p>
            <w:pPr>
              <w:adjustRightInd w:val="0"/>
              <w:snapToGrid w:val="0"/>
              <w:jc w:val="center"/>
              <w:rPr>
                <w:rFonts w:ascii="Times New Roman" w:hAnsi="Times New Roman" w:eastAsia="仿宋" w:cs="Times New Roman"/>
                <w:color w:val="000000" w:themeColor="text1"/>
                <w:sz w:val="24"/>
                <w:szCs w:val="24"/>
                <w14:textFill>
                  <w14:solidFill>
                    <w14:schemeClr w14:val="tx1"/>
                  </w14:solidFill>
                </w14:textFill>
              </w:rPr>
            </w:pPr>
            <w:r>
              <w:rPr>
                <w:rFonts w:ascii="Times New Roman" w:hAnsi="Times New Roman" w:eastAsia="仿宋" w:cs="Times New Roman"/>
                <w:color w:val="000000" w:themeColor="text1"/>
                <w:sz w:val="24"/>
                <w:szCs w:val="24"/>
                <w14:textFill>
                  <w14:solidFill>
                    <w14:schemeClr w14:val="tx1"/>
                  </w14:solidFill>
                </w14:textFill>
              </w:rPr>
              <w:t>重庆利水工程设计咨询有限公司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exact"/>
          <w:jc w:val="center"/>
        </w:trPr>
        <w:tc>
          <w:tcPr>
            <w:tcW w:w="2920" w:type="dxa"/>
            <w:vAlign w:val="center"/>
          </w:tcPr>
          <w:p>
            <w:pPr>
              <w:ind w:left="120" w:leftChars="57"/>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水土保持施工单位</w:t>
            </w:r>
          </w:p>
        </w:tc>
        <w:tc>
          <w:tcPr>
            <w:tcW w:w="6322" w:type="dxa"/>
            <w:gridSpan w:val="3"/>
            <w:vAlign w:val="center"/>
          </w:tcPr>
          <w:p>
            <w:pPr>
              <w:adjustRightInd w:val="0"/>
              <w:snapToGrid w:val="0"/>
              <w:jc w:val="center"/>
              <w:rPr>
                <w:rFonts w:ascii="Times New Roman" w:hAnsi="Times New Roman" w:eastAsia="仿宋" w:cs="Times New Roman"/>
                <w:color w:val="000000" w:themeColor="text1"/>
                <w:sz w:val="24"/>
                <w:szCs w:val="24"/>
                <w14:textFill>
                  <w14:solidFill>
                    <w14:schemeClr w14:val="tx1"/>
                  </w14:solidFill>
                </w14:textFill>
              </w:rPr>
            </w:pPr>
            <w:r>
              <w:rPr>
                <w:rFonts w:ascii="Times New Roman" w:hAnsi="Times New Roman" w:eastAsia="仿宋" w:cs="Times New Roman"/>
                <w:color w:val="000000" w:themeColor="text1"/>
                <w:sz w:val="24"/>
                <w:szCs w:val="24"/>
                <w14:textFill>
                  <w14:solidFill>
                    <w14:schemeClr w14:val="tx1"/>
                  </w14:solidFill>
                </w14:textFill>
              </w:rPr>
              <w:t>中铁十二局集团有限公司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exact"/>
          <w:jc w:val="center"/>
        </w:trPr>
        <w:tc>
          <w:tcPr>
            <w:tcW w:w="2920" w:type="dxa"/>
            <w:vAlign w:val="center"/>
          </w:tcPr>
          <w:p>
            <w:pPr>
              <w:ind w:left="120" w:leftChars="57"/>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水土保持监理单位</w:t>
            </w:r>
          </w:p>
        </w:tc>
        <w:tc>
          <w:tcPr>
            <w:tcW w:w="6322" w:type="dxa"/>
            <w:gridSpan w:val="3"/>
            <w:vAlign w:val="center"/>
          </w:tcPr>
          <w:p>
            <w:pPr>
              <w:adjustRightInd w:val="0"/>
              <w:snapToGrid w:val="0"/>
              <w:jc w:val="center"/>
              <w:rPr>
                <w:rFonts w:ascii="Times New Roman" w:hAnsi="Times New Roman" w:eastAsia="仿宋" w:cs="Times New Roman"/>
                <w:color w:val="000000" w:themeColor="text1"/>
                <w:sz w:val="24"/>
                <w:szCs w:val="24"/>
                <w14:textFill>
                  <w14:solidFill>
                    <w14:schemeClr w14:val="tx1"/>
                  </w14:solidFill>
                </w14:textFill>
              </w:rPr>
            </w:pPr>
            <w:r>
              <w:rPr>
                <w:rFonts w:ascii="Times New Roman" w:hAnsi="Times New Roman" w:eastAsia="仿宋" w:cs="Times New Roman"/>
                <w:color w:val="000000" w:themeColor="text1"/>
                <w:sz w:val="24"/>
                <w:szCs w:val="24"/>
                <w14:textFill>
                  <w14:solidFill>
                    <w14:schemeClr w14:val="tx1"/>
                  </w14:solidFill>
                </w14:textFill>
              </w:rPr>
              <w:t>四川元丰建设项目管理有限公司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exact"/>
          <w:jc w:val="center"/>
        </w:trPr>
        <w:tc>
          <w:tcPr>
            <w:tcW w:w="2920" w:type="dxa"/>
            <w:vAlign w:val="center"/>
          </w:tcPr>
          <w:p>
            <w:pPr>
              <w:ind w:left="120" w:leftChars="57"/>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水土保持设施验收</w:t>
            </w:r>
          </w:p>
          <w:p>
            <w:pPr>
              <w:ind w:left="120" w:leftChars="57"/>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报告编制单位</w:t>
            </w:r>
          </w:p>
        </w:tc>
        <w:tc>
          <w:tcPr>
            <w:tcW w:w="6322" w:type="dxa"/>
            <w:gridSpan w:val="3"/>
            <w:vAlign w:val="center"/>
          </w:tcPr>
          <w:p>
            <w:pPr>
              <w:adjustRightInd w:val="0"/>
              <w:snapToGrid w:val="0"/>
              <w:jc w:val="center"/>
              <w:rPr>
                <w:rFonts w:ascii="Times New Roman" w:hAnsi="Times New Roman" w:eastAsia="仿宋" w:cs="Times New Roman"/>
                <w:color w:val="000000" w:themeColor="text1"/>
                <w:sz w:val="24"/>
                <w:szCs w:val="24"/>
                <w14:textFill>
                  <w14:solidFill>
                    <w14:schemeClr w14:val="tx1"/>
                  </w14:solidFill>
                </w14:textFill>
              </w:rPr>
            </w:pPr>
            <w:r>
              <w:rPr>
                <w:rFonts w:hint="eastAsia" w:ascii="Times New Roman" w:hAnsi="Times New Roman" w:eastAsia="仿宋" w:cs="Times New Roman"/>
                <w:color w:val="000000" w:themeColor="text1"/>
                <w:sz w:val="24"/>
                <w:szCs w:val="24"/>
                <w14:textFill>
                  <w14:solidFill>
                    <w14:schemeClr w14:val="tx1"/>
                  </w14:solidFill>
                </w14:textFill>
              </w:rPr>
              <w:t>重庆利水工程设计咨询有限公司</w:t>
            </w:r>
          </w:p>
        </w:tc>
      </w:tr>
    </w:tbl>
    <w:p>
      <w:pPr>
        <w:pageBreakBefore/>
        <w:jc w:val="both"/>
        <w:rPr>
          <w:rFonts w:ascii="Times New Roman" w:hAnsi="Times New Roman" w:cs="Times New Roman"/>
        </w:rPr>
      </w:pPr>
      <w:r>
        <w:rPr>
          <w:rFonts w:ascii="Times New Roman" w:hAnsi="Times New Roman" w:eastAsia="黑体" w:cs="Times New Roman"/>
          <w:sz w:val="30"/>
          <w:szCs w:val="30"/>
        </w:rPr>
        <w:t>二、验收意见</w:t>
      </w:r>
    </w:p>
    <w:tbl>
      <w:tblPr>
        <w:tblStyle w:val="7"/>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1" w:hRule="atLeast"/>
          <w:jc w:val="center"/>
        </w:trPr>
        <w:tc>
          <w:tcPr>
            <w:tcW w:w="9242" w:type="dxa"/>
          </w:tcPr>
          <w:p>
            <w:pPr>
              <w:adjustRightInd w:val="0"/>
              <w:snapToGrid w:val="0"/>
              <w:spacing w:before="120" w:beforeLines="50" w:line="360" w:lineRule="auto"/>
              <w:ind w:firstLine="600" w:firstLineChars="200"/>
              <w:rPr>
                <w:rFonts w:ascii="Times New Roman" w:hAnsi="Times New Roman" w:eastAsia="仿宋" w:cs="Times New Roman"/>
                <w:sz w:val="30"/>
                <w:szCs w:val="30"/>
              </w:rPr>
            </w:pPr>
            <w:bookmarkStart w:id="0" w:name="_GoBack"/>
            <w:r>
              <w:rPr>
                <w:rFonts w:ascii="Times New Roman" w:hAnsi="Times New Roman" w:eastAsia="仿宋" w:cs="Times New Roman"/>
                <w:sz w:val="30"/>
                <w:szCs w:val="30"/>
              </w:rPr>
              <w:t>20</w:t>
            </w:r>
            <w:r>
              <w:rPr>
                <w:rFonts w:hint="eastAsia" w:ascii="Times New Roman" w:hAnsi="Times New Roman" w:eastAsia="仿宋" w:cs="Times New Roman"/>
                <w:sz w:val="30"/>
                <w:szCs w:val="30"/>
              </w:rPr>
              <w:t>2</w:t>
            </w:r>
            <w:r>
              <w:rPr>
                <w:rFonts w:ascii="Times New Roman" w:hAnsi="Times New Roman" w:eastAsia="仿宋" w:cs="Times New Roman"/>
                <w:sz w:val="30"/>
                <w:szCs w:val="30"/>
              </w:rPr>
              <w:t>3年10月9日</w:t>
            </w:r>
            <w:r>
              <w:rPr>
                <w:rFonts w:hint="eastAsia" w:ascii="Times New Roman" w:hAnsi="Times New Roman" w:eastAsia="仿宋" w:cs="Times New Roman"/>
                <w:sz w:val="30"/>
                <w:szCs w:val="30"/>
              </w:rPr>
              <w:t>，坪山大道项目在重庆市沙坪坝区组织进行</w:t>
            </w:r>
            <w:r>
              <w:rPr>
                <w:rFonts w:ascii="Times New Roman" w:hAnsi="Times New Roman" w:eastAsia="仿宋" w:cs="Times New Roman"/>
                <w:sz w:val="30"/>
                <w:szCs w:val="30"/>
              </w:rPr>
              <w:t>了</w:t>
            </w:r>
            <w:r>
              <w:rPr>
                <w:rFonts w:hint="eastAsia" w:ascii="Times New Roman" w:hAnsi="Times New Roman" w:eastAsia="仿宋" w:cs="Times New Roman"/>
                <w:sz w:val="30"/>
                <w:szCs w:val="30"/>
              </w:rPr>
              <w:t>坪山大道</w:t>
            </w:r>
            <w:r>
              <w:rPr>
                <w:rFonts w:ascii="Times New Roman" w:hAnsi="Times New Roman" w:eastAsia="仿宋" w:cs="Times New Roman"/>
                <w:sz w:val="30"/>
                <w:szCs w:val="30"/>
              </w:rPr>
              <w:t>水土保持设施验收</w:t>
            </w:r>
            <w:r>
              <w:rPr>
                <w:rFonts w:hint="eastAsia" w:ascii="Times New Roman" w:hAnsi="Times New Roman" w:eastAsia="仿宋" w:cs="Times New Roman"/>
                <w:sz w:val="30"/>
                <w:szCs w:val="30"/>
              </w:rPr>
              <w:t>工作</w:t>
            </w:r>
            <w:r>
              <w:rPr>
                <w:rFonts w:ascii="Times New Roman" w:hAnsi="Times New Roman" w:eastAsia="仿宋" w:cs="Times New Roman"/>
                <w:sz w:val="30"/>
                <w:szCs w:val="30"/>
              </w:rPr>
              <w:t>。参加</w:t>
            </w:r>
            <w:r>
              <w:rPr>
                <w:rFonts w:hint="eastAsia" w:ascii="Times New Roman" w:hAnsi="Times New Roman" w:eastAsia="仿宋" w:cs="Times New Roman"/>
                <w:sz w:val="30"/>
                <w:szCs w:val="30"/>
              </w:rPr>
              <w:t>各方有</w:t>
            </w:r>
            <w:r>
              <w:rPr>
                <w:rFonts w:ascii="Times New Roman" w:hAnsi="Times New Roman" w:eastAsia="仿宋" w:cs="Times New Roman"/>
                <w:sz w:val="30"/>
                <w:szCs w:val="30"/>
              </w:rPr>
              <w:t>建设单位</w:t>
            </w:r>
            <w:r>
              <w:rPr>
                <w:rFonts w:hint="eastAsia" w:ascii="Times New Roman" w:hAnsi="Times New Roman" w:eastAsia="仿宋" w:cs="Times New Roman"/>
                <w:sz w:val="30"/>
                <w:szCs w:val="30"/>
              </w:rPr>
              <w:t>重庆市</w:t>
            </w:r>
            <w:r>
              <w:rPr>
                <w:rFonts w:ascii="Times New Roman" w:hAnsi="Times New Roman" w:eastAsia="仿宋" w:cs="Times New Roman"/>
                <w:sz w:val="30"/>
                <w:szCs w:val="30"/>
              </w:rPr>
              <w:t>城市建设投资(集团)有限公司</w:t>
            </w:r>
            <w:r>
              <w:rPr>
                <w:rFonts w:hint="eastAsia" w:ascii="Times New Roman" w:hAnsi="Times New Roman" w:eastAsia="仿宋" w:cs="Times New Roman"/>
                <w:sz w:val="30"/>
                <w:szCs w:val="30"/>
              </w:rPr>
              <w:t>（2020年8月</w:t>
            </w:r>
            <w:r>
              <w:rPr>
                <w:rFonts w:ascii="Times New Roman" w:hAnsi="Times New Roman" w:eastAsia="仿宋" w:cs="Times New Roman"/>
                <w:sz w:val="30"/>
                <w:szCs w:val="30"/>
              </w:rPr>
              <w:t>，授权重庆城投基础设施建设有限公司承担坪山大道建设管理工作</w:t>
            </w:r>
            <w:r>
              <w:rPr>
                <w:rFonts w:hint="eastAsia" w:ascii="Times New Roman" w:hAnsi="Times New Roman" w:eastAsia="仿宋" w:cs="Times New Roman"/>
                <w:sz w:val="30"/>
                <w:szCs w:val="30"/>
              </w:rPr>
              <w:t>，但</w:t>
            </w:r>
            <w:r>
              <w:rPr>
                <w:rFonts w:ascii="Times New Roman" w:hAnsi="Times New Roman" w:eastAsia="仿宋" w:cs="Times New Roman"/>
                <w:sz w:val="30"/>
                <w:szCs w:val="30"/>
              </w:rPr>
              <w:t>项目合同主体未变</w:t>
            </w:r>
            <w:r>
              <w:rPr>
                <w:rFonts w:hint="eastAsia" w:ascii="Times New Roman" w:hAnsi="Times New Roman" w:eastAsia="仿宋" w:cs="Times New Roman"/>
                <w:sz w:val="30"/>
                <w:szCs w:val="30"/>
              </w:rPr>
              <w:t>更</w:t>
            </w:r>
            <w:r>
              <w:rPr>
                <w:rFonts w:ascii="Times New Roman" w:hAnsi="Times New Roman" w:eastAsia="仿宋" w:cs="Times New Roman"/>
                <w:sz w:val="30"/>
                <w:szCs w:val="30"/>
              </w:rPr>
              <w:t>，仍为重庆市城市建设投资（集团）有限公司</w:t>
            </w:r>
            <w:r>
              <w:rPr>
                <w:rFonts w:hint="eastAsia" w:ascii="Times New Roman" w:hAnsi="Times New Roman" w:eastAsia="仿宋" w:cs="Times New Roman"/>
                <w:sz w:val="30"/>
                <w:szCs w:val="30"/>
              </w:rPr>
              <w:t>）</w:t>
            </w:r>
            <w:r>
              <w:rPr>
                <w:rFonts w:ascii="Times New Roman" w:hAnsi="Times New Roman" w:eastAsia="仿宋" w:cs="Times New Roman"/>
                <w:sz w:val="30"/>
                <w:szCs w:val="30"/>
              </w:rPr>
              <w:t>，</w:t>
            </w:r>
            <w:r>
              <w:rPr>
                <w:rFonts w:hint="eastAsia" w:ascii="Times New Roman" w:hAnsi="Times New Roman" w:eastAsia="仿宋" w:cs="Times New Roman"/>
                <w:sz w:val="30"/>
                <w:szCs w:val="30"/>
              </w:rPr>
              <w:t>主体工程设计单位</w:t>
            </w:r>
            <w:r>
              <w:rPr>
                <w:rFonts w:ascii="Times New Roman" w:hAnsi="Times New Roman" w:eastAsia="仿宋" w:cs="Times New Roman"/>
                <w:sz w:val="30"/>
                <w:szCs w:val="30"/>
              </w:rPr>
              <w:t>重庆市设计院</w:t>
            </w:r>
            <w:r>
              <w:rPr>
                <w:rFonts w:hint="eastAsia" w:ascii="Times New Roman" w:hAnsi="Times New Roman" w:eastAsia="仿宋" w:cs="Times New Roman"/>
                <w:sz w:val="30"/>
                <w:szCs w:val="30"/>
              </w:rPr>
              <w:t>有限公司，</w:t>
            </w:r>
            <w:r>
              <w:rPr>
                <w:rFonts w:ascii="Times New Roman" w:hAnsi="Times New Roman" w:eastAsia="仿宋" w:cs="Times New Roman"/>
                <w:sz w:val="30"/>
                <w:szCs w:val="30"/>
              </w:rPr>
              <w:t>监理单位四川元丰建设项目管理有限公司，施工单位中铁十二局集团有限公司，水土保持方案编制单位</w:t>
            </w:r>
            <w:r>
              <w:rPr>
                <w:rFonts w:hint="eastAsia" w:ascii="Times New Roman" w:hAnsi="Times New Roman" w:eastAsia="仿宋" w:cs="Times New Roman"/>
                <w:sz w:val="30"/>
                <w:szCs w:val="30"/>
              </w:rPr>
              <w:t>中煤科工集团重庆设计研究院有限公司，水土保持监测及水土保持设施验收报告编制单位重庆利水工程设计咨询有限公司等</w:t>
            </w:r>
            <w:r>
              <w:rPr>
                <w:rFonts w:ascii="Times New Roman" w:hAnsi="Times New Roman" w:eastAsia="仿宋" w:cs="Times New Roman"/>
                <w:sz w:val="30"/>
                <w:szCs w:val="30"/>
              </w:rPr>
              <w:t>单位代表，</w:t>
            </w:r>
            <w:r>
              <w:rPr>
                <w:rFonts w:hint="eastAsia" w:ascii="Times New Roman" w:hAnsi="Times New Roman" w:eastAsia="仿宋" w:cs="Times New Roman"/>
                <w:sz w:val="30"/>
                <w:szCs w:val="30"/>
              </w:rPr>
              <w:t>并</w:t>
            </w:r>
            <w:r>
              <w:rPr>
                <w:rFonts w:ascii="Times New Roman" w:hAnsi="Times New Roman" w:eastAsia="仿宋" w:cs="Times New Roman"/>
                <w:sz w:val="30"/>
                <w:szCs w:val="30"/>
              </w:rPr>
              <w:t>成立了验收组（名单附后）</w:t>
            </w:r>
            <w:r>
              <w:rPr>
                <w:rFonts w:hint="eastAsia" w:ascii="Times New Roman" w:hAnsi="Times New Roman" w:eastAsia="仿宋" w:cs="Times New Roman"/>
                <w:sz w:val="30"/>
                <w:szCs w:val="30"/>
              </w:rPr>
              <w:t>。</w:t>
            </w:r>
          </w:p>
          <w:p>
            <w:pPr>
              <w:adjustRightInd w:val="0"/>
              <w:snapToGrid w:val="0"/>
              <w:spacing w:line="360" w:lineRule="auto"/>
              <w:ind w:firstLine="600" w:firstLineChars="200"/>
              <w:rPr>
                <w:rFonts w:ascii="Times New Roman" w:hAnsi="Times New Roman" w:eastAsia="仿宋" w:cs="Times New Roman"/>
                <w:b/>
                <w:bCs/>
                <w:sz w:val="30"/>
                <w:szCs w:val="30"/>
              </w:rPr>
            </w:pPr>
            <w:r>
              <w:rPr>
                <w:rFonts w:ascii="Times New Roman" w:hAnsi="Times New Roman" w:eastAsia="仿宋" w:cs="Times New Roman"/>
                <w:sz w:val="30"/>
                <w:szCs w:val="30"/>
              </w:rPr>
              <w:t>验收前，建设单位对水土保持设施进行了自查初验。</w:t>
            </w:r>
            <w:r>
              <w:rPr>
                <w:rFonts w:hint="eastAsia" w:ascii="Times New Roman" w:hAnsi="Times New Roman" w:eastAsia="仿宋" w:cs="Times New Roman"/>
                <w:sz w:val="30"/>
                <w:szCs w:val="30"/>
              </w:rPr>
              <w:t>水土保持设施验收报告编制单位提交了《坪山大道</w:t>
            </w:r>
            <w:r>
              <w:rPr>
                <w:rFonts w:ascii="Times New Roman" w:hAnsi="Times New Roman" w:eastAsia="仿宋" w:cs="Times New Roman"/>
                <w:sz w:val="30"/>
                <w:szCs w:val="30"/>
              </w:rPr>
              <w:t>水土保持设施验收报告</w:t>
            </w:r>
            <w:r>
              <w:rPr>
                <w:rFonts w:hint="eastAsia" w:ascii="Times New Roman" w:hAnsi="Times New Roman" w:eastAsia="仿宋" w:cs="Times New Roman"/>
                <w:sz w:val="30"/>
                <w:szCs w:val="30"/>
              </w:rPr>
              <w:t>》，</w:t>
            </w:r>
            <w:r>
              <w:rPr>
                <w:rFonts w:ascii="Times New Roman" w:hAnsi="Times New Roman" w:eastAsia="仿宋" w:cs="Times New Roman"/>
                <w:sz w:val="30"/>
                <w:szCs w:val="30"/>
              </w:rPr>
              <w:t>上述报告为此次验收提供了重要的技术依据。</w:t>
            </w:r>
          </w:p>
          <w:p>
            <w:pPr>
              <w:adjustRightInd w:val="0"/>
              <w:snapToGrid w:val="0"/>
              <w:spacing w:line="360" w:lineRule="auto"/>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验收组成员及代表</w:t>
            </w:r>
            <w:r>
              <w:rPr>
                <w:rFonts w:hint="eastAsia" w:ascii="Times New Roman" w:hAnsi="Times New Roman" w:eastAsia="仿宋" w:cs="Times New Roman"/>
                <w:sz w:val="30"/>
                <w:szCs w:val="30"/>
              </w:rPr>
              <w:t>查阅</w:t>
            </w:r>
            <w:r>
              <w:rPr>
                <w:rFonts w:ascii="Times New Roman" w:hAnsi="Times New Roman" w:eastAsia="仿宋" w:cs="Times New Roman"/>
                <w:sz w:val="30"/>
                <w:szCs w:val="30"/>
              </w:rPr>
              <w:t>了工程影像</w:t>
            </w:r>
            <w:r>
              <w:rPr>
                <w:rFonts w:hint="eastAsia" w:ascii="Times New Roman" w:hAnsi="Times New Roman" w:eastAsia="仿宋" w:cs="Times New Roman"/>
                <w:sz w:val="30"/>
                <w:szCs w:val="30"/>
              </w:rPr>
              <w:t>资料、</w:t>
            </w:r>
            <w:r>
              <w:rPr>
                <w:rFonts w:ascii="Times New Roman" w:hAnsi="Times New Roman" w:eastAsia="仿宋" w:cs="Times New Roman"/>
                <w:sz w:val="30"/>
                <w:szCs w:val="30"/>
              </w:rPr>
              <w:t>技术资料，听取了水土保持设施验收报告编制单位关于水土保持设施建设情况汇报，以及方案编制单位</w:t>
            </w:r>
            <w:r>
              <w:rPr>
                <w:rFonts w:hint="eastAsia" w:ascii="Times New Roman" w:hAnsi="Times New Roman" w:eastAsia="仿宋" w:cs="Times New Roman"/>
                <w:sz w:val="30"/>
                <w:szCs w:val="30"/>
              </w:rPr>
              <w:t>、监理、施工等单位</w:t>
            </w:r>
            <w:r>
              <w:rPr>
                <w:rFonts w:ascii="Times New Roman" w:hAnsi="Times New Roman" w:eastAsia="仿宋" w:cs="Times New Roman"/>
                <w:sz w:val="30"/>
                <w:szCs w:val="30"/>
              </w:rPr>
              <w:t>的补充说明，经讨论，形成验收意见如下：</w:t>
            </w:r>
          </w:p>
          <w:p>
            <w:pPr>
              <w:adjustRightInd w:val="0"/>
              <w:snapToGrid w:val="0"/>
              <w:spacing w:line="360" w:lineRule="auto"/>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（一）项目概况</w:t>
            </w:r>
          </w:p>
          <w:p>
            <w:pPr>
              <w:pStyle w:val="19"/>
              <w:ind w:firstLine="600"/>
              <w:rPr>
                <w:rFonts w:eastAsia="仿宋"/>
                <w:sz w:val="30"/>
                <w:szCs w:val="30"/>
              </w:rPr>
            </w:pPr>
            <w:r>
              <w:rPr>
                <w:rFonts w:hint="eastAsia" w:eastAsia="仿宋"/>
                <w:sz w:val="30"/>
                <w:szCs w:val="30"/>
              </w:rPr>
              <w:t>坪山大道位于重庆市沙坪坝区西永街道，为新建工程，</w:t>
            </w:r>
            <w:r>
              <w:rPr>
                <w:rFonts w:eastAsia="仿宋"/>
                <w:sz w:val="30"/>
                <w:szCs w:val="30"/>
              </w:rPr>
              <w:t>起于西永横四路，</w:t>
            </w:r>
            <w:r>
              <w:rPr>
                <w:rFonts w:hint="eastAsia" w:eastAsia="仿宋"/>
                <w:sz w:val="30"/>
                <w:szCs w:val="30"/>
              </w:rPr>
              <w:t>向东经隧道穿越缙云山余脉寨山坪，继续向东上跨快速路一纵线、现状渝黔铁路（兴络线）及渝遂高速后，终点接大学城复线隧道。工程所在区域已建成道路有七纵线、一纵线、渝遂高速、三横线、西永大道、大学城东路、大学城纵一路、赖白路等，交通便利。坪山大道工程总投资</w:t>
            </w:r>
            <w:r>
              <w:rPr>
                <w:rFonts w:eastAsia="仿宋"/>
                <w:sz w:val="30"/>
                <w:szCs w:val="30"/>
              </w:rPr>
              <w:t>302131.69</w:t>
            </w:r>
            <w:r>
              <w:rPr>
                <w:rFonts w:hint="eastAsia" w:eastAsia="仿宋"/>
                <w:sz w:val="30"/>
                <w:szCs w:val="30"/>
              </w:rPr>
              <w:t>万元，占地面积94.93hm2，</w:t>
            </w:r>
            <w:r>
              <w:rPr>
                <w:rFonts w:eastAsia="仿宋"/>
                <w:sz w:val="30"/>
                <w:szCs w:val="30"/>
              </w:rPr>
              <w:t>道路全长7km，设计速度80km/h，道路等级为城市快速路，双向六车道，标准路幅宽度54m。全线共设互通式立交2座，分别为中柱立交（与快速路一纵线相交）、西山立交（与渝遂高速、沿山路相交）；简易立交3座；隧道1座（寨山坪隧道，采用双洞分离式隧道，右洞长1336m；左洞长1334.5m），主线桥梁8座（总长1677m）</w:t>
            </w:r>
            <w:r>
              <w:rPr>
                <w:rFonts w:hint="eastAsia" w:eastAsia="仿宋"/>
                <w:sz w:val="30"/>
                <w:szCs w:val="30"/>
              </w:rPr>
              <w:t>。项目主要划分为主体工程、施工场地和表土堆场3个</w:t>
            </w:r>
            <w:r>
              <w:rPr>
                <w:rFonts w:eastAsia="仿宋"/>
                <w:sz w:val="30"/>
                <w:szCs w:val="30"/>
              </w:rPr>
              <w:t>防治区</w:t>
            </w:r>
            <w:r>
              <w:rPr>
                <w:rFonts w:hint="eastAsia" w:eastAsia="仿宋"/>
                <w:sz w:val="30"/>
                <w:szCs w:val="30"/>
              </w:rPr>
              <w:t>，防治</w:t>
            </w:r>
            <w:r>
              <w:rPr>
                <w:rFonts w:eastAsia="仿宋"/>
                <w:sz w:val="30"/>
                <w:szCs w:val="30"/>
              </w:rPr>
              <w:t>责任范围94.93hm</w:t>
            </w:r>
            <w:r>
              <w:rPr>
                <w:rFonts w:eastAsia="仿宋"/>
                <w:sz w:val="30"/>
                <w:szCs w:val="30"/>
                <w:vertAlign w:val="superscript"/>
              </w:rPr>
              <w:t>2</w:t>
            </w:r>
            <w:r>
              <w:rPr>
                <w:rFonts w:hint="eastAsia" w:eastAsia="仿宋"/>
                <w:sz w:val="30"/>
                <w:szCs w:val="30"/>
              </w:rPr>
              <w:t>，其中主体工程</w:t>
            </w:r>
            <w:r>
              <w:rPr>
                <w:rFonts w:eastAsia="仿宋"/>
                <w:sz w:val="30"/>
                <w:szCs w:val="30"/>
              </w:rPr>
              <w:t>80.15hm</w:t>
            </w:r>
            <w:r>
              <w:rPr>
                <w:rFonts w:eastAsia="仿宋"/>
                <w:sz w:val="30"/>
                <w:szCs w:val="30"/>
                <w:vertAlign w:val="superscript"/>
              </w:rPr>
              <w:t>2</w:t>
            </w:r>
            <w:r>
              <w:rPr>
                <w:rFonts w:hint="eastAsia" w:eastAsia="仿宋"/>
                <w:sz w:val="30"/>
                <w:szCs w:val="30"/>
              </w:rPr>
              <w:t>，施工场地</w:t>
            </w:r>
            <w:r>
              <w:rPr>
                <w:rFonts w:eastAsia="仿宋"/>
                <w:sz w:val="30"/>
                <w:szCs w:val="30"/>
              </w:rPr>
              <w:t>11.64hm</w:t>
            </w:r>
            <w:r>
              <w:rPr>
                <w:rFonts w:eastAsia="仿宋"/>
                <w:sz w:val="30"/>
                <w:szCs w:val="30"/>
                <w:vertAlign w:val="superscript"/>
              </w:rPr>
              <w:t>2</w:t>
            </w:r>
            <w:r>
              <w:rPr>
                <w:rFonts w:hint="eastAsia" w:eastAsia="仿宋"/>
                <w:sz w:val="30"/>
                <w:szCs w:val="30"/>
              </w:rPr>
              <w:t>，表土堆场</w:t>
            </w:r>
            <w:r>
              <w:rPr>
                <w:rFonts w:eastAsia="仿宋"/>
                <w:sz w:val="30"/>
                <w:szCs w:val="30"/>
              </w:rPr>
              <w:t>3.14hm</w:t>
            </w:r>
            <w:r>
              <w:rPr>
                <w:rFonts w:eastAsia="仿宋"/>
                <w:sz w:val="30"/>
                <w:szCs w:val="30"/>
                <w:vertAlign w:val="superscript"/>
              </w:rPr>
              <w:t>2</w:t>
            </w:r>
            <w:r>
              <w:rPr>
                <w:rFonts w:hint="eastAsia" w:eastAsia="仿宋"/>
                <w:sz w:val="30"/>
                <w:szCs w:val="30"/>
              </w:rPr>
              <w:t>。建设</w:t>
            </w:r>
            <w:r>
              <w:rPr>
                <w:rFonts w:eastAsia="仿宋"/>
                <w:sz w:val="30"/>
                <w:szCs w:val="30"/>
              </w:rPr>
              <w:t>工期</w:t>
            </w:r>
            <w:r>
              <w:rPr>
                <w:rFonts w:hint="eastAsia" w:eastAsia="仿宋"/>
                <w:sz w:val="30"/>
                <w:szCs w:val="30"/>
              </w:rPr>
              <w:t>为</w:t>
            </w:r>
            <w:r>
              <w:rPr>
                <w:rFonts w:eastAsia="仿宋"/>
                <w:sz w:val="30"/>
                <w:szCs w:val="30"/>
              </w:rPr>
              <w:t>20</w:t>
            </w:r>
            <w:r>
              <w:rPr>
                <w:rFonts w:hint="eastAsia" w:eastAsia="仿宋"/>
                <w:sz w:val="30"/>
                <w:szCs w:val="30"/>
              </w:rPr>
              <w:t>19</w:t>
            </w:r>
            <w:r>
              <w:rPr>
                <w:rFonts w:eastAsia="仿宋"/>
                <w:sz w:val="30"/>
                <w:szCs w:val="30"/>
              </w:rPr>
              <w:t>年</w:t>
            </w:r>
            <w:r>
              <w:rPr>
                <w:rFonts w:hint="eastAsia" w:eastAsia="仿宋"/>
                <w:sz w:val="30"/>
                <w:szCs w:val="30"/>
              </w:rPr>
              <w:t>6</w:t>
            </w:r>
            <w:r>
              <w:rPr>
                <w:rFonts w:eastAsia="仿宋"/>
                <w:sz w:val="30"/>
                <w:szCs w:val="30"/>
              </w:rPr>
              <w:t>月至2022年</w:t>
            </w:r>
            <w:r>
              <w:rPr>
                <w:rFonts w:hint="eastAsia" w:eastAsia="仿宋"/>
                <w:sz w:val="30"/>
                <w:szCs w:val="30"/>
              </w:rPr>
              <w:t>6</w:t>
            </w:r>
            <w:r>
              <w:rPr>
                <w:rFonts w:eastAsia="仿宋"/>
                <w:sz w:val="30"/>
                <w:szCs w:val="30"/>
              </w:rPr>
              <w:t>月，共</w:t>
            </w:r>
            <w:r>
              <w:rPr>
                <w:rFonts w:hint="eastAsia" w:eastAsia="仿宋"/>
                <w:sz w:val="30"/>
                <w:szCs w:val="30"/>
              </w:rPr>
              <w:t>36</w:t>
            </w:r>
            <w:r>
              <w:rPr>
                <w:rFonts w:eastAsia="仿宋"/>
                <w:sz w:val="30"/>
                <w:szCs w:val="30"/>
              </w:rPr>
              <w:t>个月。</w:t>
            </w:r>
          </w:p>
          <w:p>
            <w:pPr>
              <w:adjustRightInd w:val="0"/>
              <w:snapToGrid w:val="0"/>
              <w:spacing w:line="360" w:lineRule="auto"/>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（二）水土保持方案批复情况</w:t>
            </w:r>
          </w:p>
          <w:p>
            <w:pPr>
              <w:adjustRightInd w:val="0"/>
              <w:snapToGrid w:val="0"/>
              <w:spacing w:line="360" w:lineRule="auto"/>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2018年10月23日，重庆市水利局以《重庆市水利局关于坪山大道水土保持方案准予许可的决定》（渝水许可〔2018〕86号）对</w:t>
            </w:r>
            <w:r>
              <w:rPr>
                <w:rFonts w:hint="eastAsia" w:ascii="Times New Roman" w:hAnsi="Times New Roman" w:eastAsia="仿宋" w:cs="Times New Roman"/>
                <w:sz w:val="30"/>
                <w:szCs w:val="30"/>
              </w:rPr>
              <w:t>本项目</w:t>
            </w:r>
            <w:r>
              <w:rPr>
                <w:rFonts w:ascii="Times New Roman" w:hAnsi="Times New Roman" w:eastAsia="仿宋" w:cs="Times New Roman"/>
                <w:sz w:val="30"/>
                <w:szCs w:val="30"/>
              </w:rPr>
              <w:t>水土保持方案予以批复</w:t>
            </w:r>
            <w:r>
              <w:rPr>
                <w:rFonts w:hint="eastAsia" w:ascii="Times New Roman" w:hAnsi="Times New Roman" w:eastAsia="仿宋" w:cs="Times New Roman"/>
                <w:sz w:val="30"/>
                <w:szCs w:val="30"/>
              </w:rPr>
              <w:t>，</w:t>
            </w:r>
            <w:r>
              <w:rPr>
                <w:rFonts w:ascii="Times New Roman" w:hAnsi="Times New Roman" w:eastAsia="仿宋" w:cs="Times New Roman"/>
                <w:sz w:val="30"/>
                <w:szCs w:val="30"/>
              </w:rPr>
              <w:t>批复的水土流失防治责任范围99.25hm</w:t>
            </w:r>
            <w:r>
              <w:rPr>
                <w:rFonts w:ascii="Times New Roman" w:hAnsi="Times New Roman" w:eastAsia="仿宋" w:cs="Times New Roman"/>
                <w:sz w:val="30"/>
                <w:szCs w:val="30"/>
                <w:vertAlign w:val="superscript"/>
              </w:rPr>
              <w:t>2</w:t>
            </w:r>
            <w:r>
              <w:rPr>
                <w:rFonts w:hint="eastAsia" w:ascii="Times New Roman" w:hAnsi="Times New Roman" w:eastAsia="仿宋" w:cs="Times New Roman"/>
                <w:sz w:val="30"/>
                <w:szCs w:val="30"/>
              </w:rPr>
              <w:t>，</w:t>
            </w:r>
            <w:r>
              <w:rPr>
                <w:rFonts w:ascii="Times New Roman" w:hAnsi="Times New Roman" w:eastAsia="仿宋" w:cs="Times New Roman"/>
                <w:sz w:val="30"/>
                <w:szCs w:val="30"/>
              </w:rPr>
              <w:t>其中项目建设区86.88hm</w:t>
            </w:r>
            <w:r>
              <w:rPr>
                <w:rFonts w:ascii="Times New Roman" w:hAnsi="Times New Roman" w:eastAsia="仿宋" w:cs="Times New Roman"/>
                <w:sz w:val="30"/>
                <w:szCs w:val="30"/>
                <w:vertAlign w:val="superscript"/>
              </w:rPr>
              <w:t>2</w:t>
            </w:r>
            <w:r>
              <w:rPr>
                <w:rFonts w:ascii="Times New Roman" w:hAnsi="Times New Roman" w:eastAsia="仿宋" w:cs="Times New Roman"/>
                <w:sz w:val="30"/>
                <w:szCs w:val="30"/>
              </w:rPr>
              <w:t>，直接影响区12.37hm</w:t>
            </w:r>
            <w:r>
              <w:rPr>
                <w:rFonts w:ascii="Times New Roman" w:hAnsi="Times New Roman" w:eastAsia="仿宋" w:cs="Times New Roman"/>
                <w:sz w:val="30"/>
                <w:szCs w:val="30"/>
                <w:vertAlign w:val="superscript"/>
              </w:rPr>
              <w:t>2</w:t>
            </w:r>
            <w:r>
              <w:rPr>
                <w:rFonts w:ascii="Times New Roman" w:hAnsi="Times New Roman" w:eastAsia="仿宋" w:cs="Times New Roman"/>
                <w:sz w:val="30"/>
                <w:szCs w:val="30"/>
              </w:rPr>
              <w:t>。</w:t>
            </w:r>
          </w:p>
          <w:p>
            <w:pPr>
              <w:adjustRightInd w:val="0"/>
              <w:snapToGrid w:val="0"/>
              <w:spacing w:line="360" w:lineRule="auto"/>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（三）水土保持初步设计或施工图设计情况</w:t>
            </w:r>
          </w:p>
          <w:p>
            <w:pPr>
              <w:adjustRightInd w:val="0"/>
              <w:snapToGrid w:val="0"/>
              <w:spacing w:line="360" w:lineRule="auto"/>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工程未单独开展</w:t>
            </w:r>
            <w:r>
              <w:rPr>
                <w:rFonts w:ascii="Times New Roman" w:hAnsi="Times New Roman" w:eastAsia="仿宋" w:cs="Times New Roman"/>
                <w:sz w:val="30"/>
                <w:szCs w:val="30"/>
              </w:rPr>
              <w:t>水土保持专项后续设计</w:t>
            </w:r>
            <w:r>
              <w:rPr>
                <w:rFonts w:hint="eastAsia" w:ascii="Times New Roman" w:hAnsi="Times New Roman" w:eastAsia="仿宋" w:cs="Times New Roman"/>
                <w:sz w:val="30"/>
                <w:szCs w:val="30"/>
              </w:rPr>
              <w:t>，将其</w:t>
            </w:r>
            <w:r>
              <w:rPr>
                <w:rFonts w:ascii="Times New Roman" w:hAnsi="Times New Roman" w:eastAsia="仿宋" w:cs="Times New Roman"/>
                <w:sz w:val="30"/>
                <w:szCs w:val="30"/>
              </w:rPr>
              <w:t>纳入主体工程一并设计，主体工程的初步设计</w:t>
            </w:r>
            <w:r>
              <w:rPr>
                <w:rFonts w:hint="eastAsia" w:ascii="Times New Roman" w:hAnsi="Times New Roman" w:eastAsia="仿宋" w:cs="Times New Roman"/>
                <w:sz w:val="30"/>
                <w:szCs w:val="30"/>
              </w:rPr>
              <w:t>和</w:t>
            </w:r>
            <w:r>
              <w:rPr>
                <w:rFonts w:ascii="Times New Roman" w:hAnsi="Times New Roman" w:eastAsia="仿宋" w:cs="Times New Roman"/>
                <w:sz w:val="30"/>
                <w:szCs w:val="30"/>
              </w:rPr>
              <w:t>施工图设计中包含了水土保持相关内容</w:t>
            </w:r>
            <w:r>
              <w:rPr>
                <w:rFonts w:hint="eastAsia" w:ascii="Times New Roman" w:hAnsi="Times New Roman" w:eastAsia="仿宋" w:cs="Times New Roman"/>
                <w:sz w:val="30"/>
                <w:szCs w:val="30"/>
              </w:rPr>
              <w:t>。</w:t>
            </w:r>
          </w:p>
          <w:p>
            <w:pPr>
              <w:adjustRightInd w:val="0"/>
              <w:snapToGrid w:val="0"/>
              <w:spacing w:line="360" w:lineRule="auto"/>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w:t>
            </w:r>
            <w:r>
              <w:rPr>
                <w:rFonts w:hint="eastAsia" w:ascii="Times New Roman" w:hAnsi="Times New Roman" w:eastAsia="仿宋" w:cs="Times New Roman"/>
                <w:sz w:val="30"/>
                <w:szCs w:val="30"/>
              </w:rPr>
              <w:t>四</w:t>
            </w:r>
            <w:r>
              <w:rPr>
                <w:rFonts w:ascii="Times New Roman" w:hAnsi="Times New Roman" w:eastAsia="仿宋" w:cs="Times New Roman"/>
                <w:sz w:val="30"/>
                <w:szCs w:val="30"/>
              </w:rPr>
              <w:t>）</w:t>
            </w:r>
            <w:r>
              <w:rPr>
                <w:rFonts w:hint="eastAsia" w:ascii="Times New Roman" w:hAnsi="Times New Roman" w:eastAsia="仿宋" w:cs="Times New Roman"/>
                <w:sz w:val="30"/>
                <w:szCs w:val="30"/>
              </w:rPr>
              <w:t>水土保持监理</w:t>
            </w:r>
            <w:r>
              <w:rPr>
                <w:rFonts w:ascii="Times New Roman" w:hAnsi="Times New Roman" w:eastAsia="仿宋" w:cs="Times New Roman"/>
                <w:sz w:val="30"/>
                <w:szCs w:val="30"/>
              </w:rPr>
              <w:t>情况</w:t>
            </w:r>
          </w:p>
          <w:p>
            <w:pPr>
              <w:adjustRightInd w:val="0"/>
              <w:snapToGrid w:val="0"/>
              <w:spacing w:line="360" w:lineRule="auto"/>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本工程</w:t>
            </w:r>
            <w:r>
              <w:rPr>
                <w:rFonts w:ascii="Times New Roman" w:hAnsi="Times New Roman" w:eastAsia="仿宋" w:cs="Times New Roman"/>
                <w:sz w:val="30"/>
                <w:szCs w:val="30"/>
              </w:rPr>
              <w:t>由</w:t>
            </w:r>
            <w:r>
              <w:rPr>
                <w:rFonts w:hint="eastAsia" w:ascii="Times New Roman" w:hAnsi="Times New Roman" w:eastAsia="仿宋" w:cs="Times New Roman"/>
                <w:sz w:val="30"/>
                <w:szCs w:val="30"/>
              </w:rPr>
              <w:t>主体</w:t>
            </w:r>
            <w:r>
              <w:rPr>
                <w:rFonts w:ascii="Times New Roman" w:hAnsi="Times New Roman" w:eastAsia="仿宋" w:cs="Times New Roman"/>
                <w:sz w:val="30"/>
                <w:szCs w:val="30"/>
              </w:rPr>
              <w:t>工程监理</w:t>
            </w:r>
            <w:r>
              <w:rPr>
                <w:rFonts w:ascii="Times New Roman" w:hAnsi="Times New Roman" w:eastAsia="仿宋"/>
                <w:sz w:val="28"/>
                <w:szCs w:val="28"/>
              </w:rPr>
              <w:t>四川元丰建设项目管理有限公司</w:t>
            </w:r>
            <w:r>
              <w:rPr>
                <w:rFonts w:hint="eastAsia" w:ascii="Times New Roman" w:hAnsi="Times New Roman" w:eastAsia="仿宋"/>
                <w:sz w:val="28"/>
                <w:szCs w:val="28"/>
              </w:rPr>
              <w:t>代为</w:t>
            </w:r>
            <w:r>
              <w:rPr>
                <w:rFonts w:ascii="Times New Roman" w:hAnsi="Times New Roman" w:eastAsia="仿宋"/>
                <w:sz w:val="28"/>
                <w:szCs w:val="28"/>
              </w:rPr>
              <w:t>履行水土保持监理义务</w:t>
            </w:r>
            <w:r>
              <w:rPr>
                <w:rFonts w:hint="eastAsia" w:ascii="Times New Roman" w:hAnsi="Times New Roman" w:eastAsia="仿宋"/>
                <w:sz w:val="28"/>
                <w:szCs w:val="28"/>
              </w:rPr>
              <w:t>，建设</w:t>
            </w:r>
            <w:r>
              <w:rPr>
                <w:rFonts w:ascii="Times New Roman" w:hAnsi="Times New Roman" w:eastAsia="仿宋"/>
                <w:sz w:val="28"/>
                <w:szCs w:val="28"/>
              </w:rPr>
              <w:t>过程</w:t>
            </w:r>
            <w:r>
              <w:rPr>
                <w:rFonts w:ascii="Times New Roman" w:hAnsi="Times New Roman" w:eastAsia="仿宋" w:cs="Times New Roman"/>
                <w:sz w:val="30"/>
                <w:szCs w:val="30"/>
              </w:rPr>
              <w:t>中对水土保持工程措施</w:t>
            </w:r>
            <w:r>
              <w:rPr>
                <w:rFonts w:hint="eastAsia" w:ascii="Times New Roman" w:hAnsi="Times New Roman" w:eastAsia="仿宋" w:cs="Times New Roman"/>
                <w:sz w:val="30"/>
                <w:szCs w:val="30"/>
              </w:rPr>
              <w:t>、</w:t>
            </w:r>
            <w:r>
              <w:rPr>
                <w:rFonts w:ascii="Times New Roman" w:hAnsi="Times New Roman" w:eastAsia="仿宋" w:cs="Times New Roman"/>
                <w:sz w:val="30"/>
                <w:szCs w:val="30"/>
              </w:rPr>
              <w:t>植物措施</w:t>
            </w:r>
            <w:r>
              <w:rPr>
                <w:rFonts w:hint="eastAsia" w:ascii="Times New Roman" w:hAnsi="Times New Roman" w:eastAsia="仿宋" w:cs="Times New Roman"/>
                <w:sz w:val="30"/>
                <w:szCs w:val="30"/>
              </w:rPr>
              <w:t>、</w:t>
            </w:r>
            <w:r>
              <w:rPr>
                <w:rFonts w:ascii="Times New Roman" w:hAnsi="Times New Roman" w:eastAsia="仿宋" w:cs="Times New Roman"/>
                <w:sz w:val="30"/>
                <w:szCs w:val="30"/>
              </w:rPr>
              <w:t>临时措施</w:t>
            </w:r>
            <w:r>
              <w:rPr>
                <w:rFonts w:hint="eastAsia" w:ascii="Times New Roman" w:hAnsi="Times New Roman" w:eastAsia="仿宋" w:cs="Times New Roman"/>
                <w:sz w:val="30"/>
                <w:szCs w:val="30"/>
              </w:rPr>
              <w:t>实施</w:t>
            </w:r>
            <w:r>
              <w:rPr>
                <w:rFonts w:ascii="Times New Roman" w:hAnsi="Times New Roman" w:eastAsia="仿宋" w:cs="Times New Roman"/>
                <w:sz w:val="30"/>
                <w:szCs w:val="30"/>
              </w:rPr>
              <w:t>进度和</w:t>
            </w:r>
            <w:r>
              <w:rPr>
                <w:rFonts w:hint="eastAsia" w:ascii="Times New Roman" w:hAnsi="Times New Roman" w:eastAsia="仿宋" w:cs="Times New Roman"/>
                <w:sz w:val="30"/>
                <w:szCs w:val="30"/>
              </w:rPr>
              <w:t>质量进行把控</w:t>
            </w:r>
            <w:r>
              <w:rPr>
                <w:rFonts w:ascii="Times New Roman" w:hAnsi="Times New Roman" w:eastAsia="仿宋" w:cs="Times New Roman"/>
                <w:sz w:val="30"/>
                <w:szCs w:val="30"/>
              </w:rPr>
              <w:t>，</w:t>
            </w:r>
            <w:r>
              <w:rPr>
                <w:rFonts w:hint="eastAsia" w:ascii="Times New Roman" w:hAnsi="Times New Roman" w:eastAsia="仿宋" w:cs="Times New Roman"/>
                <w:sz w:val="30"/>
                <w:szCs w:val="30"/>
              </w:rPr>
              <w:t>确保</w:t>
            </w:r>
            <w:r>
              <w:rPr>
                <w:rFonts w:ascii="Times New Roman" w:hAnsi="Times New Roman" w:eastAsia="仿宋" w:cs="Times New Roman"/>
                <w:sz w:val="30"/>
                <w:szCs w:val="30"/>
              </w:rPr>
              <w:t>水土保持</w:t>
            </w:r>
            <w:r>
              <w:rPr>
                <w:rFonts w:hint="eastAsia" w:ascii="Times New Roman" w:hAnsi="Times New Roman" w:eastAsia="仿宋" w:cs="Times New Roman"/>
                <w:sz w:val="30"/>
                <w:szCs w:val="30"/>
              </w:rPr>
              <w:t>设施顺利完成建设。</w:t>
            </w:r>
          </w:p>
          <w:p>
            <w:pPr>
              <w:pStyle w:val="11"/>
              <w:ind w:firstLine="600"/>
              <w:rPr>
                <w:rFonts w:eastAsia="仿宋"/>
                <w:kern w:val="2"/>
                <w:sz w:val="30"/>
                <w:szCs w:val="30"/>
              </w:rPr>
            </w:pPr>
            <w:r>
              <w:rPr>
                <w:rFonts w:eastAsia="仿宋"/>
                <w:kern w:val="2"/>
                <w:sz w:val="30"/>
                <w:szCs w:val="30"/>
              </w:rPr>
              <w:t>（</w:t>
            </w:r>
            <w:r>
              <w:rPr>
                <w:rFonts w:hint="eastAsia" w:eastAsia="仿宋"/>
                <w:kern w:val="2"/>
                <w:sz w:val="30"/>
                <w:szCs w:val="30"/>
              </w:rPr>
              <w:t>五</w:t>
            </w:r>
            <w:r>
              <w:rPr>
                <w:rFonts w:eastAsia="仿宋"/>
                <w:kern w:val="2"/>
                <w:sz w:val="30"/>
                <w:szCs w:val="30"/>
              </w:rPr>
              <w:t>）水土保持监测情况</w:t>
            </w:r>
          </w:p>
          <w:p>
            <w:pPr>
              <w:adjustRightInd w:val="0"/>
              <w:snapToGrid w:val="0"/>
              <w:spacing w:line="360" w:lineRule="auto"/>
              <w:ind w:firstLine="600" w:firstLineChars="200"/>
              <w:rPr>
                <w:rFonts w:ascii="Times New Roman" w:hAnsi="Times New Roman" w:eastAsia="仿宋" w:cs="Times New Roman"/>
                <w:color w:val="000000" w:themeColor="text1"/>
                <w:sz w:val="30"/>
                <w:szCs w:val="30"/>
                <w14:textFill>
                  <w14:solidFill>
                    <w14:schemeClr w14:val="tx1"/>
                  </w14:solidFill>
                </w14:textFill>
              </w:rPr>
            </w:pPr>
            <w:r>
              <w:rPr>
                <w:rFonts w:ascii="Times New Roman" w:hAnsi="Times New Roman" w:eastAsia="仿宋" w:cs="Times New Roman"/>
                <w:color w:val="000000" w:themeColor="text1"/>
                <w:sz w:val="30"/>
                <w:szCs w:val="30"/>
                <w14:textFill>
                  <w14:solidFill>
                    <w14:schemeClr w14:val="tx1"/>
                  </w14:solidFill>
                </w14:textFill>
              </w:rPr>
              <w:t>2019年11月，建设单位委托</w:t>
            </w:r>
            <w:r>
              <w:rPr>
                <w:rFonts w:hint="eastAsia" w:ascii="Times New Roman" w:hAnsi="Times New Roman" w:eastAsia="仿宋" w:cs="Times New Roman"/>
                <w:color w:val="000000" w:themeColor="text1"/>
                <w:sz w:val="30"/>
                <w:szCs w:val="30"/>
                <w14:textFill>
                  <w14:solidFill>
                    <w14:schemeClr w14:val="tx1"/>
                  </w14:solidFill>
                </w14:textFill>
              </w:rPr>
              <w:t>重庆利水工程设计咨询有限公司</w:t>
            </w:r>
            <w:r>
              <w:rPr>
                <w:rFonts w:ascii="Times New Roman" w:hAnsi="Times New Roman" w:eastAsia="仿宋" w:cs="Times New Roman"/>
                <w:color w:val="000000" w:themeColor="text1"/>
                <w:sz w:val="30"/>
                <w:szCs w:val="30"/>
                <w14:textFill>
                  <w14:solidFill>
                    <w14:schemeClr w14:val="tx1"/>
                  </w14:solidFill>
                </w14:textFill>
              </w:rPr>
              <w:t>开展</w:t>
            </w:r>
            <w:r>
              <w:rPr>
                <w:rFonts w:hint="eastAsia" w:ascii="Times New Roman" w:hAnsi="Times New Roman" w:eastAsia="仿宋" w:cs="Times New Roman"/>
                <w:color w:val="000000" w:themeColor="text1"/>
                <w:sz w:val="30"/>
                <w:szCs w:val="30"/>
                <w14:textFill>
                  <w14:solidFill>
                    <w14:schemeClr w14:val="tx1"/>
                  </w14:solidFill>
                </w14:textFill>
              </w:rPr>
              <w:t>坪山大道</w:t>
            </w:r>
            <w:r>
              <w:rPr>
                <w:rFonts w:ascii="Times New Roman" w:hAnsi="Times New Roman" w:eastAsia="仿宋" w:cs="Times New Roman"/>
                <w:color w:val="000000" w:themeColor="text1"/>
                <w:sz w:val="30"/>
                <w:szCs w:val="30"/>
                <w14:textFill>
                  <w14:solidFill>
                    <w14:schemeClr w14:val="tx1"/>
                  </w14:solidFill>
                </w14:textFill>
              </w:rPr>
              <w:t>水土保持监测工作。202</w:t>
            </w:r>
            <w:r>
              <w:rPr>
                <w:rFonts w:hint="eastAsia" w:ascii="Times New Roman" w:hAnsi="Times New Roman" w:eastAsia="仿宋" w:cs="Times New Roman"/>
                <w:color w:val="000000" w:themeColor="text1"/>
                <w:sz w:val="30"/>
                <w:szCs w:val="30"/>
                <w14:textFill>
                  <w14:solidFill>
                    <w14:schemeClr w14:val="tx1"/>
                  </w14:solidFill>
                </w14:textFill>
              </w:rPr>
              <w:t>3</w:t>
            </w:r>
            <w:r>
              <w:rPr>
                <w:rFonts w:ascii="Times New Roman" w:hAnsi="Times New Roman" w:eastAsia="仿宋" w:cs="Times New Roman"/>
                <w:color w:val="000000" w:themeColor="text1"/>
                <w:sz w:val="30"/>
                <w:szCs w:val="30"/>
                <w14:textFill>
                  <w14:solidFill>
                    <w14:schemeClr w14:val="tx1"/>
                  </w14:solidFill>
                </w14:textFill>
              </w:rPr>
              <w:t>年8月，监测单位编写完成了《</w:t>
            </w:r>
            <w:r>
              <w:rPr>
                <w:rFonts w:hint="eastAsia" w:ascii="Times New Roman" w:hAnsi="Times New Roman" w:eastAsia="仿宋" w:cs="Times New Roman"/>
                <w:color w:val="000000" w:themeColor="text1"/>
                <w:sz w:val="30"/>
                <w:szCs w:val="30"/>
                <w14:textFill>
                  <w14:solidFill>
                    <w14:schemeClr w14:val="tx1"/>
                  </w14:solidFill>
                </w14:textFill>
              </w:rPr>
              <w:t>坪山大道水土保持监测总结报告</w:t>
            </w:r>
            <w:r>
              <w:rPr>
                <w:rFonts w:ascii="Times New Roman" w:hAnsi="Times New Roman" w:eastAsia="仿宋" w:cs="Times New Roman"/>
                <w:sz w:val="30"/>
                <w:szCs w:val="30"/>
              </w:rPr>
              <w:t>》。监测总结报告结论：</w:t>
            </w:r>
            <w:r>
              <w:rPr>
                <w:rFonts w:hint="eastAsia" w:ascii="Times New Roman" w:hAnsi="Times New Roman" w:eastAsia="仿宋" w:cs="Times New Roman"/>
                <w:color w:val="000000" w:themeColor="text1"/>
                <w:sz w:val="30"/>
                <w:szCs w:val="30"/>
                <w14:textFill>
                  <w14:solidFill>
                    <w14:schemeClr w14:val="tx1"/>
                  </w14:solidFill>
                </w14:textFill>
              </w:rPr>
              <w:t>本工程</w:t>
            </w:r>
            <w:r>
              <w:rPr>
                <w:rFonts w:ascii="Times New Roman" w:hAnsi="Times New Roman" w:eastAsia="仿宋" w:cs="Times New Roman"/>
                <w:color w:val="000000" w:themeColor="text1"/>
                <w:sz w:val="30"/>
                <w:szCs w:val="30"/>
                <w14:textFill>
                  <w14:solidFill>
                    <w14:schemeClr w14:val="tx1"/>
                  </w14:solidFill>
                </w14:textFill>
              </w:rPr>
              <w:t>扰动土地整治率99.92%，水土流失总治理度</w:t>
            </w:r>
            <w:r>
              <w:rPr>
                <w:rFonts w:hint="eastAsia" w:ascii="Times New Roman" w:hAnsi="Times New Roman" w:eastAsia="仿宋" w:cs="Times New Roman"/>
                <w:color w:val="000000" w:themeColor="text1"/>
                <w:sz w:val="30"/>
                <w:szCs w:val="30"/>
                <w14:textFill>
                  <w14:solidFill>
                    <w14:schemeClr w14:val="tx1"/>
                  </w14:solidFill>
                </w14:textFill>
              </w:rPr>
              <w:t>99.</w:t>
            </w:r>
            <w:r>
              <w:rPr>
                <w:rFonts w:ascii="Times New Roman" w:hAnsi="Times New Roman" w:eastAsia="仿宋" w:cs="Times New Roman"/>
                <w:color w:val="000000" w:themeColor="text1"/>
                <w:sz w:val="30"/>
                <w:szCs w:val="30"/>
                <w14:textFill>
                  <w14:solidFill>
                    <w14:schemeClr w14:val="tx1"/>
                  </w14:solidFill>
                </w14:textFill>
              </w:rPr>
              <w:t>79%，土壤流失控制比1.05，拦渣率为</w:t>
            </w:r>
            <w:r>
              <w:rPr>
                <w:rFonts w:hint="eastAsia" w:ascii="Times New Roman" w:hAnsi="Times New Roman" w:eastAsia="仿宋" w:cs="Times New Roman"/>
                <w:color w:val="000000" w:themeColor="text1"/>
                <w:sz w:val="30"/>
                <w:szCs w:val="30"/>
                <w14:textFill>
                  <w14:solidFill>
                    <w14:schemeClr w14:val="tx1"/>
                  </w14:solidFill>
                </w14:textFill>
              </w:rPr>
              <w:t>96.55</w:t>
            </w:r>
            <w:r>
              <w:rPr>
                <w:rFonts w:ascii="Times New Roman" w:hAnsi="Times New Roman" w:eastAsia="仿宋" w:cs="Times New Roman"/>
                <w:color w:val="000000" w:themeColor="text1"/>
                <w:sz w:val="30"/>
                <w:szCs w:val="30"/>
                <w14:textFill>
                  <w14:solidFill>
                    <w14:schemeClr w14:val="tx1"/>
                  </w14:solidFill>
                </w14:textFill>
              </w:rPr>
              <w:t>%，林草植被恢复率</w:t>
            </w:r>
            <w:r>
              <w:rPr>
                <w:rFonts w:hint="eastAsia" w:ascii="Times New Roman" w:hAnsi="Times New Roman" w:eastAsia="仿宋" w:cs="Times New Roman"/>
                <w:color w:val="000000" w:themeColor="text1"/>
                <w:sz w:val="30"/>
                <w:szCs w:val="30"/>
                <w14:textFill>
                  <w14:solidFill>
                    <w14:schemeClr w14:val="tx1"/>
                  </w14:solidFill>
                </w14:textFill>
              </w:rPr>
              <w:t>99.</w:t>
            </w:r>
            <w:r>
              <w:rPr>
                <w:rFonts w:ascii="Times New Roman" w:hAnsi="Times New Roman" w:eastAsia="仿宋" w:cs="Times New Roman"/>
                <w:color w:val="000000" w:themeColor="text1"/>
                <w:sz w:val="30"/>
                <w:szCs w:val="30"/>
                <w14:textFill>
                  <w14:solidFill>
                    <w14:schemeClr w14:val="tx1"/>
                  </w14:solidFill>
                </w14:textFill>
              </w:rPr>
              <w:t>78%，林草覆盖率</w:t>
            </w:r>
            <w:r>
              <w:rPr>
                <w:rFonts w:hint="eastAsia" w:ascii="Times New Roman" w:hAnsi="Times New Roman" w:eastAsia="仿宋" w:cs="Times New Roman"/>
                <w:color w:val="000000" w:themeColor="text1"/>
                <w:sz w:val="30"/>
                <w:szCs w:val="30"/>
                <w14:textFill>
                  <w14:solidFill>
                    <w14:schemeClr w14:val="tx1"/>
                  </w14:solidFill>
                </w14:textFill>
              </w:rPr>
              <w:t>38.</w:t>
            </w:r>
            <w:r>
              <w:rPr>
                <w:rFonts w:ascii="Times New Roman" w:hAnsi="Times New Roman" w:eastAsia="仿宋" w:cs="Times New Roman"/>
                <w:color w:val="000000" w:themeColor="text1"/>
                <w:sz w:val="30"/>
                <w:szCs w:val="30"/>
                <w14:textFill>
                  <w14:solidFill>
                    <w14:schemeClr w14:val="tx1"/>
                  </w14:solidFill>
                </w14:textFill>
              </w:rPr>
              <w:t>98%，</w:t>
            </w:r>
            <w:r>
              <w:rPr>
                <w:rFonts w:hint="eastAsia" w:ascii="Times New Roman" w:hAnsi="Times New Roman" w:eastAsia="仿宋" w:cs="Times New Roman"/>
                <w:color w:val="000000" w:themeColor="text1"/>
                <w:sz w:val="30"/>
                <w:szCs w:val="30"/>
                <w14:textFill>
                  <w14:solidFill>
                    <w14:schemeClr w14:val="tx1"/>
                  </w14:solidFill>
                </w14:textFill>
              </w:rPr>
              <w:t>本项目在建设过程中基本落实了水土保持工程措施及植物措施，在施工过程中采取了工程措施、植物措施和临时防护措施相结合综合防治水土流失，对工程建设造成的水土流失进行了治理并得到了较好的效果</w:t>
            </w:r>
            <w:r>
              <w:rPr>
                <w:rFonts w:ascii="Times New Roman" w:hAnsi="Times New Roman" w:eastAsia="仿宋" w:cs="Times New Roman"/>
                <w:color w:val="000000" w:themeColor="text1"/>
                <w:sz w:val="30"/>
                <w:szCs w:val="30"/>
                <w14:textFill>
                  <w14:solidFill>
                    <w14:schemeClr w14:val="tx1"/>
                  </w14:solidFill>
                </w14:textFill>
              </w:rPr>
              <w:t>。</w:t>
            </w:r>
          </w:p>
          <w:p>
            <w:pPr>
              <w:adjustRightInd w:val="0"/>
              <w:snapToGrid w:val="0"/>
              <w:spacing w:line="360" w:lineRule="auto"/>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w:t>
            </w:r>
            <w:r>
              <w:rPr>
                <w:rFonts w:hint="eastAsia" w:ascii="Times New Roman" w:hAnsi="Times New Roman" w:eastAsia="仿宋" w:cs="Times New Roman"/>
                <w:sz w:val="30"/>
                <w:szCs w:val="30"/>
              </w:rPr>
              <w:t>六</w:t>
            </w:r>
            <w:r>
              <w:rPr>
                <w:rFonts w:ascii="Times New Roman" w:hAnsi="Times New Roman" w:eastAsia="仿宋" w:cs="Times New Roman"/>
                <w:sz w:val="30"/>
                <w:szCs w:val="30"/>
              </w:rPr>
              <w:t>）验收报告编制情况和主要结论</w:t>
            </w:r>
          </w:p>
          <w:p>
            <w:pPr>
              <w:adjustRightInd w:val="0"/>
              <w:snapToGrid w:val="0"/>
              <w:spacing w:line="360" w:lineRule="auto"/>
              <w:ind w:firstLine="600" w:firstLineChars="200"/>
              <w:rPr>
                <w:rFonts w:ascii="Times New Roman" w:hAnsi="Times New Roman" w:eastAsia="仿宋" w:cs="Times New Roman"/>
                <w:sz w:val="30"/>
                <w:szCs w:val="30"/>
              </w:rPr>
            </w:pPr>
            <w:r>
              <w:rPr>
                <w:rFonts w:ascii="Times New Roman" w:hAnsi="Times New Roman" w:eastAsia="仿宋" w:cs="Times New Roman"/>
                <w:color w:val="000000" w:themeColor="text1"/>
                <w:sz w:val="30"/>
                <w:szCs w:val="30"/>
                <w14:textFill>
                  <w14:solidFill>
                    <w14:schemeClr w14:val="tx1"/>
                  </w14:solidFill>
                </w14:textFill>
              </w:rPr>
              <w:t>2019年11月，建设单位委托</w:t>
            </w:r>
            <w:r>
              <w:rPr>
                <w:rFonts w:hint="eastAsia" w:ascii="Times New Roman" w:hAnsi="Times New Roman" w:eastAsia="仿宋" w:cs="Times New Roman"/>
                <w:color w:val="000000" w:themeColor="text1"/>
                <w:sz w:val="30"/>
                <w:szCs w:val="30"/>
                <w14:textFill>
                  <w14:solidFill>
                    <w14:schemeClr w14:val="tx1"/>
                  </w14:solidFill>
                </w14:textFill>
              </w:rPr>
              <w:t>重庆利水工程设计咨询有限公司</w:t>
            </w:r>
            <w:r>
              <w:rPr>
                <w:rFonts w:ascii="Times New Roman" w:hAnsi="Times New Roman" w:eastAsia="仿宋" w:cs="Times New Roman"/>
                <w:color w:val="000000" w:themeColor="text1"/>
                <w:sz w:val="30"/>
                <w:szCs w:val="30"/>
                <w14:textFill>
                  <w14:solidFill>
                    <w14:schemeClr w14:val="tx1"/>
                  </w14:solidFill>
                </w14:textFill>
              </w:rPr>
              <w:t>开展了本项目水土保持设施验收报告的编</w:t>
            </w:r>
            <w:r>
              <w:rPr>
                <w:rFonts w:ascii="Times New Roman" w:hAnsi="Times New Roman" w:eastAsia="仿宋" w:cs="Times New Roman"/>
                <w:sz w:val="30"/>
                <w:szCs w:val="30"/>
              </w:rPr>
              <w:t>制工作。202</w:t>
            </w:r>
            <w:r>
              <w:rPr>
                <w:rFonts w:hint="eastAsia" w:ascii="Times New Roman" w:hAnsi="Times New Roman" w:eastAsia="仿宋" w:cs="Times New Roman"/>
                <w:sz w:val="30"/>
                <w:szCs w:val="30"/>
              </w:rPr>
              <w:t>3</w:t>
            </w:r>
            <w:r>
              <w:rPr>
                <w:rFonts w:ascii="Times New Roman" w:hAnsi="Times New Roman" w:eastAsia="仿宋" w:cs="Times New Roman"/>
                <w:sz w:val="30"/>
                <w:szCs w:val="30"/>
              </w:rPr>
              <w:t>年10月，编制单位编写完成了《</w:t>
            </w:r>
            <w:r>
              <w:rPr>
                <w:rFonts w:hint="eastAsia" w:ascii="Times New Roman" w:hAnsi="Times New Roman" w:eastAsia="仿宋" w:cs="Times New Roman"/>
                <w:sz w:val="30"/>
                <w:szCs w:val="30"/>
              </w:rPr>
              <w:t>坪山大道</w:t>
            </w:r>
            <w:r>
              <w:rPr>
                <w:rFonts w:ascii="Times New Roman" w:hAnsi="Times New Roman" w:eastAsia="仿宋" w:cs="Times New Roman"/>
                <w:sz w:val="30"/>
                <w:szCs w:val="30"/>
              </w:rPr>
              <w:t>水土保持设施验收报告》。验收报告结论</w:t>
            </w:r>
            <w:r>
              <w:rPr>
                <w:rFonts w:ascii="Times New Roman" w:hAnsi="Times New Roman" w:eastAsia="仿宋" w:cs="Times New Roman"/>
                <w:color w:val="000000" w:themeColor="text1"/>
                <w:sz w:val="30"/>
                <w:szCs w:val="30"/>
                <w14:textFill>
                  <w14:solidFill>
                    <w14:schemeClr w14:val="tx1"/>
                  </w14:solidFill>
                </w14:textFill>
              </w:rPr>
              <w:t>：该项目手续资料齐备，水土保持措施落实完善，水土保持投资满足区域水土保持防治要求，防治效果较为明显，满足水土保持要求。建设单位履行了水土流失防治的法律义务和责任，水土保持生态环境建设工程符合国家水土保持法律法规、规程规范、技术标准和水土保持方案的有关规定和要求，各项工程安全可靠、质量合格，效益显著，水土保持生态环境建设设施的管理维护责任明确，项目水土保持工程总体质量达到了设计标准。</w:t>
            </w:r>
          </w:p>
          <w:p>
            <w:pPr>
              <w:adjustRightInd w:val="0"/>
              <w:snapToGrid w:val="0"/>
              <w:spacing w:line="360" w:lineRule="auto"/>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w:t>
            </w:r>
            <w:r>
              <w:rPr>
                <w:rFonts w:hint="eastAsia" w:ascii="Times New Roman" w:hAnsi="Times New Roman" w:eastAsia="仿宋" w:cs="Times New Roman"/>
                <w:sz w:val="30"/>
                <w:szCs w:val="30"/>
              </w:rPr>
              <w:t>七</w:t>
            </w:r>
            <w:r>
              <w:rPr>
                <w:rFonts w:ascii="Times New Roman" w:hAnsi="Times New Roman" w:eastAsia="仿宋" w:cs="Times New Roman"/>
                <w:sz w:val="30"/>
                <w:szCs w:val="30"/>
              </w:rPr>
              <w:t>）验收结论</w:t>
            </w:r>
          </w:p>
          <w:p>
            <w:pPr>
              <w:adjustRightInd w:val="0"/>
              <w:snapToGrid w:val="0"/>
              <w:spacing w:line="360" w:lineRule="auto"/>
              <w:ind w:firstLine="600" w:firstLineChars="200"/>
              <w:rPr>
                <w:rFonts w:ascii="Times New Roman" w:hAnsi="Times New Roman" w:eastAsia="仿宋" w:cs="Times New Roman"/>
                <w:color w:val="FF0000"/>
                <w:sz w:val="30"/>
                <w:szCs w:val="30"/>
              </w:rPr>
            </w:pPr>
            <w:r>
              <w:rPr>
                <w:rFonts w:hint="eastAsia" w:ascii="Times New Roman" w:hAnsi="Times New Roman" w:eastAsia="仿宋" w:cs="Times New Roman"/>
                <w:color w:val="000000" w:themeColor="text1"/>
                <w:sz w:val="30"/>
                <w:szCs w:val="30"/>
                <w14:textFill>
                  <w14:solidFill>
                    <w14:schemeClr w14:val="tx1"/>
                  </w14:solidFill>
                </w14:textFill>
              </w:rPr>
              <w:t>坪山大道</w:t>
            </w:r>
            <w:r>
              <w:rPr>
                <w:rFonts w:ascii="Times New Roman" w:hAnsi="Times New Roman" w:eastAsia="仿宋" w:cs="Times New Roman"/>
                <w:color w:val="000000" w:themeColor="text1"/>
                <w:sz w:val="30"/>
                <w:szCs w:val="30"/>
                <w14:textFill>
                  <w14:solidFill>
                    <w14:schemeClr w14:val="tx1"/>
                  </w14:solidFill>
                </w14:textFill>
              </w:rPr>
              <w:t>实施过程</w:t>
            </w:r>
            <w:r>
              <w:rPr>
                <w:rFonts w:ascii="Times New Roman" w:hAnsi="Times New Roman" w:eastAsia="仿宋" w:cs="Times New Roman"/>
                <w:sz w:val="30"/>
                <w:szCs w:val="30"/>
              </w:rPr>
              <w:t>中，</w:t>
            </w:r>
            <w:r>
              <w:rPr>
                <w:rFonts w:hint="eastAsia" w:ascii="Times New Roman" w:hAnsi="Times New Roman" w:eastAsia="仿宋" w:cs="Times New Roman"/>
                <w:sz w:val="30"/>
                <w:szCs w:val="30"/>
              </w:rPr>
              <w:t>基本</w:t>
            </w:r>
            <w:r>
              <w:rPr>
                <w:rFonts w:ascii="Times New Roman" w:hAnsi="Times New Roman" w:eastAsia="仿宋" w:cs="Times New Roman"/>
                <w:sz w:val="30"/>
                <w:szCs w:val="30"/>
              </w:rPr>
              <w:t>落实了水土保持方案及批复文件要求的各项水土保持措施，完成了水土流失预防和治理任务，各项水土流失防治指标</w:t>
            </w:r>
            <w:r>
              <w:rPr>
                <w:rFonts w:hint="eastAsia" w:ascii="Times New Roman" w:hAnsi="Times New Roman" w:eastAsia="仿宋" w:cs="Times New Roman"/>
                <w:sz w:val="30"/>
                <w:szCs w:val="30"/>
              </w:rPr>
              <w:t>均</w:t>
            </w:r>
            <w:r>
              <w:rPr>
                <w:rFonts w:ascii="Times New Roman" w:hAnsi="Times New Roman" w:eastAsia="仿宋" w:cs="Times New Roman"/>
                <w:sz w:val="30"/>
                <w:szCs w:val="30"/>
              </w:rPr>
              <w:t>达到了水土保持方案确定的目标值，并且依法缴纳了水土保持补偿费</w:t>
            </w:r>
            <w:r>
              <w:rPr>
                <w:rFonts w:hint="eastAsia" w:ascii="Times New Roman" w:hAnsi="Times New Roman" w:eastAsia="仿宋" w:cs="Times New Roman"/>
                <w:sz w:val="30"/>
                <w:szCs w:val="30"/>
              </w:rPr>
              <w:t>。综述，</w:t>
            </w:r>
            <w:r>
              <w:rPr>
                <w:rFonts w:ascii="Times New Roman" w:hAnsi="Times New Roman" w:eastAsia="仿宋" w:cs="Times New Roman"/>
                <w:sz w:val="30"/>
                <w:szCs w:val="30"/>
              </w:rPr>
              <w:t>该项目</w:t>
            </w:r>
            <w:r>
              <w:rPr>
                <w:rFonts w:hint="eastAsia" w:ascii="Times New Roman" w:hAnsi="Times New Roman" w:eastAsia="仿宋" w:cs="Times New Roman"/>
                <w:sz w:val="30"/>
                <w:szCs w:val="30"/>
              </w:rPr>
              <w:t>水土保持工程总体质量达到了设计标准，</w:t>
            </w:r>
            <w:r>
              <w:rPr>
                <w:rFonts w:ascii="Times New Roman" w:hAnsi="Times New Roman" w:eastAsia="仿宋" w:cs="Times New Roman"/>
                <w:sz w:val="30"/>
                <w:szCs w:val="30"/>
              </w:rPr>
              <w:t>符合水土保持设施验收的条件，同意工程水土保持设施通过验收。</w:t>
            </w:r>
          </w:p>
          <w:p>
            <w:pPr>
              <w:adjustRightInd w:val="0"/>
              <w:snapToGrid w:val="0"/>
              <w:spacing w:line="360" w:lineRule="auto"/>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w:t>
            </w:r>
            <w:r>
              <w:rPr>
                <w:rFonts w:hint="eastAsia" w:ascii="Times New Roman" w:hAnsi="Times New Roman" w:eastAsia="仿宋" w:cs="Times New Roman"/>
                <w:sz w:val="30"/>
                <w:szCs w:val="30"/>
              </w:rPr>
              <w:t>八</w:t>
            </w:r>
            <w:r>
              <w:rPr>
                <w:rFonts w:ascii="Times New Roman" w:hAnsi="Times New Roman" w:eastAsia="仿宋" w:cs="Times New Roman"/>
                <w:sz w:val="30"/>
                <w:szCs w:val="30"/>
              </w:rPr>
              <w:t>）后续管护要求</w:t>
            </w:r>
          </w:p>
          <w:p>
            <w:pPr>
              <w:adjustRightInd w:val="0"/>
              <w:snapToGrid w:val="0"/>
              <w:spacing w:line="360" w:lineRule="auto"/>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工程运行期，加强水土保持设施管护和绿化措施养护，确保正常运行和发挥效益。</w:t>
            </w:r>
          </w:p>
        </w:tc>
      </w:tr>
      <w:bookmarkEnd w:id="0"/>
    </w:tbl>
    <w:p>
      <w:pPr>
        <w:widowControl/>
        <w:rPr>
          <w:rFonts w:hint="eastAsia" w:ascii="Times New Roman" w:hAnsi="Times New Roman" w:eastAsia="仿宋_GB2312" w:cs="宋体"/>
          <w:color w:val="000000"/>
          <w:kern w:val="0"/>
          <w:sz w:val="24"/>
          <w:szCs w:val="24"/>
          <w:lang w:eastAsia="zh-CN"/>
        </w:rPr>
      </w:pPr>
      <w:r>
        <w:rPr>
          <w:rFonts w:hint="eastAsia" w:ascii="Times New Roman" w:hAnsi="Times New Roman" w:eastAsia="仿宋_GB2312" w:cs="宋体"/>
          <w:color w:val="000000"/>
          <w:kern w:val="0"/>
          <w:sz w:val="24"/>
          <w:szCs w:val="24"/>
          <w:lang w:eastAsia="zh-CN"/>
        </w:rPr>
        <w:drawing>
          <wp:anchor distT="0" distB="0" distL="114300" distR="114300" simplePos="0" relativeHeight="251660288" behindDoc="0" locked="0" layoutInCell="1" allowOverlap="1">
            <wp:simplePos x="0" y="0"/>
            <wp:positionH relativeFrom="column">
              <wp:posOffset>-907415</wp:posOffset>
            </wp:positionH>
            <wp:positionV relativeFrom="paragraph">
              <wp:posOffset>-9806305</wp:posOffset>
            </wp:positionV>
            <wp:extent cx="7550785" cy="10673080"/>
            <wp:effectExtent l="0" t="0" r="12065" b="13970"/>
            <wp:wrapSquare wrapText="bothSides"/>
            <wp:docPr id="1" name="图片 1" descr="验收成员组签字表-全部已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验收成员组签字表-全部已签"/>
                    <pic:cNvPicPr>
                      <a:picLocks noChangeAspect="1"/>
                    </pic:cNvPicPr>
                  </pic:nvPicPr>
                  <pic:blipFill>
                    <a:blip r:embed="rId7"/>
                    <a:stretch>
                      <a:fillRect/>
                    </a:stretch>
                  </pic:blipFill>
                  <pic:spPr>
                    <a:xfrm>
                      <a:off x="0" y="0"/>
                      <a:ext cx="7550785" cy="10673080"/>
                    </a:xfrm>
                    <a:prstGeom prst="rect">
                      <a:avLst/>
                    </a:prstGeom>
                  </pic:spPr>
                </pic:pic>
              </a:graphicData>
            </a:graphic>
          </wp:anchor>
        </w:drawing>
      </w:r>
    </w:p>
    <w:sectPr>
      <w:footerReference r:id="rId4" w:type="default"/>
      <w:pgSz w:w="11906" w:h="16838"/>
      <w:pgMar w:top="1440" w:right="1440" w:bottom="1440" w:left="1440" w:header="851" w:footer="992" w:gutter="0"/>
      <w:pgNumType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w:t>
    </w:r>
    <w:r>
      <w:rPr>
        <w:lang w:val="zh-CN"/>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w:t>
    </w:r>
    <w:r>
      <w:rPr>
        <w:lang w:val="zh-CN"/>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3ODk4Yjg5MTA2NGIwMzQ1NzA3MDgxMTE3YzgxNWMifQ=="/>
  </w:docVars>
  <w:rsids>
    <w:rsidRoot w:val="00CF697D"/>
    <w:rsid w:val="00002C92"/>
    <w:rsid w:val="000052A4"/>
    <w:rsid w:val="00010EC7"/>
    <w:rsid w:val="00012AE0"/>
    <w:rsid w:val="00013AA8"/>
    <w:rsid w:val="00014AB8"/>
    <w:rsid w:val="00026E41"/>
    <w:rsid w:val="00026E65"/>
    <w:rsid w:val="000274FB"/>
    <w:rsid w:val="00037E3A"/>
    <w:rsid w:val="00041290"/>
    <w:rsid w:val="000414B4"/>
    <w:rsid w:val="00041B5B"/>
    <w:rsid w:val="00044CBE"/>
    <w:rsid w:val="00046AC2"/>
    <w:rsid w:val="000472E8"/>
    <w:rsid w:val="00047523"/>
    <w:rsid w:val="00050BCD"/>
    <w:rsid w:val="00056D96"/>
    <w:rsid w:val="00063295"/>
    <w:rsid w:val="00065989"/>
    <w:rsid w:val="00065AB7"/>
    <w:rsid w:val="00067222"/>
    <w:rsid w:val="000740EE"/>
    <w:rsid w:val="0007447E"/>
    <w:rsid w:val="000753DF"/>
    <w:rsid w:val="0007645C"/>
    <w:rsid w:val="000808D4"/>
    <w:rsid w:val="0008599B"/>
    <w:rsid w:val="0009497A"/>
    <w:rsid w:val="0009596E"/>
    <w:rsid w:val="000A217F"/>
    <w:rsid w:val="000A3303"/>
    <w:rsid w:val="000A4E34"/>
    <w:rsid w:val="000C1415"/>
    <w:rsid w:val="000C3D31"/>
    <w:rsid w:val="000C4A8B"/>
    <w:rsid w:val="000D3251"/>
    <w:rsid w:val="000D5FC2"/>
    <w:rsid w:val="000D7032"/>
    <w:rsid w:val="000E0A54"/>
    <w:rsid w:val="000E325B"/>
    <w:rsid w:val="000E35BE"/>
    <w:rsid w:val="000E5253"/>
    <w:rsid w:val="000E7397"/>
    <w:rsid w:val="000E77D5"/>
    <w:rsid w:val="001015E6"/>
    <w:rsid w:val="001105DD"/>
    <w:rsid w:val="001150A5"/>
    <w:rsid w:val="00115C52"/>
    <w:rsid w:val="00121127"/>
    <w:rsid w:val="00121681"/>
    <w:rsid w:val="001275F6"/>
    <w:rsid w:val="00130D09"/>
    <w:rsid w:val="00130EC8"/>
    <w:rsid w:val="00133542"/>
    <w:rsid w:val="00142E51"/>
    <w:rsid w:val="00143103"/>
    <w:rsid w:val="00161B98"/>
    <w:rsid w:val="00162A17"/>
    <w:rsid w:val="00175425"/>
    <w:rsid w:val="00184320"/>
    <w:rsid w:val="00184544"/>
    <w:rsid w:val="001A084B"/>
    <w:rsid w:val="001B1CF0"/>
    <w:rsid w:val="001B3F03"/>
    <w:rsid w:val="001B55DE"/>
    <w:rsid w:val="001D61CF"/>
    <w:rsid w:val="001D63F9"/>
    <w:rsid w:val="001D797C"/>
    <w:rsid w:val="001E2B65"/>
    <w:rsid w:val="001E46E0"/>
    <w:rsid w:val="001E507A"/>
    <w:rsid w:val="001F25FF"/>
    <w:rsid w:val="001F2D46"/>
    <w:rsid w:val="001F4B0F"/>
    <w:rsid w:val="001F5180"/>
    <w:rsid w:val="001F52CA"/>
    <w:rsid w:val="002078C8"/>
    <w:rsid w:val="0021122E"/>
    <w:rsid w:val="00211968"/>
    <w:rsid w:val="0021412C"/>
    <w:rsid w:val="00216337"/>
    <w:rsid w:val="00224A91"/>
    <w:rsid w:val="00230048"/>
    <w:rsid w:val="002407F5"/>
    <w:rsid w:val="0024154D"/>
    <w:rsid w:val="00263516"/>
    <w:rsid w:val="002718F5"/>
    <w:rsid w:val="002757F8"/>
    <w:rsid w:val="002758EB"/>
    <w:rsid w:val="00281C6A"/>
    <w:rsid w:val="00291D9B"/>
    <w:rsid w:val="00296DE2"/>
    <w:rsid w:val="002A67E6"/>
    <w:rsid w:val="002A7C2F"/>
    <w:rsid w:val="002B2AAD"/>
    <w:rsid w:val="002B2BD1"/>
    <w:rsid w:val="002C1FA6"/>
    <w:rsid w:val="002C2E67"/>
    <w:rsid w:val="002C40FF"/>
    <w:rsid w:val="002C5F2A"/>
    <w:rsid w:val="002D0285"/>
    <w:rsid w:val="002D4DAF"/>
    <w:rsid w:val="002E3202"/>
    <w:rsid w:val="002F0B30"/>
    <w:rsid w:val="002F4B0E"/>
    <w:rsid w:val="002F5B93"/>
    <w:rsid w:val="002F708B"/>
    <w:rsid w:val="003001C3"/>
    <w:rsid w:val="0030035E"/>
    <w:rsid w:val="00300AB9"/>
    <w:rsid w:val="00302F7A"/>
    <w:rsid w:val="0030632C"/>
    <w:rsid w:val="00307FB2"/>
    <w:rsid w:val="00312375"/>
    <w:rsid w:val="00322C62"/>
    <w:rsid w:val="00333E33"/>
    <w:rsid w:val="00334287"/>
    <w:rsid w:val="00335B79"/>
    <w:rsid w:val="003371CE"/>
    <w:rsid w:val="0034352D"/>
    <w:rsid w:val="00354563"/>
    <w:rsid w:val="0036038F"/>
    <w:rsid w:val="00360A37"/>
    <w:rsid w:val="00362FE6"/>
    <w:rsid w:val="00363210"/>
    <w:rsid w:val="00370E09"/>
    <w:rsid w:val="003766C4"/>
    <w:rsid w:val="00377223"/>
    <w:rsid w:val="00380ED0"/>
    <w:rsid w:val="0039229E"/>
    <w:rsid w:val="0039644C"/>
    <w:rsid w:val="00396525"/>
    <w:rsid w:val="003971F5"/>
    <w:rsid w:val="003A030B"/>
    <w:rsid w:val="003A4099"/>
    <w:rsid w:val="003A6DCE"/>
    <w:rsid w:val="003A7424"/>
    <w:rsid w:val="003B2326"/>
    <w:rsid w:val="003B43C3"/>
    <w:rsid w:val="003B501A"/>
    <w:rsid w:val="003B6C3B"/>
    <w:rsid w:val="003C224A"/>
    <w:rsid w:val="003C2529"/>
    <w:rsid w:val="003C2B1E"/>
    <w:rsid w:val="003D0E5B"/>
    <w:rsid w:val="003D20E1"/>
    <w:rsid w:val="003D46CE"/>
    <w:rsid w:val="003D6A19"/>
    <w:rsid w:val="003E3FE3"/>
    <w:rsid w:val="003E5F48"/>
    <w:rsid w:val="003E7D45"/>
    <w:rsid w:val="003F0613"/>
    <w:rsid w:val="003F174D"/>
    <w:rsid w:val="003F3EE8"/>
    <w:rsid w:val="003F6F48"/>
    <w:rsid w:val="003F7FC8"/>
    <w:rsid w:val="00403E89"/>
    <w:rsid w:val="004047A8"/>
    <w:rsid w:val="00411BAE"/>
    <w:rsid w:val="00416212"/>
    <w:rsid w:val="00420BD3"/>
    <w:rsid w:val="00430969"/>
    <w:rsid w:val="00433DF1"/>
    <w:rsid w:val="00436E7E"/>
    <w:rsid w:val="00442C4E"/>
    <w:rsid w:val="004458F7"/>
    <w:rsid w:val="004535FB"/>
    <w:rsid w:val="00454CC7"/>
    <w:rsid w:val="004561F5"/>
    <w:rsid w:val="0046092B"/>
    <w:rsid w:val="00461827"/>
    <w:rsid w:val="0046204D"/>
    <w:rsid w:val="004641EA"/>
    <w:rsid w:val="004657BC"/>
    <w:rsid w:val="00466B59"/>
    <w:rsid w:val="00470F1D"/>
    <w:rsid w:val="00471609"/>
    <w:rsid w:val="0047209F"/>
    <w:rsid w:val="004727E2"/>
    <w:rsid w:val="00476818"/>
    <w:rsid w:val="00481F8B"/>
    <w:rsid w:val="004865E2"/>
    <w:rsid w:val="00491C94"/>
    <w:rsid w:val="0049232C"/>
    <w:rsid w:val="004973FB"/>
    <w:rsid w:val="004A34C3"/>
    <w:rsid w:val="004A5EB0"/>
    <w:rsid w:val="004B27A6"/>
    <w:rsid w:val="004B31E1"/>
    <w:rsid w:val="004B48C8"/>
    <w:rsid w:val="004C441B"/>
    <w:rsid w:val="004D6199"/>
    <w:rsid w:val="004E4441"/>
    <w:rsid w:val="00503F06"/>
    <w:rsid w:val="005068D5"/>
    <w:rsid w:val="00513FBA"/>
    <w:rsid w:val="00514126"/>
    <w:rsid w:val="00516E24"/>
    <w:rsid w:val="005216E2"/>
    <w:rsid w:val="00522B44"/>
    <w:rsid w:val="0053046F"/>
    <w:rsid w:val="00533D48"/>
    <w:rsid w:val="0054767C"/>
    <w:rsid w:val="0055476B"/>
    <w:rsid w:val="00555F31"/>
    <w:rsid w:val="0055760B"/>
    <w:rsid w:val="00562703"/>
    <w:rsid w:val="005665BB"/>
    <w:rsid w:val="0057321C"/>
    <w:rsid w:val="00577A91"/>
    <w:rsid w:val="00581A79"/>
    <w:rsid w:val="00585599"/>
    <w:rsid w:val="00585869"/>
    <w:rsid w:val="00585AE1"/>
    <w:rsid w:val="00585DEE"/>
    <w:rsid w:val="00593487"/>
    <w:rsid w:val="0059564C"/>
    <w:rsid w:val="005A0325"/>
    <w:rsid w:val="005A137F"/>
    <w:rsid w:val="005A2DF3"/>
    <w:rsid w:val="005A6959"/>
    <w:rsid w:val="005A6BED"/>
    <w:rsid w:val="005B2F38"/>
    <w:rsid w:val="005B5B49"/>
    <w:rsid w:val="005B7408"/>
    <w:rsid w:val="005C4984"/>
    <w:rsid w:val="005D01F4"/>
    <w:rsid w:val="005D298A"/>
    <w:rsid w:val="005D7EDB"/>
    <w:rsid w:val="005E057E"/>
    <w:rsid w:val="005E3B05"/>
    <w:rsid w:val="005E3F2A"/>
    <w:rsid w:val="0060028C"/>
    <w:rsid w:val="00605B63"/>
    <w:rsid w:val="0061340C"/>
    <w:rsid w:val="00613D79"/>
    <w:rsid w:val="00614C8E"/>
    <w:rsid w:val="006158B4"/>
    <w:rsid w:val="006226D0"/>
    <w:rsid w:val="00623889"/>
    <w:rsid w:val="00631EA7"/>
    <w:rsid w:val="00634E7B"/>
    <w:rsid w:val="00643A14"/>
    <w:rsid w:val="00646CC6"/>
    <w:rsid w:val="00647BEF"/>
    <w:rsid w:val="00651DC8"/>
    <w:rsid w:val="00653028"/>
    <w:rsid w:val="006534A7"/>
    <w:rsid w:val="00660DD9"/>
    <w:rsid w:val="00664E1B"/>
    <w:rsid w:val="0066560A"/>
    <w:rsid w:val="0067004A"/>
    <w:rsid w:val="00674651"/>
    <w:rsid w:val="0067520D"/>
    <w:rsid w:val="00675ED8"/>
    <w:rsid w:val="00681F51"/>
    <w:rsid w:val="00697D96"/>
    <w:rsid w:val="006B1C80"/>
    <w:rsid w:val="006B32BB"/>
    <w:rsid w:val="006B6067"/>
    <w:rsid w:val="006C573E"/>
    <w:rsid w:val="006D33E3"/>
    <w:rsid w:val="006D3680"/>
    <w:rsid w:val="006D4896"/>
    <w:rsid w:val="006D5811"/>
    <w:rsid w:val="006E1496"/>
    <w:rsid w:val="006E2CA4"/>
    <w:rsid w:val="006E30D4"/>
    <w:rsid w:val="006E6D1D"/>
    <w:rsid w:val="006F669A"/>
    <w:rsid w:val="00702421"/>
    <w:rsid w:val="00702837"/>
    <w:rsid w:val="00704FA0"/>
    <w:rsid w:val="007073FA"/>
    <w:rsid w:val="00707EE7"/>
    <w:rsid w:val="00710FFE"/>
    <w:rsid w:val="0071162D"/>
    <w:rsid w:val="0071285C"/>
    <w:rsid w:val="00712FE7"/>
    <w:rsid w:val="0072424B"/>
    <w:rsid w:val="00733CBB"/>
    <w:rsid w:val="00736413"/>
    <w:rsid w:val="00745C13"/>
    <w:rsid w:val="0074625A"/>
    <w:rsid w:val="007476C8"/>
    <w:rsid w:val="00753E61"/>
    <w:rsid w:val="00756D3F"/>
    <w:rsid w:val="00760866"/>
    <w:rsid w:val="00761B2B"/>
    <w:rsid w:val="00765286"/>
    <w:rsid w:val="0077270A"/>
    <w:rsid w:val="007773F8"/>
    <w:rsid w:val="00782FFB"/>
    <w:rsid w:val="007A4EE9"/>
    <w:rsid w:val="007A6BBB"/>
    <w:rsid w:val="007B600F"/>
    <w:rsid w:val="007B74E2"/>
    <w:rsid w:val="007B7927"/>
    <w:rsid w:val="007C1443"/>
    <w:rsid w:val="007D5F8A"/>
    <w:rsid w:val="007E4D43"/>
    <w:rsid w:val="007F0923"/>
    <w:rsid w:val="007F2855"/>
    <w:rsid w:val="007F3735"/>
    <w:rsid w:val="007F6591"/>
    <w:rsid w:val="007F7B52"/>
    <w:rsid w:val="00807038"/>
    <w:rsid w:val="00812060"/>
    <w:rsid w:val="0081671A"/>
    <w:rsid w:val="00820BDB"/>
    <w:rsid w:val="008273D1"/>
    <w:rsid w:val="00830C8E"/>
    <w:rsid w:val="00831150"/>
    <w:rsid w:val="008318A9"/>
    <w:rsid w:val="00832ED6"/>
    <w:rsid w:val="008364A6"/>
    <w:rsid w:val="008407CF"/>
    <w:rsid w:val="008410C5"/>
    <w:rsid w:val="00841A69"/>
    <w:rsid w:val="0084438B"/>
    <w:rsid w:val="00844505"/>
    <w:rsid w:val="008449A3"/>
    <w:rsid w:val="00846B5F"/>
    <w:rsid w:val="00853769"/>
    <w:rsid w:val="008560C1"/>
    <w:rsid w:val="00861C77"/>
    <w:rsid w:val="0086417A"/>
    <w:rsid w:val="00864B91"/>
    <w:rsid w:val="00865C2E"/>
    <w:rsid w:val="008662FD"/>
    <w:rsid w:val="008668E1"/>
    <w:rsid w:val="00867094"/>
    <w:rsid w:val="008707A3"/>
    <w:rsid w:val="008714BC"/>
    <w:rsid w:val="00873698"/>
    <w:rsid w:val="00882386"/>
    <w:rsid w:val="00890D11"/>
    <w:rsid w:val="00891C05"/>
    <w:rsid w:val="008A3C16"/>
    <w:rsid w:val="008A5328"/>
    <w:rsid w:val="008B6B6E"/>
    <w:rsid w:val="008C3030"/>
    <w:rsid w:val="008D01E1"/>
    <w:rsid w:val="008D15DE"/>
    <w:rsid w:val="008D2BB0"/>
    <w:rsid w:val="008E5A89"/>
    <w:rsid w:val="008F4957"/>
    <w:rsid w:val="009033A4"/>
    <w:rsid w:val="00905878"/>
    <w:rsid w:val="00911528"/>
    <w:rsid w:val="0091301F"/>
    <w:rsid w:val="00915BFA"/>
    <w:rsid w:val="009174A0"/>
    <w:rsid w:val="00917731"/>
    <w:rsid w:val="00921086"/>
    <w:rsid w:val="009228F0"/>
    <w:rsid w:val="00926805"/>
    <w:rsid w:val="00937684"/>
    <w:rsid w:val="009466D6"/>
    <w:rsid w:val="00947190"/>
    <w:rsid w:val="0095020C"/>
    <w:rsid w:val="00954168"/>
    <w:rsid w:val="00954666"/>
    <w:rsid w:val="00960E27"/>
    <w:rsid w:val="0096383E"/>
    <w:rsid w:val="0096422A"/>
    <w:rsid w:val="00965AF1"/>
    <w:rsid w:val="00965FCA"/>
    <w:rsid w:val="00967579"/>
    <w:rsid w:val="00967DC8"/>
    <w:rsid w:val="00971E1E"/>
    <w:rsid w:val="009720A8"/>
    <w:rsid w:val="0097476F"/>
    <w:rsid w:val="00974DF3"/>
    <w:rsid w:val="0098189C"/>
    <w:rsid w:val="00983D9B"/>
    <w:rsid w:val="00992DF1"/>
    <w:rsid w:val="00994DE5"/>
    <w:rsid w:val="00995AEA"/>
    <w:rsid w:val="00996875"/>
    <w:rsid w:val="009A16B7"/>
    <w:rsid w:val="009A2F70"/>
    <w:rsid w:val="009A40B0"/>
    <w:rsid w:val="009A7C77"/>
    <w:rsid w:val="009B352F"/>
    <w:rsid w:val="009B4F21"/>
    <w:rsid w:val="009C1DEB"/>
    <w:rsid w:val="009C4C39"/>
    <w:rsid w:val="009D11C3"/>
    <w:rsid w:val="009D1863"/>
    <w:rsid w:val="009D65F8"/>
    <w:rsid w:val="009D7918"/>
    <w:rsid w:val="009E4991"/>
    <w:rsid w:val="009E72E7"/>
    <w:rsid w:val="009F1629"/>
    <w:rsid w:val="009F2B4C"/>
    <w:rsid w:val="009F6ADB"/>
    <w:rsid w:val="00A05C2A"/>
    <w:rsid w:val="00A161D7"/>
    <w:rsid w:val="00A1728B"/>
    <w:rsid w:val="00A2157F"/>
    <w:rsid w:val="00A25ACD"/>
    <w:rsid w:val="00A26295"/>
    <w:rsid w:val="00A27667"/>
    <w:rsid w:val="00A30929"/>
    <w:rsid w:val="00A4334D"/>
    <w:rsid w:val="00A453D9"/>
    <w:rsid w:val="00A45F16"/>
    <w:rsid w:val="00A53BED"/>
    <w:rsid w:val="00A546C2"/>
    <w:rsid w:val="00A54D6E"/>
    <w:rsid w:val="00A55462"/>
    <w:rsid w:val="00A56D22"/>
    <w:rsid w:val="00A63DF6"/>
    <w:rsid w:val="00A7328D"/>
    <w:rsid w:val="00A77F97"/>
    <w:rsid w:val="00A84090"/>
    <w:rsid w:val="00A87B9E"/>
    <w:rsid w:val="00A94776"/>
    <w:rsid w:val="00AA430F"/>
    <w:rsid w:val="00AA6241"/>
    <w:rsid w:val="00AA62E3"/>
    <w:rsid w:val="00AB0CC8"/>
    <w:rsid w:val="00AB188C"/>
    <w:rsid w:val="00AB234E"/>
    <w:rsid w:val="00AB6443"/>
    <w:rsid w:val="00AB6C77"/>
    <w:rsid w:val="00AC05EF"/>
    <w:rsid w:val="00AC0766"/>
    <w:rsid w:val="00AC1E10"/>
    <w:rsid w:val="00AD0244"/>
    <w:rsid w:val="00AE1B91"/>
    <w:rsid w:val="00AF12F8"/>
    <w:rsid w:val="00AF13A4"/>
    <w:rsid w:val="00AF2EA6"/>
    <w:rsid w:val="00AF3998"/>
    <w:rsid w:val="00B03708"/>
    <w:rsid w:val="00B04C23"/>
    <w:rsid w:val="00B05A4D"/>
    <w:rsid w:val="00B170B4"/>
    <w:rsid w:val="00B24469"/>
    <w:rsid w:val="00B31304"/>
    <w:rsid w:val="00B37858"/>
    <w:rsid w:val="00B458F4"/>
    <w:rsid w:val="00B502E4"/>
    <w:rsid w:val="00B628DB"/>
    <w:rsid w:val="00B6306D"/>
    <w:rsid w:val="00B66050"/>
    <w:rsid w:val="00B664ED"/>
    <w:rsid w:val="00B71ACF"/>
    <w:rsid w:val="00B7383E"/>
    <w:rsid w:val="00B74C38"/>
    <w:rsid w:val="00B820EA"/>
    <w:rsid w:val="00B828E1"/>
    <w:rsid w:val="00B84B34"/>
    <w:rsid w:val="00B87F05"/>
    <w:rsid w:val="00B953DC"/>
    <w:rsid w:val="00B95E7E"/>
    <w:rsid w:val="00BA2FD9"/>
    <w:rsid w:val="00BA4E63"/>
    <w:rsid w:val="00BA564F"/>
    <w:rsid w:val="00BA68BA"/>
    <w:rsid w:val="00BA712C"/>
    <w:rsid w:val="00BB19C8"/>
    <w:rsid w:val="00BB3D65"/>
    <w:rsid w:val="00BB3EC7"/>
    <w:rsid w:val="00BB5BC2"/>
    <w:rsid w:val="00BC1468"/>
    <w:rsid w:val="00BC1A24"/>
    <w:rsid w:val="00BC37A5"/>
    <w:rsid w:val="00BC7131"/>
    <w:rsid w:val="00BD02AD"/>
    <w:rsid w:val="00BD2A95"/>
    <w:rsid w:val="00BD30BB"/>
    <w:rsid w:val="00BD5687"/>
    <w:rsid w:val="00BD635D"/>
    <w:rsid w:val="00BE2276"/>
    <w:rsid w:val="00BE397E"/>
    <w:rsid w:val="00BE5C4B"/>
    <w:rsid w:val="00BF0052"/>
    <w:rsid w:val="00BF25BE"/>
    <w:rsid w:val="00C002B3"/>
    <w:rsid w:val="00C0363C"/>
    <w:rsid w:val="00C04B46"/>
    <w:rsid w:val="00C06CAE"/>
    <w:rsid w:val="00C07F0F"/>
    <w:rsid w:val="00C10DC1"/>
    <w:rsid w:val="00C129B4"/>
    <w:rsid w:val="00C15FD1"/>
    <w:rsid w:val="00C16FED"/>
    <w:rsid w:val="00C206B9"/>
    <w:rsid w:val="00C20E1D"/>
    <w:rsid w:val="00C225AF"/>
    <w:rsid w:val="00C22EE9"/>
    <w:rsid w:val="00C23EDD"/>
    <w:rsid w:val="00C2430D"/>
    <w:rsid w:val="00C259CC"/>
    <w:rsid w:val="00C3127C"/>
    <w:rsid w:val="00C433F8"/>
    <w:rsid w:val="00C53E70"/>
    <w:rsid w:val="00C53F2F"/>
    <w:rsid w:val="00C5463A"/>
    <w:rsid w:val="00C643C0"/>
    <w:rsid w:val="00C66670"/>
    <w:rsid w:val="00C7181E"/>
    <w:rsid w:val="00C72FEF"/>
    <w:rsid w:val="00C90E3D"/>
    <w:rsid w:val="00C96802"/>
    <w:rsid w:val="00C97F4A"/>
    <w:rsid w:val="00CB0FF7"/>
    <w:rsid w:val="00CB10B4"/>
    <w:rsid w:val="00CB1485"/>
    <w:rsid w:val="00CB17A2"/>
    <w:rsid w:val="00CB35AB"/>
    <w:rsid w:val="00CB6054"/>
    <w:rsid w:val="00CB6862"/>
    <w:rsid w:val="00CB7A1D"/>
    <w:rsid w:val="00CC07AD"/>
    <w:rsid w:val="00CC0EE7"/>
    <w:rsid w:val="00CC2A24"/>
    <w:rsid w:val="00CC450D"/>
    <w:rsid w:val="00CE1EA3"/>
    <w:rsid w:val="00CF1931"/>
    <w:rsid w:val="00CF697D"/>
    <w:rsid w:val="00CF6AD8"/>
    <w:rsid w:val="00CF7198"/>
    <w:rsid w:val="00D00C09"/>
    <w:rsid w:val="00D02C3D"/>
    <w:rsid w:val="00D057AF"/>
    <w:rsid w:val="00D069A3"/>
    <w:rsid w:val="00D11410"/>
    <w:rsid w:val="00D11979"/>
    <w:rsid w:val="00D11BE8"/>
    <w:rsid w:val="00D13471"/>
    <w:rsid w:val="00D13E33"/>
    <w:rsid w:val="00D226C3"/>
    <w:rsid w:val="00D265BB"/>
    <w:rsid w:val="00D26AC7"/>
    <w:rsid w:val="00D33211"/>
    <w:rsid w:val="00D40ABD"/>
    <w:rsid w:val="00D422A8"/>
    <w:rsid w:val="00D4238C"/>
    <w:rsid w:val="00D43F20"/>
    <w:rsid w:val="00D46F08"/>
    <w:rsid w:val="00D51434"/>
    <w:rsid w:val="00D52987"/>
    <w:rsid w:val="00D52AA3"/>
    <w:rsid w:val="00D57311"/>
    <w:rsid w:val="00D61271"/>
    <w:rsid w:val="00D612AD"/>
    <w:rsid w:val="00D72A48"/>
    <w:rsid w:val="00D81221"/>
    <w:rsid w:val="00D827B8"/>
    <w:rsid w:val="00D86626"/>
    <w:rsid w:val="00D90006"/>
    <w:rsid w:val="00D931AE"/>
    <w:rsid w:val="00D9392C"/>
    <w:rsid w:val="00D96EAB"/>
    <w:rsid w:val="00D9783B"/>
    <w:rsid w:val="00DA1579"/>
    <w:rsid w:val="00DA3AB1"/>
    <w:rsid w:val="00DA3D69"/>
    <w:rsid w:val="00DA44A0"/>
    <w:rsid w:val="00DA6011"/>
    <w:rsid w:val="00DB41DC"/>
    <w:rsid w:val="00DC301F"/>
    <w:rsid w:val="00DD102C"/>
    <w:rsid w:val="00DD16AD"/>
    <w:rsid w:val="00DD2B0F"/>
    <w:rsid w:val="00DD44B9"/>
    <w:rsid w:val="00DD658B"/>
    <w:rsid w:val="00DE4782"/>
    <w:rsid w:val="00DE7ED2"/>
    <w:rsid w:val="00DF4A2E"/>
    <w:rsid w:val="00DF4EA8"/>
    <w:rsid w:val="00DF5D95"/>
    <w:rsid w:val="00E0280D"/>
    <w:rsid w:val="00E0341B"/>
    <w:rsid w:val="00E07912"/>
    <w:rsid w:val="00E11D3B"/>
    <w:rsid w:val="00E14AE2"/>
    <w:rsid w:val="00E150DD"/>
    <w:rsid w:val="00E31D7C"/>
    <w:rsid w:val="00E34666"/>
    <w:rsid w:val="00E431D9"/>
    <w:rsid w:val="00E4450A"/>
    <w:rsid w:val="00E51323"/>
    <w:rsid w:val="00E51F8D"/>
    <w:rsid w:val="00E52AFA"/>
    <w:rsid w:val="00E647AB"/>
    <w:rsid w:val="00E64CC7"/>
    <w:rsid w:val="00E71C15"/>
    <w:rsid w:val="00E72ED0"/>
    <w:rsid w:val="00E73266"/>
    <w:rsid w:val="00E7531C"/>
    <w:rsid w:val="00E828BB"/>
    <w:rsid w:val="00E83A79"/>
    <w:rsid w:val="00E83D69"/>
    <w:rsid w:val="00E84DBF"/>
    <w:rsid w:val="00E901F4"/>
    <w:rsid w:val="00E92566"/>
    <w:rsid w:val="00E94254"/>
    <w:rsid w:val="00EA527C"/>
    <w:rsid w:val="00EA64CA"/>
    <w:rsid w:val="00EB179D"/>
    <w:rsid w:val="00EB195B"/>
    <w:rsid w:val="00EB705C"/>
    <w:rsid w:val="00EB7B84"/>
    <w:rsid w:val="00EF034A"/>
    <w:rsid w:val="00EF106C"/>
    <w:rsid w:val="00F0126A"/>
    <w:rsid w:val="00F04F77"/>
    <w:rsid w:val="00F13123"/>
    <w:rsid w:val="00F16C42"/>
    <w:rsid w:val="00F174ED"/>
    <w:rsid w:val="00F259D5"/>
    <w:rsid w:val="00F26833"/>
    <w:rsid w:val="00F361A7"/>
    <w:rsid w:val="00F362AC"/>
    <w:rsid w:val="00F40DD1"/>
    <w:rsid w:val="00F4293B"/>
    <w:rsid w:val="00F42CF5"/>
    <w:rsid w:val="00F47A13"/>
    <w:rsid w:val="00F53F39"/>
    <w:rsid w:val="00F54DC7"/>
    <w:rsid w:val="00F553C0"/>
    <w:rsid w:val="00F55735"/>
    <w:rsid w:val="00F55F9B"/>
    <w:rsid w:val="00F652D9"/>
    <w:rsid w:val="00F705AA"/>
    <w:rsid w:val="00F739A9"/>
    <w:rsid w:val="00F75260"/>
    <w:rsid w:val="00F763CE"/>
    <w:rsid w:val="00F82519"/>
    <w:rsid w:val="00F82AE4"/>
    <w:rsid w:val="00F836F5"/>
    <w:rsid w:val="00F900B1"/>
    <w:rsid w:val="00F94297"/>
    <w:rsid w:val="00FA6F79"/>
    <w:rsid w:val="00FA76D2"/>
    <w:rsid w:val="00FB2FFE"/>
    <w:rsid w:val="00FB6350"/>
    <w:rsid w:val="00FC0EB0"/>
    <w:rsid w:val="00FC2AF9"/>
    <w:rsid w:val="00FC6F3F"/>
    <w:rsid w:val="00FD09A8"/>
    <w:rsid w:val="00FD16B4"/>
    <w:rsid w:val="00FD5BEC"/>
    <w:rsid w:val="00FD5D4A"/>
    <w:rsid w:val="00FE43E3"/>
    <w:rsid w:val="00FE4E03"/>
    <w:rsid w:val="00FF6662"/>
    <w:rsid w:val="07925451"/>
    <w:rsid w:val="14F37E3C"/>
    <w:rsid w:val="1B9450F5"/>
    <w:rsid w:val="33E5414C"/>
    <w:rsid w:val="39201F20"/>
    <w:rsid w:val="3AA30586"/>
    <w:rsid w:val="4E6E708F"/>
    <w:rsid w:val="51C86306"/>
    <w:rsid w:val="64EA59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7"/>
    <w:semiHidden/>
    <w:unhideWhenUsed/>
    <w:qFormat/>
    <w:uiPriority w:val="99"/>
    <w:rPr>
      <w:rFonts w:ascii="宋体" w:eastAsia="宋体"/>
      <w:sz w:val="18"/>
      <w:szCs w:val="18"/>
    </w:rPr>
  </w:style>
  <w:style w:type="paragraph" w:styleId="3">
    <w:name w:val="Plain Text"/>
    <w:basedOn w:val="1"/>
    <w:link w:val="13"/>
    <w:qFormat/>
    <w:uiPriority w:val="0"/>
    <w:rPr>
      <w:rFonts w:ascii="宋体" w:hAnsi="Courier New" w:cs="Courier New"/>
      <w:szCs w:val="21"/>
    </w:rPr>
  </w:style>
  <w:style w:type="paragraph" w:styleId="4">
    <w:name w:val="Balloon Text"/>
    <w:basedOn w:val="1"/>
    <w:link w:val="18"/>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Emphasis"/>
    <w:basedOn w:val="9"/>
    <w:qFormat/>
    <w:uiPriority w:val="20"/>
    <w:rPr>
      <w:i/>
    </w:rPr>
  </w:style>
  <w:style w:type="paragraph" w:customStyle="1" w:styleId="11">
    <w:name w:val="正-文-"/>
    <w:basedOn w:val="1"/>
    <w:link w:val="12"/>
    <w:qFormat/>
    <w:uiPriority w:val="0"/>
    <w:pPr>
      <w:widowControl/>
      <w:tabs>
        <w:tab w:val="right" w:pos="8925"/>
      </w:tabs>
      <w:adjustRightInd w:val="0"/>
      <w:snapToGrid w:val="0"/>
      <w:spacing w:line="360" w:lineRule="auto"/>
      <w:ind w:firstLine="480" w:firstLineChars="200"/>
      <w:jc w:val="left"/>
    </w:pPr>
    <w:rPr>
      <w:rFonts w:ascii="Times New Roman" w:hAnsi="Times New Roman" w:eastAsia="宋体" w:cs="Times New Roman"/>
      <w:kern w:val="0"/>
      <w:sz w:val="24"/>
      <w:szCs w:val="24"/>
    </w:rPr>
  </w:style>
  <w:style w:type="character" w:customStyle="1" w:styleId="12">
    <w:name w:val="正-文- Char"/>
    <w:link w:val="11"/>
    <w:qFormat/>
    <w:uiPriority w:val="0"/>
    <w:rPr>
      <w:rFonts w:ascii="Times New Roman" w:hAnsi="Times New Roman" w:eastAsia="宋体" w:cs="Times New Roman"/>
      <w:kern w:val="0"/>
      <w:sz w:val="24"/>
      <w:szCs w:val="24"/>
    </w:rPr>
  </w:style>
  <w:style w:type="character" w:customStyle="1" w:styleId="13">
    <w:name w:val="纯文本 字符"/>
    <w:link w:val="3"/>
    <w:qFormat/>
    <w:uiPriority w:val="0"/>
    <w:rPr>
      <w:rFonts w:ascii="宋体" w:hAnsi="Courier New" w:cs="Courier New"/>
      <w:szCs w:val="21"/>
    </w:rPr>
  </w:style>
  <w:style w:type="character" w:customStyle="1" w:styleId="14">
    <w:name w:val="纯文本 Char1"/>
    <w:basedOn w:val="9"/>
    <w:semiHidden/>
    <w:qFormat/>
    <w:uiPriority w:val="99"/>
    <w:rPr>
      <w:rFonts w:ascii="宋体" w:hAnsi="Courier New" w:eastAsia="宋体" w:cs="Courier New"/>
      <w:szCs w:val="21"/>
    </w:rPr>
  </w:style>
  <w:style w:type="character" w:customStyle="1" w:styleId="15">
    <w:name w:val="页眉 字符"/>
    <w:basedOn w:val="9"/>
    <w:link w:val="6"/>
    <w:qFormat/>
    <w:uiPriority w:val="99"/>
    <w:rPr>
      <w:sz w:val="18"/>
      <w:szCs w:val="18"/>
    </w:rPr>
  </w:style>
  <w:style w:type="character" w:customStyle="1" w:styleId="16">
    <w:name w:val="页脚 字符"/>
    <w:basedOn w:val="9"/>
    <w:link w:val="5"/>
    <w:qFormat/>
    <w:uiPriority w:val="99"/>
    <w:rPr>
      <w:sz w:val="18"/>
      <w:szCs w:val="18"/>
    </w:rPr>
  </w:style>
  <w:style w:type="character" w:customStyle="1" w:styleId="17">
    <w:name w:val="文档结构图 字符"/>
    <w:basedOn w:val="9"/>
    <w:link w:val="2"/>
    <w:semiHidden/>
    <w:qFormat/>
    <w:uiPriority w:val="99"/>
    <w:rPr>
      <w:rFonts w:ascii="宋体" w:eastAsia="宋体"/>
      <w:sz w:val="18"/>
      <w:szCs w:val="18"/>
    </w:rPr>
  </w:style>
  <w:style w:type="character" w:customStyle="1" w:styleId="18">
    <w:name w:val="批注框文本 字符"/>
    <w:basedOn w:val="9"/>
    <w:link w:val="4"/>
    <w:semiHidden/>
    <w:qFormat/>
    <w:uiPriority w:val="99"/>
    <w:rPr>
      <w:sz w:val="18"/>
      <w:szCs w:val="18"/>
    </w:rPr>
  </w:style>
  <w:style w:type="paragraph" w:customStyle="1" w:styleId="19">
    <w:name w:val="01正文"/>
    <w:basedOn w:val="1"/>
    <w:link w:val="20"/>
    <w:qFormat/>
    <w:uiPriority w:val="0"/>
    <w:pPr>
      <w:adjustRightInd w:val="0"/>
      <w:snapToGrid w:val="0"/>
      <w:spacing w:line="360" w:lineRule="auto"/>
      <w:ind w:firstLine="480" w:firstLineChars="200"/>
    </w:pPr>
    <w:rPr>
      <w:rFonts w:ascii="Times New Roman" w:hAnsi="Times New Roman" w:eastAsia="仿宋_GB2312" w:cs="Times New Roman"/>
      <w:sz w:val="24"/>
    </w:rPr>
  </w:style>
  <w:style w:type="character" w:customStyle="1" w:styleId="20">
    <w:name w:val="01正文 Char"/>
    <w:link w:val="19"/>
    <w:qFormat/>
    <w:uiPriority w:val="0"/>
    <w:rPr>
      <w:rFonts w:ascii="Times New Roman" w:hAnsi="Times New Roman" w:eastAsia="仿宋_GB2312" w:cs="Times New Roman"/>
      <w:kern w:val="2"/>
      <w:sz w:val="24"/>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058A60-D188-49FD-B80E-E9561364013E}">
  <ds:schemaRefs/>
</ds:datastoreItem>
</file>

<file path=docProps/app.xml><?xml version="1.0" encoding="utf-8"?>
<Properties xmlns="http://schemas.openxmlformats.org/officeDocument/2006/extended-properties" xmlns:vt="http://schemas.openxmlformats.org/officeDocument/2006/docPropsVTypes">
  <Template>Normal</Template>
  <Company>wimxt.com</Company>
  <Pages>7</Pages>
  <Words>456</Words>
  <Characters>2600</Characters>
  <Lines>21</Lines>
  <Paragraphs>6</Paragraphs>
  <TotalTime>0</TotalTime>
  <ScaleCrop>false</ScaleCrop>
  <LinksUpToDate>false</LinksUpToDate>
  <CharactersWithSpaces>3050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2020-10-27T01:38:00Z</dcterms:created>
  <dc:creator>Administrator</dc:creator>
  <cp:lastModifiedBy>Administrator</cp:lastModifiedBy>
  <cp:lastPrinted>2019-09-24T07:16:00Z</cp:lastPrinted>
  <dcterms:modified xsi:type="dcterms:W3CDTF">2023-12-08T04:09:19Z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DD7220F63C1440999D6A51FFF49E56DE_13</vt:lpwstr>
  </property>
</Properties>
</file>