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rPr>
          <w:rFonts w:ascii="Times New Roman" w:hAnsi="Times New Roman" w:eastAsia="黑体" w:cs="Times New Roman"/>
          <w:color w:val="auto"/>
          <w:sz w:val="32"/>
          <w:szCs w:val="32"/>
        </w:rPr>
      </w:pPr>
      <w:r>
        <w:drawing>
          <wp:anchor distT="0" distB="0" distL="114300" distR="114300" simplePos="0" relativeHeight="251659264" behindDoc="0" locked="0" layoutInCell="1" allowOverlap="1">
            <wp:simplePos x="0" y="0"/>
            <wp:positionH relativeFrom="column">
              <wp:posOffset>-901065</wp:posOffset>
            </wp:positionH>
            <wp:positionV relativeFrom="paragraph">
              <wp:posOffset>-914400</wp:posOffset>
            </wp:positionV>
            <wp:extent cx="7570470" cy="10804525"/>
            <wp:effectExtent l="0" t="0" r="11430" b="1587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7570470" cy="10804525"/>
                    </a:xfrm>
                    <a:prstGeom prst="rect">
                      <a:avLst/>
                    </a:prstGeom>
                    <a:noFill/>
                    <a:ln>
                      <a:noFill/>
                    </a:ln>
                  </pic:spPr>
                </pic:pic>
              </a:graphicData>
            </a:graphic>
          </wp:anchor>
        </w:drawing>
      </w:r>
      <w:r>
        <w:rPr>
          <w:rFonts w:ascii="Times New Roman" w:hAnsi="Times New Roman" w:eastAsia="黑体" w:cs="Times New Roman"/>
          <w:color w:val="auto"/>
          <w:sz w:val="32"/>
          <w:szCs w:val="32"/>
        </w:rPr>
        <w:t xml:space="preserve"> </w:t>
      </w:r>
    </w:p>
    <w:p>
      <w:pPr>
        <w:spacing w:beforeLines="50" w:afterLines="50"/>
        <w:ind w:firstLine="600" w:firstLineChars="200"/>
        <w:rPr>
          <w:rFonts w:ascii="Times New Roman" w:hAnsi="Times New Roman" w:eastAsia="黑体" w:cs="Times New Roman"/>
          <w:color w:val="auto"/>
          <w:sz w:val="30"/>
          <w:szCs w:val="30"/>
        </w:rPr>
      </w:pPr>
      <w:r>
        <w:rPr>
          <w:rFonts w:hint="eastAsia" w:ascii="Times New Roman" w:hAnsi="Times New Roman" w:eastAsia="黑体" w:cs="黑体"/>
          <w:color w:val="auto"/>
          <w:sz w:val="30"/>
          <w:szCs w:val="30"/>
        </w:rPr>
        <w:t>一、生产建设项目水土保持设施验收基本情况表</w:t>
      </w:r>
    </w:p>
    <w:tbl>
      <w:tblPr>
        <w:tblStyle w:val="11"/>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7" w:type="dxa"/>
          <w:bottom w:w="0" w:type="dxa"/>
          <w:right w:w="57" w:type="dxa"/>
        </w:tblCellMar>
      </w:tblPr>
      <w:tblGrid>
        <w:gridCol w:w="2751"/>
        <w:gridCol w:w="4644"/>
        <w:gridCol w:w="843"/>
        <w:gridCol w:w="94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960" w:hRule="exact"/>
          <w:jc w:val="center"/>
        </w:trPr>
        <w:tc>
          <w:tcPr>
            <w:tcW w:w="2751" w:type="dxa"/>
            <w:vAlign w:val="center"/>
          </w:tcPr>
          <w:p>
            <w:pPr>
              <w:keepNext w:val="0"/>
              <w:keepLines w:val="0"/>
              <w:suppressLineNumbers w:val="0"/>
              <w:spacing w:before="0" w:beforeAutospacing="0" w:after="0" w:afterAutospacing="0"/>
              <w:ind w:left="137" w:leftChars="57" w:right="0"/>
              <w:jc w:val="center"/>
              <w:rPr>
                <w:rFonts w:ascii="Times New Roman" w:hAnsi="Times New Roman" w:cs="Times New Roman"/>
                <w:color w:val="auto"/>
              </w:rPr>
            </w:pPr>
            <w:r>
              <w:rPr>
                <w:rFonts w:hint="eastAsia" w:ascii="Times New Roman" w:hAnsi="Times New Roman" w:cs="宋体"/>
                <w:color w:val="auto"/>
              </w:rPr>
              <w:t>项目名称</w:t>
            </w:r>
          </w:p>
        </w:tc>
        <w:tc>
          <w:tcPr>
            <w:tcW w:w="4644"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lang w:eastAsia="zh-CN"/>
              </w:rPr>
            </w:pPr>
            <w:r>
              <w:rPr>
                <w:rFonts w:hint="eastAsia" w:ascii="Times New Roman" w:hAnsi="仿宋" w:eastAsia="仿宋" w:cs="Times New Roman"/>
                <w:color w:val="auto"/>
                <w:lang w:eastAsia="zh-CN"/>
              </w:rPr>
              <w:t>快速路一纵线学堂堡立交至狮子岩立交段工程（调整）</w:t>
            </w:r>
          </w:p>
        </w:tc>
        <w:tc>
          <w:tcPr>
            <w:tcW w:w="843" w:type="dxa"/>
            <w:vAlign w:val="center"/>
          </w:tcPr>
          <w:p>
            <w:pPr>
              <w:keepNext w:val="0"/>
              <w:keepLines w:val="0"/>
              <w:suppressLineNumbers w:val="0"/>
              <w:spacing w:before="0" w:beforeAutospacing="0" w:after="0" w:afterAutospacing="0"/>
              <w:ind w:left="0" w:right="0"/>
              <w:jc w:val="center"/>
              <w:rPr>
                <w:rFonts w:ascii="Times New Roman" w:hAnsi="Times New Roman" w:cs="宋体"/>
                <w:color w:val="auto"/>
              </w:rPr>
            </w:pPr>
            <w:r>
              <w:rPr>
                <w:rFonts w:hint="eastAsia" w:ascii="Times New Roman" w:hAnsi="Times New Roman" w:cs="宋体"/>
                <w:color w:val="auto"/>
              </w:rPr>
              <w:t>行业</w:t>
            </w:r>
          </w:p>
          <w:p>
            <w:pPr>
              <w:keepNext w:val="0"/>
              <w:keepLines w:val="0"/>
              <w:suppressLineNumbers w:val="0"/>
              <w:spacing w:before="0" w:beforeAutospacing="0" w:after="0" w:afterAutospacing="0"/>
              <w:ind w:left="0" w:right="0"/>
              <w:jc w:val="center"/>
              <w:rPr>
                <w:rFonts w:ascii="Times New Roman" w:hAnsi="Times New Roman" w:cs="Times New Roman"/>
                <w:color w:val="auto"/>
              </w:rPr>
            </w:pPr>
            <w:r>
              <w:rPr>
                <w:rFonts w:hint="eastAsia" w:ascii="Times New Roman" w:hAnsi="Times New Roman" w:cs="宋体"/>
                <w:color w:val="auto"/>
              </w:rPr>
              <w:t>类别</w:t>
            </w:r>
          </w:p>
        </w:tc>
        <w:tc>
          <w:tcPr>
            <w:tcW w:w="946" w:type="dxa"/>
            <w:vAlign w:val="center"/>
          </w:tcPr>
          <w:p>
            <w:pPr>
              <w:keepNext w:val="0"/>
              <w:keepLines w:val="0"/>
              <w:suppressLineNumbers w:val="0"/>
              <w:spacing w:before="0" w:beforeAutospacing="0" w:after="0" w:afterAutospacing="0"/>
              <w:ind w:left="0" w:right="0"/>
              <w:jc w:val="center"/>
              <w:rPr>
                <w:rFonts w:hint="eastAsia" w:ascii="Times New Roman" w:hAnsi="仿宋" w:eastAsia="仿宋" w:cs="Times New Roman"/>
                <w:color w:val="auto"/>
                <w:lang w:eastAsia="zh-CN"/>
              </w:rPr>
            </w:pPr>
            <w:r>
              <w:rPr>
                <w:rFonts w:hint="eastAsia" w:ascii="Times New Roman" w:hAnsi="仿宋" w:eastAsia="仿宋" w:cs="Times New Roman"/>
                <w:color w:val="auto"/>
                <w:lang w:eastAsia="zh-CN"/>
              </w:rPr>
              <w:t>市政</w:t>
            </w:r>
          </w:p>
          <w:p>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lang w:eastAsia="zh-CN"/>
              </w:rPr>
            </w:pPr>
            <w:r>
              <w:rPr>
                <w:rFonts w:hint="eastAsia" w:ascii="Times New Roman" w:hAnsi="仿宋" w:eastAsia="仿宋" w:cs="Times New Roman"/>
                <w:color w:val="auto"/>
                <w:lang w:eastAsia="zh-CN"/>
              </w:rPr>
              <w:t>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960" w:hRule="exact"/>
          <w:jc w:val="center"/>
        </w:trPr>
        <w:tc>
          <w:tcPr>
            <w:tcW w:w="2751" w:type="dxa"/>
            <w:vAlign w:val="center"/>
          </w:tcPr>
          <w:p>
            <w:pPr>
              <w:keepNext w:val="0"/>
              <w:keepLines w:val="0"/>
              <w:suppressLineNumbers w:val="0"/>
              <w:spacing w:before="0" w:beforeAutospacing="0" w:after="0" w:afterAutospacing="0"/>
              <w:ind w:left="137" w:leftChars="57" w:right="0"/>
              <w:jc w:val="center"/>
              <w:rPr>
                <w:rFonts w:ascii="Times New Roman" w:hAnsi="Times New Roman" w:cs="Times New Roman"/>
                <w:color w:val="auto"/>
              </w:rPr>
            </w:pPr>
            <w:r>
              <w:rPr>
                <w:rFonts w:hint="eastAsia" w:ascii="Times New Roman" w:hAnsi="Times New Roman" w:cs="宋体"/>
                <w:color w:val="auto"/>
              </w:rPr>
              <w:t>主管部门</w:t>
            </w:r>
          </w:p>
          <w:p>
            <w:pPr>
              <w:keepNext w:val="0"/>
              <w:keepLines w:val="0"/>
              <w:suppressLineNumbers w:val="0"/>
              <w:spacing w:before="0" w:beforeAutospacing="0" w:after="0" w:afterAutospacing="0"/>
              <w:ind w:left="137" w:leftChars="57" w:right="0"/>
              <w:jc w:val="center"/>
              <w:rPr>
                <w:rFonts w:ascii="Times New Roman" w:hAnsi="Times New Roman" w:cs="Times New Roman"/>
                <w:color w:val="auto"/>
              </w:rPr>
            </w:pPr>
            <w:r>
              <w:rPr>
                <w:rFonts w:hint="eastAsia" w:ascii="Times New Roman" w:hAnsi="Times New Roman" w:cs="宋体"/>
                <w:color w:val="auto"/>
              </w:rPr>
              <w:t>（或主要投资方）</w:t>
            </w:r>
          </w:p>
        </w:tc>
        <w:tc>
          <w:tcPr>
            <w:tcW w:w="4644"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lang w:eastAsia="zh-CN"/>
              </w:rPr>
            </w:pPr>
            <w:r>
              <w:rPr>
                <w:rFonts w:hint="eastAsia" w:ascii="Times New Roman" w:hAnsi="Times New Roman" w:eastAsia="仿宋" w:cs="Times New Roman"/>
                <w:color w:val="auto"/>
                <w:lang w:eastAsia="zh-CN"/>
              </w:rPr>
              <w:t>重庆市城乡建设委员会</w:t>
            </w:r>
          </w:p>
        </w:tc>
        <w:tc>
          <w:tcPr>
            <w:tcW w:w="843" w:type="dxa"/>
            <w:vAlign w:val="center"/>
          </w:tcPr>
          <w:p>
            <w:pPr>
              <w:keepNext w:val="0"/>
              <w:keepLines w:val="0"/>
              <w:suppressLineNumbers w:val="0"/>
              <w:spacing w:before="0" w:beforeAutospacing="0" w:after="0" w:afterAutospacing="0"/>
              <w:ind w:left="0" w:right="0"/>
              <w:jc w:val="center"/>
              <w:rPr>
                <w:rFonts w:ascii="Times New Roman" w:hAnsi="Times New Roman" w:cs="宋体"/>
                <w:color w:val="auto"/>
              </w:rPr>
            </w:pPr>
            <w:r>
              <w:rPr>
                <w:rFonts w:hint="eastAsia" w:ascii="Times New Roman" w:hAnsi="Times New Roman" w:cs="宋体"/>
                <w:color w:val="auto"/>
              </w:rPr>
              <w:t>项目</w:t>
            </w:r>
          </w:p>
          <w:p>
            <w:pPr>
              <w:keepNext w:val="0"/>
              <w:keepLines w:val="0"/>
              <w:suppressLineNumbers w:val="0"/>
              <w:spacing w:before="0" w:beforeAutospacing="0" w:after="0" w:afterAutospacing="0"/>
              <w:ind w:left="0" w:right="0"/>
              <w:jc w:val="center"/>
              <w:rPr>
                <w:rFonts w:ascii="Times New Roman" w:hAnsi="Times New Roman" w:cs="Times New Roman"/>
                <w:color w:val="auto"/>
              </w:rPr>
            </w:pPr>
            <w:r>
              <w:rPr>
                <w:rFonts w:hint="eastAsia" w:ascii="Times New Roman" w:hAnsi="Times New Roman" w:cs="宋体"/>
                <w:color w:val="auto"/>
              </w:rPr>
              <w:t>性质</w:t>
            </w:r>
          </w:p>
        </w:tc>
        <w:tc>
          <w:tcPr>
            <w:tcW w:w="946" w:type="dxa"/>
            <w:vAlign w:val="center"/>
          </w:tcPr>
          <w:p>
            <w:pPr>
              <w:keepNext w:val="0"/>
              <w:keepLines w:val="0"/>
              <w:suppressLineNumbers w:val="0"/>
              <w:spacing w:before="0" w:beforeAutospacing="0" w:after="0" w:afterAutospacing="0"/>
              <w:ind w:left="0" w:right="0"/>
              <w:jc w:val="center"/>
              <w:rPr>
                <w:rFonts w:ascii="Times New Roman" w:hAnsi="Times New Roman" w:eastAsia="仿宋" w:cs="Times New Roman"/>
                <w:color w:val="auto"/>
              </w:rPr>
            </w:pPr>
            <w:r>
              <w:rPr>
                <w:rFonts w:ascii="Times New Roman" w:hAnsi="仿宋" w:eastAsia="仿宋" w:cs="Times New Roman"/>
                <w:color w:val="auto"/>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282" w:hRule="exact"/>
          <w:jc w:val="center"/>
        </w:trPr>
        <w:tc>
          <w:tcPr>
            <w:tcW w:w="2751" w:type="dxa"/>
            <w:vAlign w:val="center"/>
          </w:tcPr>
          <w:p>
            <w:pPr>
              <w:keepNext w:val="0"/>
              <w:keepLines w:val="0"/>
              <w:suppressLineNumbers w:val="0"/>
              <w:spacing w:before="0" w:beforeAutospacing="0" w:after="0" w:afterAutospacing="0"/>
              <w:ind w:left="137" w:leftChars="57" w:right="0"/>
              <w:jc w:val="center"/>
              <w:rPr>
                <w:rFonts w:ascii="Times New Roman" w:hAnsi="Times New Roman" w:cs="Times New Roman"/>
                <w:color w:val="auto"/>
              </w:rPr>
            </w:pPr>
            <w:r>
              <w:rPr>
                <w:rFonts w:hint="eastAsia" w:ascii="Times New Roman" w:hAnsi="Times New Roman" w:cs="宋体"/>
                <w:color w:val="auto"/>
              </w:rPr>
              <w:t>水土保持方案批复机关、文号及时间</w:t>
            </w:r>
          </w:p>
        </w:tc>
        <w:tc>
          <w:tcPr>
            <w:tcW w:w="6433" w:type="dxa"/>
            <w:gridSpan w:val="3"/>
            <w:vAlign w:val="center"/>
          </w:tcPr>
          <w:p>
            <w:pPr>
              <w:keepNext w:val="0"/>
              <w:keepLines w:val="0"/>
              <w:suppressLineNumbers w:val="0"/>
              <w:spacing w:before="0" w:beforeAutospacing="0" w:after="0" w:afterAutospacing="0"/>
              <w:ind w:left="0" w:right="0"/>
              <w:jc w:val="center"/>
              <w:rPr>
                <w:rFonts w:hint="eastAsia" w:ascii="Times New Roman" w:hAnsi="仿宋" w:eastAsia="仿宋" w:cs="Times New Roman"/>
                <w:color w:val="auto"/>
                <w:lang w:val="en-US" w:eastAsia="zh-CN"/>
              </w:rPr>
            </w:pPr>
            <w:r>
              <w:rPr>
                <w:rFonts w:ascii="Times New Roman" w:hAnsi="Times New Roman" w:eastAsia="仿宋" w:cs="Times New Roman"/>
                <w:color w:val="auto"/>
                <w:sz w:val="24"/>
              </w:rPr>
              <w:t>重庆市水利局</w:t>
            </w:r>
            <w:r>
              <w:rPr>
                <w:rFonts w:hint="eastAsia" w:ascii="Times New Roman" w:hAnsi="Times New Roman" w:eastAsia="仿宋" w:cs="Times New Roman"/>
                <w:color w:val="auto"/>
                <w:sz w:val="24"/>
                <w:lang w:eastAsia="zh-CN"/>
              </w:rPr>
              <w:t>、</w:t>
            </w:r>
            <w:r>
              <w:rPr>
                <w:rFonts w:ascii="Times New Roman" w:hAnsi="Times New Roman" w:eastAsia="仿宋" w:cs="Times New Roman"/>
                <w:color w:val="auto"/>
                <w:sz w:val="24"/>
              </w:rPr>
              <w:t>渝水许可〔2009〕32号</w:t>
            </w:r>
            <w:r>
              <w:rPr>
                <w:rFonts w:hint="eastAsia" w:ascii="Times New Roman" w:hAnsi="仿宋" w:eastAsia="仿宋" w:cs="Times New Roman"/>
                <w:color w:val="auto"/>
              </w:rPr>
              <w:t>、20</w:t>
            </w:r>
            <w:r>
              <w:rPr>
                <w:rFonts w:hint="eastAsia" w:ascii="Times New Roman" w:hAnsi="仿宋" w:eastAsia="仿宋" w:cs="Times New Roman"/>
                <w:color w:val="auto"/>
                <w:lang w:val="en-US" w:eastAsia="zh-CN"/>
              </w:rPr>
              <w:t>09</w:t>
            </w:r>
            <w:r>
              <w:rPr>
                <w:rFonts w:hint="eastAsia" w:ascii="Times New Roman" w:hAnsi="仿宋" w:eastAsia="仿宋" w:cs="Times New Roman"/>
                <w:color w:val="auto"/>
              </w:rPr>
              <w:t>年1月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020" w:hRule="exact"/>
          <w:jc w:val="center"/>
        </w:trPr>
        <w:tc>
          <w:tcPr>
            <w:tcW w:w="2751" w:type="dxa"/>
            <w:vAlign w:val="center"/>
          </w:tcPr>
          <w:p>
            <w:pPr>
              <w:keepNext w:val="0"/>
              <w:keepLines w:val="0"/>
              <w:suppressLineNumbers w:val="0"/>
              <w:spacing w:before="0" w:beforeAutospacing="0" w:after="0" w:afterAutospacing="0"/>
              <w:ind w:left="137" w:leftChars="57" w:right="0"/>
              <w:jc w:val="center"/>
              <w:rPr>
                <w:rFonts w:ascii="Times New Roman" w:hAnsi="Times New Roman" w:cs="Times New Roman"/>
                <w:color w:val="auto"/>
              </w:rPr>
            </w:pPr>
            <w:r>
              <w:rPr>
                <w:rFonts w:hint="eastAsia" w:ascii="Times New Roman" w:hAnsi="Times New Roman" w:cs="宋体"/>
                <w:color w:val="auto"/>
              </w:rPr>
              <w:t>水土保持方案变更批复机关、文号及时间</w:t>
            </w:r>
          </w:p>
        </w:tc>
        <w:tc>
          <w:tcPr>
            <w:tcW w:w="6433" w:type="dxa"/>
            <w:gridSpan w:val="3"/>
            <w:vAlign w:val="center"/>
          </w:tcPr>
          <w:p>
            <w:pPr>
              <w:keepNext w:val="0"/>
              <w:keepLines w:val="0"/>
              <w:suppressLineNumbers w:val="0"/>
              <w:spacing w:before="0" w:beforeAutospacing="0" w:after="0" w:afterAutospacing="0"/>
              <w:ind w:left="0" w:right="0"/>
              <w:jc w:val="center"/>
              <w:rPr>
                <w:rFonts w:ascii="Times New Roman" w:hAnsi="Times New Roman" w:eastAsia="仿宋" w:cs="Times New Roman"/>
                <w:color w:val="auto"/>
              </w:rPr>
            </w:pPr>
            <w:r>
              <w:rPr>
                <w:rFonts w:hint="eastAsia" w:ascii="Times New Roman" w:hAnsi="仿宋" w:eastAsia="仿宋" w:cs="Times New Roman"/>
                <w:color w:val="auto"/>
              </w:rPr>
              <w:t>重庆市水利局、渝水许可〔2018〕92号、2018年11月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020" w:hRule="exact"/>
          <w:jc w:val="center"/>
        </w:trPr>
        <w:tc>
          <w:tcPr>
            <w:tcW w:w="2751" w:type="dxa"/>
            <w:vAlign w:val="center"/>
          </w:tcPr>
          <w:p>
            <w:pPr>
              <w:keepNext w:val="0"/>
              <w:keepLines w:val="0"/>
              <w:suppressLineNumbers w:val="0"/>
              <w:spacing w:before="0" w:beforeAutospacing="0" w:after="0" w:afterAutospacing="0"/>
              <w:ind w:left="137" w:leftChars="57" w:right="0"/>
              <w:jc w:val="center"/>
              <w:rPr>
                <w:rFonts w:ascii="Times New Roman" w:hAnsi="Times New Roman" w:cs="Times New Roman"/>
                <w:color w:val="auto"/>
              </w:rPr>
            </w:pPr>
            <w:r>
              <w:rPr>
                <w:rFonts w:hint="eastAsia" w:ascii="Times New Roman" w:hAnsi="Times New Roman" w:cs="宋体"/>
                <w:color w:val="auto"/>
              </w:rPr>
              <w:t>水土保持初步设计批复机关、文号及时间</w:t>
            </w:r>
          </w:p>
        </w:tc>
        <w:tc>
          <w:tcPr>
            <w:tcW w:w="6433" w:type="dxa"/>
            <w:gridSpan w:val="3"/>
            <w:vAlign w:val="center"/>
          </w:tcPr>
          <w:p>
            <w:pPr>
              <w:keepNext w:val="0"/>
              <w:keepLines w:val="0"/>
              <w:suppressLineNumbers w:val="0"/>
              <w:spacing w:before="0" w:beforeAutospacing="0" w:after="0" w:afterAutospacing="0"/>
              <w:ind w:left="0" w:right="0"/>
              <w:jc w:val="center"/>
              <w:rPr>
                <w:rFonts w:hint="eastAsia" w:ascii="Times New Roman" w:hAnsi="仿宋" w:eastAsia="仿宋" w:cs="Times New Roman"/>
                <w:color w:val="auto"/>
              </w:rPr>
            </w:pPr>
            <w:r>
              <w:rPr>
                <w:rFonts w:hint="eastAsia" w:ascii="Times New Roman" w:hAnsi="仿宋" w:eastAsia="仿宋" w:cs="Times New Roman"/>
                <w:color w:val="auto"/>
              </w:rPr>
              <w:t>重庆市城乡建设委员会、渝建初设〔2017〕53号、2017年</w:t>
            </w:r>
            <w:r>
              <w:rPr>
                <w:rFonts w:hint="eastAsia" w:ascii="Times New Roman" w:hAnsi="仿宋" w:eastAsia="仿宋" w:cs="Times New Roman"/>
                <w:color w:val="auto"/>
                <w:lang w:val="en-US" w:eastAsia="zh-CN"/>
              </w:rPr>
              <w:t>4</w:t>
            </w:r>
            <w:r>
              <w:rPr>
                <w:rFonts w:hint="eastAsia" w:ascii="Times New Roman" w:hAnsi="仿宋" w:eastAsia="仿宋" w:cs="Times New Roman"/>
                <w:color w:val="auto"/>
              </w:rPr>
              <w:t>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040" w:hRule="exact"/>
          <w:jc w:val="center"/>
        </w:trPr>
        <w:tc>
          <w:tcPr>
            <w:tcW w:w="2751" w:type="dxa"/>
            <w:vAlign w:val="center"/>
          </w:tcPr>
          <w:p>
            <w:pPr>
              <w:keepNext w:val="0"/>
              <w:keepLines w:val="0"/>
              <w:suppressLineNumbers w:val="0"/>
              <w:spacing w:before="0" w:beforeAutospacing="0" w:after="0" w:afterAutospacing="0"/>
              <w:ind w:left="137" w:leftChars="57" w:right="0"/>
              <w:jc w:val="center"/>
              <w:rPr>
                <w:rFonts w:ascii="Times New Roman" w:hAnsi="Times New Roman" w:cs="Times New Roman"/>
                <w:color w:val="auto"/>
              </w:rPr>
            </w:pPr>
            <w:r>
              <w:rPr>
                <w:rFonts w:hint="eastAsia" w:ascii="Times New Roman" w:hAnsi="Times New Roman" w:cs="宋体"/>
                <w:color w:val="auto"/>
              </w:rPr>
              <w:t>项目建设起止时间</w:t>
            </w:r>
          </w:p>
        </w:tc>
        <w:tc>
          <w:tcPr>
            <w:tcW w:w="6433" w:type="dxa"/>
            <w:gridSpan w:val="3"/>
            <w:vAlign w:val="center"/>
          </w:tcPr>
          <w:p>
            <w:pPr>
              <w:keepNext w:val="0"/>
              <w:keepLines w:val="0"/>
              <w:suppressLineNumbers w:val="0"/>
              <w:spacing w:before="0" w:beforeAutospacing="0" w:after="0" w:afterAutospacing="0"/>
              <w:ind w:left="0" w:right="0"/>
              <w:jc w:val="center"/>
              <w:rPr>
                <w:rFonts w:hint="eastAsia" w:ascii="Times New Roman" w:hAnsi="仿宋" w:eastAsia="仿宋" w:cs="Times New Roman"/>
                <w:color w:val="auto"/>
                <w:lang w:val="en-US" w:eastAsia="zh-CN"/>
              </w:rPr>
            </w:pPr>
            <w:r>
              <w:rPr>
                <w:rFonts w:hint="eastAsia" w:ascii="Times New Roman" w:hAnsi="仿宋" w:eastAsia="仿宋" w:cs="Times New Roman"/>
                <w:color w:val="auto"/>
                <w:lang w:val="en-US" w:eastAsia="zh-CN"/>
              </w:rPr>
              <w:t>2</w:t>
            </w:r>
            <w:r>
              <w:rPr>
                <w:rFonts w:hint="eastAsia" w:ascii="Times New Roman" w:hAnsi="仿宋" w:eastAsia="仿宋" w:cs="Times New Roman"/>
                <w:color w:val="auto"/>
              </w:rPr>
              <w:t>011年11月</w:t>
            </w:r>
            <w:r>
              <w:rPr>
                <w:rFonts w:hint="eastAsia" w:ascii="Times New Roman" w:hAnsi="仿宋" w:eastAsia="仿宋" w:cs="Times New Roman"/>
                <w:color w:val="auto"/>
                <w:lang w:val="en-US" w:eastAsia="zh-CN"/>
              </w:rPr>
              <w:t>~</w:t>
            </w:r>
            <w:r>
              <w:rPr>
                <w:rFonts w:hint="eastAsia" w:ascii="Times New Roman" w:hAnsi="仿宋" w:eastAsia="仿宋" w:cs="Times New Roman"/>
                <w:color w:val="auto"/>
              </w:rPr>
              <w:t>2012年12月</w:t>
            </w:r>
            <w:r>
              <w:rPr>
                <w:rFonts w:hint="eastAsia" w:ascii="Times New Roman" w:hAnsi="仿宋" w:eastAsia="仿宋" w:cs="Times New Roman"/>
                <w:color w:val="auto"/>
                <w:lang w:eastAsia="zh-CN"/>
              </w:rPr>
              <w:t>（</w:t>
            </w:r>
            <w:r>
              <w:rPr>
                <w:rFonts w:hint="eastAsia" w:ascii="Times New Roman" w:hAnsi="仿宋" w:eastAsia="仿宋" w:cs="Times New Roman"/>
                <w:color w:val="auto"/>
              </w:rPr>
              <w:t>K0+240~K2+160段</w:t>
            </w:r>
            <w:r>
              <w:rPr>
                <w:rFonts w:hint="eastAsia" w:ascii="Times New Roman" w:hAnsi="仿宋" w:eastAsia="仿宋" w:cs="Times New Roman"/>
                <w:color w:val="auto"/>
                <w:lang w:eastAsia="zh-CN"/>
              </w:rPr>
              <w:t>）</w:t>
            </w:r>
          </w:p>
          <w:p>
            <w:pPr>
              <w:keepNext w:val="0"/>
              <w:keepLines w:val="0"/>
              <w:suppressLineNumbers w:val="0"/>
              <w:spacing w:before="0" w:beforeAutospacing="0" w:after="0" w:afterAutospacing="0"/>
              <w:ind w:left="0" w:right="0"/>
              <w:jc w:val="center"/>
              <w:rPr>
                <w:rFonts w:hint="eastAsia" w:ascii="Times New Roman" w:hAnsi="仿宋" w:eastAsia="仿宋" w:cs="Times New Roman"/>
                <w:color w:val="auto"/>
              </w:rPr>
            </w:pPr>
            <w:r>
              <w:rPr>
                <w:rFonts w:hint="eastAsia" w:ascii="Times New Roman" w:hAnsi="仿宋" w:eastAsia="仿宋" w:cs="Times New Roman"/>
                <w:color w:val="auto"/>
              </w:rPr>
              <w:t>2019年4月</w:t>
            </w:r>
            <w:r>
              <w:rPr>
                <w:rFonts w:hint="eastAsia" w:ascii="Times New Roman" w:hAnsi="仿宋" w:eastAsia="仿宋" w:cs="Times New Roman"/>
                <w:color w:val="auto"/>
                <w:lang w:val="en-US" w:eastAsia="zh-CN"/>
              </w:rPr>
              <w:t>~</w:t>
            </w:r>
            <w:r>
              <w:rPr>
                <w:rFonts w:hint="eastAsia" w:ascii="Times New Roman" w:hAnsi="仿宋" w:eastAsia="仿宋" w:cs="Times New Roman"/>
                <w:color w:val="auto"/>
              </w:rPr>
              <w:t>2021年12月</w:t>
            </w:r>
            <w:r>
              <w:rPr>
                <w:rFonts w:hint="eastAsia" w:ascii="Times New Roman" w:hAnsi="仿宋" w:eastAsia="仿宋" w:cs="Times New Roman"/>
                <w:color w:val="auto"/>
                <w:lang w:eastAsia="zh-CN"/>
              </w:rPr>
              <w:t>（</w:t>
            </w:r>
            <w:r>
              <w:rPr>
                <w:rFonts w:hint="eastAsia" w:ascii="Times New Roman" w:hAnsi="仿宋" w:eastAsia="仿宋" w:cs="Times New Roman"/>
                <w:color w:val="auto"/>
              </w:rPr>
              <w:t>K2+160~K12+100段</w:t>
            </w:r>
            <w:r>
              <w:rPr>
                <w:rFonts w:hint="eastAsia" w:ascii="Times New Roman" w:hAnsi="仿宋" w:eastAsia="仿宋" w:cs="Times New Roman"/>
                <w:color w:val="auto"/>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914" w:hRule="exact"/>
          <w:jc w:val="center"/>
        </w:trPr>
        <w:tc>
          <w:tcPr>
            <w:tcW w:w="2751" w:type="dxa"/>
            <w:vAlign w:val="center"/>
          </w:tcPr>
          <w:p>
            <w:pPr>
              <w:keepNext w:val="0"/>
              <w:keepLines w:val="0"/>
              <w:suppressLineNumbers w:val="0"/>
              <w:spacing w:before="0" w:beforeAutospacing="0" w:after="0" w:afterAutospacing="0"/>
              <w:ind w:left="137" w:leftChars="57" w:right="0"/>
              <w:jc w:val="center"/>
              <w:rPr>
                <w:rFonts w:ascii="Times New Roman" w:hAnsi="Times New Roman" w:cs="Times New Roman"/>
                <w:color w:val="auto"/>
              </w:rPr>
            </w:pPr>
            <w:r>
              <w:rPr>
                <w:rFonts w:hint="eastAsia" w:ascii="Times New Roman" w:hAnsi="Times New Roman" w:cs="宋体"/>
                <w:color w:val="auto"/>
              </w:rPr>
              <w:t>水土保持方案编制单位</w:t>
            </w:r>
          </w:p>
        </w:tc>
        <w:tc>
          <w:tcPr>
            <w:tcW w:w="6433" w:type="dxa"/>
            <w:gridSpan w:val="3"/>
            <w:vAlign w:val="center"/>
          </w:tcPr>
          <w:p>
            <w:pPr>
              <w:keepNext w:val="0"/>
              <w:keepLines w:val="0"/>
              <w:suppressLineNumbers w:val="0"/>
              <w:spacing w:before="0" w:beforeAutospacing="0" w:after="0" w:afterAutospacing="0"/>
              <w:ind w:left="0" w:right="0"/>
              <w:jc w:val="center"/>
              <w:rPr>
                <w:rFonts w:hint="eastAsia" w:ascii="Times New Roman" w:hAnsi="仿宋" w:eastAsia="仿宋" w:cs="Times New Roman"/>
                <w:color w:val="auto"/>
                <w:lang w:eastAsia="zh-CN"/>
              </w:rPr>
            </w:pPr>
            <w:r>
              <w:rPr>
                <w:rFonts w:hint="eastAsia" w:ascii="Times New Roman" w:hAnsi="仿宋" w:eastAsia="仿宋" w:cs="Times New Roman"/>
                <w:color w:val="auto"/>
              </w:rPr>
              <w:t>中煤科工重庆设计研究院（集团）有限公司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786" w:hRule="exact"/>
          <w:jc w:val="center"/>
        </w:trPr>
        <w:tc>
          <w:tcPr>
            <w:tcW w:w="2751" w:type="dxa"/>
            <w:vAlign w:val="center"/>
          </w:tcPr>
          <w:p>
            <w:pPr>
              <w:keepNext w:val="0"/>
              <w:keepLines w:val="0"/>
              <w:suppressLineNumbers w:val="0"/>
              <w:spacing w:before="0" w:beforeAutospacing="0" w:after="0" w:afterAutospacing="0"/>
              <w:ind w:left="137" w:leftChars="57" w:right="0"/>
              <w:jc w:val="center"/>
              <w:rPr>
                <w:rFonts w:ascii="Times New Roman" w:hAnsi="Times New Roman" w:cs="Times New Roman"/>
                <w:color w:val="auto"/>
              </w:rPr>
            </w:pPr>
            <w:r>
              <w:rPr>
                <w:rFonts w:hint="eastAsia" w:ascii="Times New Roman" w:hAnsi="Times New Roman" w:cs="宋体"/>
                <w:color w:val="auto"/>
              </w:rPr>
              <w:t>水土保持初步设计单位</w:t>
            </w:r>
          </w:p>
        </w:tc>
        <w:tc>
          <w:tcPr>
            <w:tcW w:w="6433" w:type="dxa"/>
            <w:gridSpan w:val="3"/>
            <w:vAlign w:val="center"/>
          </w:tcPr>
          <w:p>
            <w:pPr>
              <w:keepNext w:val="0"/>
              <w:keepLines w:val="0"/>
              <w:suppressLineNumbers w:val="0"/>
              <w:spacing w:before="0" w:beforeAutospacing="0" w:after="0" w:afterAutospacing="0"/>
              <w:ind w:left="0" w:right="0"/>
              <w:jc w:val="center"/>
              <w:rPr>
                <w:rFonts w:hint="eastAsia" w:ascii="Times New Roman" w:hAnsi="仿宋" w:eastAsia="仿宋" w:cs="Times New Roman"/>
                <w:color w:val="auto"/>
                <w:lang w:eastAsia="zh-CN"/>
              </w:rPr>
            </w:pPr>
            <w:r>
              <w:rPr>
                <w:rFonts w:hint="eastAsia" w:ascii="Times New Roman" w:hAnsi="仿宋" w:eastAsia="仿宋" w:cs="Times New Roman"/>
                <w:color w:val="auto"/>
              </w:rPr>
              <w:t>重庆市设计院</w:t>
            </w:r>
            <w:r>
              <w:rPr>
                <w:rFonts w:hint="eastAsia" w:ascii="Times New Roman" w:hAnsi="仿宋" w:eastAsia="仿宋" w:cs="Times New Roman"/>
                <w:color w:val="auto"/>
                <w:lang w:eastAsia="zh-CN"/>
              </w:rPr>
              <w:t>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848" w:hRule="exact"/>
          <w:jc w:val="center"/>
        </w:trPr>
        <w:tc>
          <w:tcPr>
            <w:tcW w:w="2751" w:type="dxa"/>
            <w:vAlign w:val="center"/>
          </w:tcPr>
          <w:p>
            <w:pPr>
              <w:keepNext w:val="0"/>
              <w:keepLines w:val="0"/>
              <w:suppressLineNumbers w:val="0"/>
              <w:spacing w:before="0" w:beforeAutospacing="0" w:after="0" w:afterAutospacing="0"/>
              <w:ind w:left="137" w:leftChars="57" w:right="0"/>
              <w:jc w:val="center"/>
              <w:rPr>
                <w:rFonts w:ascii="Times New Roman" w:hAnsi="Times New Roman" w:cs="Times New Roman"/>
                <w:color w:val="auto"/>
              </w:rPr>
            </w:pPr>
            <w:r>
              <w:rPr>
                <w:rFonts w:hint="eastAsia" w:ascii="Times New Roman" w:hAnsi="Times New Roman" w:cs="宋体"/>
                <w:color w:val="auto"/>
              </w:rPr>
              <w:t>水土保持监测单位</w:t>
            </w:r>
          </w:p>
        </w:tc>
        <w:tc>
          <w:tcPr>
            <w:tcW w:w="6433" w:type="dxa"/>
            <w:gridSpan w:val="3"/>
            <w:vAlign w:val="center"/>
          </w:tcPr>
          <w:p>
            <w:pPr>
              <w:keepNext w:val="0"/>
              <w:keepLines w:val="0"/>
              <w:suppressLineNumbers w:val="0"/>
              <w:spacing w:before="0" w:beforeAutospacing="0" w:after="0" w:afterAutospacing="0"/>
              <w:ind w:left="0" w:right="0"/>
              <w:jc w:val="center"/>
              <w:rPr>
                <w:rFonts w:hint="eastAsia" w:ascii="Times New Roman" w:hAnsi="仿宋" w:eastAsia="仿宋" w:cs="Times New Roman"/>
                <w:color w:val="auto"/>
              </w:rPr>
            </w:pPr>
            <w:r>
              <w:rPr>
                <w:rFonts w:hint="eastAsia" w:ascii="Times New Roman" w:hAnsi="仿宋" w:eastAsia="仿宋" w:cs="Times New Roman"/>
                <w:color w:val="auto"/>
              </w:rPr>
              <w:t>招商局重庆交通科研设计院有限公司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080" w:hRule="exact"/>
          <w:jc w:val="center"/>
        </w:trPr>
        <w:tc>
          <w:tcPr>
            <w:tcW w:w="2751" w:type="dxa"/>
            <w:vAlign w:val="center"/>
          </w:tcPr>
          <w:p>
            <w:pPr>
              <w:keepNext w:val="0"/>
              <w:keepLines w:val="0"/>
              <w:suppressLineNumbers w:val="0"/>
              <w:spacing w:before="0" w:beforeAutospacing="0" w:after="0" w:afterAutospacing="0"/>
              <w:ind w:left="137" w:leftChars="57" w:right="0"/>
              <w:jc w:val="center"/>
              <w:rPr>
                <w:rFonts w:ascii="Times New Roman" w:hAnsi="Times New Roman" w:cs="Times New Roman"/>
                <w:color w:val="auto"/>
              </w:rPr>
            </w:pPr>
            <w:r>
              <w:rPr>
                <w:rFonts w:hint="eastAsia" w:ascii="Times New Roman" w:hAnsi="Times New Roman" w:cs="宋体"/>
                <w:color w:val="auto"/>
              </w:rPr>
              <w:t>水土保持施工单位</w:t>
            </w:r>
          </w:p>
        </w:tc>
        <w:tc>
          <w:tcPr>
            <w:tcW w:w="6433" w:type="dxa"/>
            <w:gridSpan w:val="3"/>
            <w:vAlign w:val="center"/>
          </w:tcPr>
          <w:p>
            <w:pPr>
              <w:keepNext w:val="0"/>
              <w:keepLines w:val="0"/>
              <w:suppressLineNumbers w:val="0"/>
              <w:spacing w:before="0" w:beforeAutospacing="0" w:after="0" w:afterAutospacing="0"/>
              <w:ind w:left="0" w:right="0"/>
              <w:jc w:val="center"/>
              <w:rPr>
                <w:rFonts w:hint="eastAsia" w:ascii="Times New Roman" w:hAnsi="仿宋" w:eastAsia="仿宋" w:cs="Times New Roman"/>
                <w:color w:val="auto"/>
              </w:rPr>
            </w:pPr>
            <w:r>
              <w:rPr>
                <w:rFonts w:hint="eastAsia" w:ascii="Times New Roman" w:hAnsi="仿宋" w:eastAsia="仿宋" w:cs="Times New Roman"/>
                <w:color w:val="auto"/>
              </w:rPr>
              <w:t>重庆建工集团股份有限公司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080" w:hRule="exact"/>
          <w:jc w:val="center"/>
        </w:trPr>
        <w:tc>
          <w:tcPr>
            <w:tcW w:w="2751" w:type="dxa"/>
            <w:vAlign w:val="center"/>
          </w:tcPr>
          <w:p>
            <w:pPr>
              <w:keepNext w:val="0"/>
              <w:keepLines w:val="0"/>
              <w:suppressLineNumbers w:val="0"/>
              <w:spacing w:before="0" w:beforeAutospacing="0" w:after="0" w:afterAutospacing="0"/>
              <w:ind w:left="137" w:leftChars="57" w:right="0"/>
              <w:jc w:val="center"/>
              <w:rPr>
                <w:rFonts w:ascii="Times New Roman" w:hAnsi="Times New Roman" w:cs="Times New Roman"/>
                <w:color w:val="auto"/>
              </w:rPr>
            </w:pPr>
            <w:r>
              <w:rPr>
                <w:rFonts w:hint="eastAsia" w:ascii="Times New Roman" w:hAnsi="Times New Roman" w:cs="宋体"/>
                <w:color w:val="auto"/>
              </w:rPr>
              <w:t>水土保持监理单位</w:t>
            </w:r>
          </w:p>
        </w:tc>
        <w:tc>
          <w:tcPr>
            <w:tcW w:w="6433" w:type="dxa"/>
            <w:gridSpan w:val="3"/>
            <w:vAlign w:val="center"/>
          </w:tcPr>
          <w:p>
            <w:pPr>
              <w:keepNext w:val="0"/>
              <w:keepLines w:val="0"/>
              <w:suppressLineNumbers w:val="0"/>
              <w:spacing w:before="0" w:beforeAutospacing="0" w:after="0" w:afterAutospacing="0"/>
              <w:ind w:left="0" w:right="0"/>
              <w:jc w:val="center"/>
              <w:rPr>
                <w:rFonts w:hint="eastAsia" w:ascii="Times New Roman" w:hAnsi="仿宋" w:eastAsia="仿宋" w:cs="Times New Roman"/>
                <w:color w:val="auto"/>
              </w:rPr>
            </w:pPr>
            <w:r>
              <w:rPr>
                <w:rFonts w:hint="eastAsia" w:ascii="Times New Roman" w:hAnsi="仿宋" w:eastAsia="仿宋" w:cs="Times New Roman"/>
                <w:color w:val="auto"/>
              </w:rPr>
              <w:t>上海建科工程咨询有限公司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080" w:hRule="exact"/>
          <w:jc w:val="center"/>
        </w:trPr>
        <w:tc>
          <w:tcPr>
            <w:tcW w:w="2751" w:type="dxa"/>
            <w:vAlign w:val="center"/>
          </w:tcPr>
          <w:p>
            <w:pPr>
              <w:keepNext w:val="0"/>
              <w:keepLines w:val="0"/>
              <w:suppressLineNumbers w:val="0"/>
              <w:spacing w:before="0" w:beforeAutospacing="0" w:after="0" w:afterAutospacing="0"/>
              <w:ind w:left="137" w:leftChars="57" w:right="0"/>
              <w:jc w:val="center"/>
              <w:rPr>
                <w:rFonts w:ascii="Times New Roman" w:hAnsi="Times New Roman" w:cs="Times New Roman"/>
                <w:color w:val="auto"/>
              </w:rPr>
            </w:pPr>
            <w:r>
              <w:rPr>
                <w:rFonts w:hint="eastAsia" w:ascii="Times New Roman" w:hAnsi="Times New Roman" w:cs="宋体"/>
                <w:color w:val="auto"/>
              </w:rPr>
              <w:t>水土保持设施验收</w:t>
            </w:r>
          </w:p>
          <w:p>
            <w:pPr>
              <w:keepNext w:val="0"/>
              <w:keepLines w:val="0"/>
              <w:suppressLineNumbers w:val="0"/>
              <w:spacing w:before="0" w:beforeAutospacing="0" w:after="0" w:afterAutospacing="0"/>
              <w:ind w:left="137" w:leftChars="57" w:right="0"/>
              <w:jc w:val="center"/>
              <w:rPr>
                <w:rFonts w:ascii="Times New Roman" w:hAnsi="Times New Roman" w:cs="Times New Roman"/>
                <w:color w:val="auto"/>
              </w:rPr>
            </w:pPr>
            <w:r>
              <w:rPr>
                <w:rFonts w:hint="eastAsia" w:ascii="Times New Roman" w:hAnsi="Times New Roman" w:cs="宋体"/>
                <w:color w:val="auto"/>
              </w:rPr>
              <w:t>报告编制单位</w:t>
            </w:r>
          </w:p>
        </w:tc>
        <w:tc>
          <w:tcPr>
            <w:tcW w:w="6433" w:type="dxa"/>
            <w:gridSpan w:val="3"/>
            <w:vAlign w:val="center"/>
          </w:tcPr>
          <w:p>
            <w:pPr>
              <w:keepNext w:val="0"/>
              <w:keepLines w:val="0"/>
              <w:suppressLineNumbers w:val="0"/>
              <w:spacing w:before="0" w:beforeAutospacing="0" w:after="0" w:afterAutospacing="0"/>
              <w:ind w:left="0" w:right="0"/>
              <w:jc w:val="center"/>
              <w:rPr>
                <w:rFonts w:hint="eastAsia" w:ascii="Times New Roman" w:hAnsi="仿宋" w:eastAsia="仿宋" w:cs="Times New Roman"/>
                <w:color w:val="auto"/>
              </w:rPr>
            </w:pPr>
            <w:r>
              <w:rPr>
                <w:rFonts w:hint="eastAsia" w:ascii="Times New Roman" w:hAnsi="仿宋" w:eastAsia="仿宋" w:cs="Times New Roman"/>
                <w:color w:val="auto"/>
              </w:rPr>
              <w:t>招商局重庆交通科研设计院有限公司</w:t>
            </w:r>
          </w:p>
        </w:tc>
      </w:tr>
    </w:tbl>
    <w:p>
      <w:pPr>
        <w:ind w:firstLine="615"/>
        <w:rPr>
          <w:rFonts w:ascii="Times New Roman" w:hAnsi="Times New Roman" w:eastAsia="黑体" w:cs="Times New Roman"/>
          <w:color w:val="auto"/>
          <w:sz w:val="30"/>
          <w:szCs w:val="30"/>
        </w:rPr>
      </w:pPr>
    </w:p>
    <w:p>
      <w:pPr>
        <w:ind w:firstLine="600" w:firstLineChars="200"/>
        <w:rPr>
          <w:rFonts w:ascii="Times New Roman" w:hAnsi="Times New Roman" w:eastAsia="黑体" w:cs="黑体"/>
          <w:color w:val="auto"/>
          <w:sz w:val="30"/>
          <w:szCs w:val="30"/>
        </w:rPr>
        <w:sectPr>
          <w:footerReference r:id="rId3" w:type="default"/>
          <w:pgSz w:w="11906" w:h="16838"/>
          <w:pgMar w:top="1440" w:right="1418" w:bottom="1440" w:left="1418" w:header="851" w:footer="992" w:gutter="0"/>
          <w:cols w:space="425" w:num="1"/>
          <w:docGrid w:type="lines" w:linePitch="312" w:charSpace="0"/>
        </w:sectPr>
      </w:pPr>
    </w:p>
    <w:p>
      <w:pPr>
        <w:ind w:firstLine="600" w:firstLineChars="200"/>
        <w:rPr>
          <w:rFonts w:ascii="Times New Roman" w:hAnsi="Times New Roman" w:cs="Times New Roman"/>
          <w:color w:val="auto"/>
        </w:rPr>
      </w:pPr>
      <w:r>
        <w:rPr>
          <w:rFonts w:hint="eastAsia" w:ascii="Times New Roman" w:hAnsi="Times New Roman" w:eastAsia="黑体" w:cs="黑体"/>
          <w:color w:val="auto"/>
          <w:sz w:val="30"/>
          <w:szCs w:val="30"/>
        </w:rPr>
        <w:t>二、验收意见</w:t>
      </w:r>
    </w:p>
    <w:tbl>
      <w:tblPr>
        <w:tblStyle w:val="11"/>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2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604" w:hRule="atLeast"/>
          <w:jc w:val="center"/>
        </w:trPr>
        <w:tc>
          <w:tcPr>
            <w:tcW w:w="8838" w:type="dxa"/>
          </w:tcPr>
          <w:p>
            <w:pPr>
              <w:keepNext w:val="0"/>
              <w:keepLines w:val="0"/>
              <w:suppressLineNumbers w:val="0"/>
              <w:spacing w:before="0" w:beforeAutospacing="0" w:after="0" w:afterAutospacing="0" w:line="360" w:lineRule="auto"/>
              <w:ind w:left="137" w:leftChars="57" w:right="119" w:firstLine="600" w:firstLineChars="200"/>
              <w:jc w:val="left"/>
              <w:rPr>
                <w:rFonts w:ascii="Times New Roman" w:hAnsi="Times New Roman" w:eastAsia="仿宋" w:cs="Times New Roman"/>
                <w:color w:val="auto"/>
                <w:sz w:val="30"/>
                <w:szCs w:val="30"/>
              </w:rPr>
            </w:pPr>
            <w:r>
              <w:rPr>
                <w:rFonts w:hint="eastAsia" w:ascii="Times New Roman" w:hAnsi="仿宋" w:eastAsia="仿宋" w:cs="Times New Roman"/>
                <w:color w:val="auto"/>
                <w:sz w:val="30"/>
                <w:szCs w:val="30"/>
                <w:lang w:val="en-US" w:eastAsia="zh-CN"/>
              </w:rPr>
              <w:t>根据《生产建设项目水土保持方案管理办法》（水利部令第</w:t>
            </w:r>
            <w:r>
              <w:rPr>
                <w:rFonts w:hint="default" w:ascii="Times New Roman" w:hAnsi="仿宋" w:eastAsia="仿宋" w:cs="Times New Roman"/>
                <w:color w:val="auto"/>
                <w:sz w:val="30"/>
                <w:szCs w:val="30"/>
                <w:lang w:val="en-US" w:eastAsia="zh-CN"/>
              </w:rPr>
              <w:t>53</w:t>
            </w:r>
            <w:r>
              <w:rPr>
                <w:rFonts w:hint="eastAsia" w:ascii="Times New Roman" w:hAnsi="仿宋" w:eastAsia="仿宋" w:cs="Times New Roman"/>
                <w:color w:val="auto"/>
                <w:sz w:val="30"/>
                <w:szCs w:val="30"/>
                <w:lang w:val="en-US" w:eastAsia="zh-CN"/>
              </w:rPr>
              <w:t>号）</w:t>
            </w:r>
            <w:bookmarkStart w:id="0" w:name="OLE_LINK62"/>
            <w:bookmarkStart w:id="1" w:name="OLE_LINK63"/>
            <w:bookmarkStart w:id="2" w:name="OLE_LINK65"/>
            <w:bookmarkStart w:id="3" w:name="OLE_LINK64"/>
            <w:r>
              <w:rPr>
                <w:rFonts w:hint="eastAsia" w:ascii="Times New Roman" w:hAnsi="仿宋" w:eastAsia="仿宋" w:cs="Times New Roman"/>
                <w:color w:val="auto"/>
                <w:sz w:val="30"/>
                <w:szCs w:val="30"/>
                <w:lang w:val="en-US" w:eastAsia="zh-CN"/>
              </w:rPr>
              <w:t>及</w:t>
            </w:r>
            <w:r>
              <w:rPr>
                <w:rFonts w:ascii="Times New Roman" w:hAnsi="仿宋" w:eastAsia="仿宋" w:cs="Times New Roman"/>
                <w:color w:val="auto"/>
                <w:sz w:val="30"/>
                <w:szCs w:val="30"/>
              </w:rPr>
              <w:t>《水利部关于加强事中事后监管规范生产建设项目水土保持设施自主验收的通知》（水保〔</w:t>
            </w:r>
            <w:r>
              <w:rPr>
                <w:rFonts w:ascii="Times New Roman" w:hAnsi="Times New Roman" w:eastAsia="仿宋" w:cs="Times New Roman"/>
                <w:color w:val="auto"/>
                <w:sz w:val="30"/>
                <w:szCs w:val="30"/>
              </w:rPr>
              <w:t>2017</w:t>
            </w:r>
            <w:r>
              <w:rPr>
                <w:rFonts w:ascii="Times New Roman" w:hAnsi="仿宋" w:eastAsia="仿宋" w:cs="Times New Roman"/>
                <w:color w:val="auto"/>
                <w:sz w:val="30"/>
                <w:szCs w:val="30"/>
              </w:rPr>
              <w:t>〕</w:t>
            </w:r>
            <w:r>
              <w:rPr>
                <w:rFonts w:ascii="Times New Roman" w:hAnsi="Times New Roman" w:eastAsia="仿宋" w:cs="Times New Roman"/>
                <w:color w:val="auto"/>
                <w:sz w:val="30"/>
                <w:szCs w:val="30"/>
              </w:rPr>
              <w:t xml:space="preserve">365 </w:t>
            </w:r>
            <w:r>
              <w:rPr>
                <w:rFonts w:ascii="Times New Roman" w:hAnsi="仿宋" w:eastAsia="仿宋" w:cs="Times New Roman"/>
                <w:color w:val="auto"/>
                <w:sz w:val="30"/>
                <w:szCs w:val="30"/>
              </w:rPr>
              <w:t>号</w:t>
            </w:r>
            <w:bookmarkEnd w:id="0"/>
            <w:bookmarkEnd w:id="1"/>
            <w:r>
              <w:rPr>
                <w:rFonts w:ascii="Times New Roman" w:hAnsi="仿宋" w:eastAsia="仿宋" w:cs="Times New Roman"/>
                <w:color w:val="auto"/>
                <w:sz w:val="30"/>
                <w:szCs w:val="30"/>
              </w:rPr>
              <w:t>）</w:t>
            </w:r>
            <w:bookmarkEnd w:id="2"/>
            <w:bookmarkEnd w:id="3"/>
            <w:r>
              <w:rPr>
                <w:rFonts w:ascii="Times New Roman" w:hAnsi="仿宋" w:eastAsia="仿宋" w:cs="Times New Roman"/>
                <w:color w:val="auto"/>
                <w:sz w:val="30"/>
                <w:szCs w:val="30"/>
              </w:rPr>
              <w:t>等相关文件规定，</w:t>
            </w:r>
            <w:r>
              <w:rPr>
                <w:rFonts w:ascii="Times New Roman" w:hAnsi="Times New Roman" w:eastAsia="仿宋" w:cs="Times New Roman"/>
                <w:color w:val="auto"/>
                <w:sz w:val="30"/>
                <w:szCs w:val="30"/>
              </w:rPr>
              <w:t>2023</w:t>
            </w:r>
            <w:r>
              <w:rPr>
                <w:rFonts w:ascii="Times New Roman" w:hAnsi="仿宋" w:eastAsia="仿宋" w:cs="Times New Roman"/>
                <w:color w:val="auto"/>
                <w:sz w:val="30"/>
                <w:szCs w:val="30"/>
              </w:rPr>
              <w:t>年</w:t>
            </w:r>
            <w:r>
              <w:rPr>
                <w:rFonts w:hint="eastAsia" w:ascii="Times New Roman" w:hAnsi="Times New Roman" w:eastAsia="仿宋" w:cs="Times New Roman"/>
                <w:color w:val="auto"/>
                <w:sz w:val="30"/>
                <w:szCs w:val="30"/>
                <w:lang w:val="en-US" w:eastAsia="zh-CN"/>
              </w:rPr>
              <w:t>7</w:t>
            </w:r>
            <w:r>
              <w:rPr>
                <w:rFonts w:ascii="Times New Roman" w:hAnsi="仿宋" w:eastAsia="仿宋" w:cs="Times New Roman"/>
                <w:color w:val="auto"/>
                <w:sz w:val="30"/>
                <w:szCs w:val="30"/>
              </w:rPr>
              <w:t>月</w:t>
            </w:r>
            <w:r>
              <w:rPr>
                <w:rFonts w:hint="eastAsia" w:ascii="Times New Roman" w:hAnsi="Times New Roman" w:eastAsia="仿宋" w:cs="Times New Roman"/>
                <w:color w:val="auto"/>
                <w:sz w:val="30"/>
                <w:szCs w:val="30"/>
                <w:lang w:val="en-US" w:eastAsia="zh-CN"/>
              </w:rPr>
              <w:t>7</w:t>
            </w:r>
            <w:r>
              <w:rPr>
                <w:rFonts w:ascii="Times New Roman" w:hAnsi="仿宋" w:eastAsia="仿宋" w:cs="Times New Roman"/>
                <w:color w:val="auto"/>
                <w:sz w:val="30"/>
                <w:szCs w:val="30"/>
              </w:rPr>
              <w:t>日，</w:t>
            </w:r>
            <w:r>
              <w:rPr>
                <w:rFonts w:hint="eastAsia" w:ascii="Times New Roman" w:hAnsi="仿宋" w:eastAsia="仿宋" w:cs="Times New Roman"/>
                <w:color w:val="auto"/>
                <w:sz w:val="30"/>
                <w:szCs w:val="30"/>
                <w:lang w:eastAsia="zh-CN"/>
              </w:rPr>
              <w:t>重庆城投基础设施建设有限公司组织</w:t>
            </w:r>
            <w:r>
              <w:rPr>
                <w:rFonts w:ascii="Times New Roman" w:hAnsi="仿宋" w:eastAsia="仿宋" w:cs="Times New Roman"/>
                <w:color w:val="auto"/>
                <w:sz w:val="30"/>
                <w:szCs w:val="30"/>
              </w:rPr>
              <w:t>召开了</w:t>
            </w:r>
            <w:r>
              <w:rPr>
                <w:rFonts w:hint="eastAsia" w:ascii="Times New Roman" w:hAnsi="仿宋" w:eastAsia="仿宋" w:cs="Times New Roman"/>
                <w:color w:val="auto"/>
                <w:sz w:val="30"/>
                <w:szCs w:val="30"/>
                <w:lang w:eastAsia="zh-CN"/>
              </w:rPr>
              <w:t>快速路一纵线学堂堡立交至狮子岩立交段工程（调整）</w:t>
            </w:r>
            <w:r>
              <w:rPr>
                <w:rFonts w:ascii="Times New Roman" w:hAnsi="仿宋" w:eastAsia="仿宋" w:cs="Times New Roman"/>
                <w:color w:val="auto"/>
                <w:sz w:val="30"/>
                <w:szCs w:val="30"/>
              </w:rPr>
              <w:t>水土保持设施验收会议。参加会议的有建设单位、</w:t>
            </w:r>
            <w:r>
              <w:rPr>
                <w:rFonts w:hint="eastAsia" w:ascii="Times New Roman" w:hAnsi="仿宋" w:eastAsia="仿宋" w:cs="Times New Roman"/>
                <w:color w:val="auto"/>
                <w:sz w:val="30"/>
                <w:szCs w:val="30"/>
                <w:lang w:eastAsia="zh-CN"/>
              </w:rPr>
              <w:t>设计单位、水土保持方案编制单位、</w:t>
            </w:r>
            <w:r>
              <w:rPr>
                <w:rFonts w:ascii="Times New Roman" w:hAnsi="仿宋" w:eastAsia="仿宋" w:cs="Times New Roman"/>
                <w:color w:val="auto"/>
                <w:sz w:val="30"/>
                <w:szCs w:val="30"/>
              </w:rPr>
              <w:t>监理单位、施工单位、水土保持监测单位和水土保持设施验收报告编制单位的代表以及特邀专家，会议成立了验收组（名单附后）。</w:t>
            </w:r>
          </w:p>
          <w:p>
            <w:pPr>
              <w:keepNext w:val="0"/>
              <w:keepLines w:val="0"/>
              <w:suppressLineNumbers w:val="0"/>
              <w:spacing w:before="0" w:beforeAutospacing="0" w:after="0" w:afterAutospacing="0" w:line="360" w:lineRule="auto"/>
              <w:ind w:left="0" w:right="0" w:firstLine="594" w:firstLineChars="198"/>
              <w:rPr>
                <w:rFonts w:ascii="Times New Roman" w:hAnsi="Times New Roman" w:eastAsia="仿宋" w:cs="Times New Roman"/>
                <w:color w:val="auto"/>
                <w:sz w:val="30"/>
                <w:szCs w:val="30"/>
              </w:rPr>
            </w:pPr>
            <w:r>
              <w:rPr>
                <w:rFonts w:ascii="Times New Roman" w:hAnsi="仿宋" w:eastAsia="仿宋" w:cs="Times New Roman"/>
                <w:color w:val="auto"/>
                <w:sz w:val="30"/>
                <w:szCs w:val="30"/>
              </w:rPr>
              <w:t>验收组成员查看现场和查阅资料。建设单位介绍了</w:t>
            </w:r>
            <w:r>
              <w:rPr>
                <w:rFonts w:hint="eastAsia" w:ascii="Times New Roman" w:hAnsi="仿宋" w:eastAsia="仿宋" w:cs="Times New Roman"/>
                <w:color w:val="auto"/>
                <w:sz w:val="30"/>
                <w:szCs w:val="30"/>
              </w:rPr>
              <w:t>项目</w:t>
            </w:r>
            <w:r>
              <w:rPr>
                <w:rFonts w:ascii="Times New Roman" w:hAnsi="仿宋" w:eastAsia="仿宋" w:cs="Times New Roman"/>
                <w:color w:val="auto"/>
                <w:sz w:val="30"/>
                <w:szCs w:val="30"/>
              </w:rPr>
              <w:t>建设及水土保持工作情况，各技术服务单位进行了相关汇报，并通过验收组的质询，经过验收组讨论形成验收意见。</w:t>
            </w:r>
          </w:p>
          <w:p>
            <w:pPr>
              <w:keepNext w:val="0"/>
              <w:keepLines w:val="0"/>
              <w:suppressLineNumbers w:val="0"/>
              <w:spacing w:before="0" w:beforeAutospacing="0" w:after="0" w:afterAutospacing="0" w:line="360" w:lineRule="auto"/>
              <w:ind w:left="0" w:right="0" w:firstLine="594" w:firstLineChars="198"/>
              <w:rPr>
                <w:rFonts w:ascii="Times New Roman" w:hAnsi="Times New Roman" w:eastAsia="仿宋" w:cs="Times New Roman"/>
                <w:color w:val="auto"/>
                <w:sz w:val="30"/>
                <w:szCs w:val="30"/>
              </w:rPr>
            </w:pPr>
            <w:r>
              <w:rPr>
                <w:rFonts w:ascii="Times New Roman" w:hAnsi="仿宋" w:eastAsia="仿宋" w:cs="Times New Roman"/>
                <w:color w:val="auto"/>
                <w:sz w:val="30"/>
                <w:szCs w:val="30"/>
              </w:rPr>
              <w:t>（一）项目概况</w:t>
            </w:r>
          </w:p>
          <w:p>
            <w:pPr>
              <w:keepNext w:val="0"/>
              <w:keepLines w:val="0"/>
              <w:suppressLineNumbers w:val="0"/>
              <w:spacing w:before="0" w:beforeAutospacing="0" w:after="0" w:afterAutospacing="0" w:line="360" w:lineRule="auto"/>
              <w:ind w:left="0" w:right="0" w:firstLine="594" w:firstLineChars="198"/>
              <w:rPr>
                <w:rFonts w:ascii="Times New Roman" w:hAnsi="仿宋" w:eastAsia="仿宋" w:cs="Times New Roman"/>
                <w:color w:val="auto"/>
                <w:sz w:val="30"/>
                <w:szCs w:val="30"/>
              </w:rPr>
            </w:pPr>
            <w:r>
              <w:rPr>
                <w:rFonts w:hint="eastAsia" w:ascii="Times New Roman" w:hAnsi="仿宋" w:eastAsia="仿宋" w:cs="Times New Roman"/>
                <w:color w:val="auto"/>
                <w:sz w:val="30"/>
                <w:szCs w:val="30"/>
                <w:lang w:eastAsia="zh-CN"/>
              </w:rPr>
              <w:t>快速路一纵线学堂堡立交至狮子岩立交段工程（调整）</w:t>
            </w:r>
            <w:r>
              <w:rPr>
                <w:rFonts w:ascii="Times New Roman" w:hAnsi="仿宋" w:eastAsia="仿宋" w:cs="Times New Roman"/>
                <w:color w:val="auto"/>
                <w:sz w:val="30"/>
                <w:szCs w:val="30"/>
              </w:rPr>
              <w:t>（以下简称“</w:t>
            </w:r>
            <w:r>
              <w:rPr>
                <w:rFonts w:hint="eastAsia" w:ascii="Times New Roman" w:hAnsi="仿宋" w:eastAsia="仿宋" w:cs="Times New Roman"/>
                <w:color w:val="auto"/>
                <w:sz w:val="30"/>
                <w:szCs w:val="30"/>
                <w:lang w:eastAsia="zh-CN"/>
              </w:rPr>
              <w:t>项目</w:t>
            </w:r>
            <w:r>
              <w:rPr>
                <w:rFonts w:ascii="Times New Roman" w:hAnsi="仿宋" w:eastAsia="仿宋" w:cs="Times New Roman"/>
                <w:color w:val="auto"/>
                <w:sz w:val="30"/>
                <w:szCs w:val="30"/>
              </w:rPr>
              <w:t>”）位于</w:t>
            </w:r>
            <w:r>
              <w:rPr>
                <w:rFonts w:hint="eastAsia" w:ascii="Times New Roman" w:hAnsi="仿宋" w:eastAsia="仿宋" w:cs="Times New Roman"/>
                <w:color w:val="auto"/>
                <w:sz w:val="30"/>
                <w:szCs w:val="30"/>
              </w:rPr>
              <w:t>重庆市沙坪坝区，项目起于沙坪坝区土主镇四塘村西侧，向北基本平行垄安大道西侧约600m穿过西部物流园，经苏家桥水库（即保农水库）西侧，回龙坝镇西侧后，止于与一横线相交的狮子岩立交，总体呈南北走向</w:t>
            </w:r>
            <w:r>
              <w:rPr>
                <w:rFonts w:ascii="Times New Roman" w:hAnsi="仿宋" w:eastAsia="仿宋" w:cs="Times New Roman"/>
                <w:color w:val="auto"/>
                <w:sz w:val="30"/>
                <w:szCs w:val="30"/>
              </w:rPr>
              <w:t>，路线全长</w:t>
            </w:r>
            <w:r>
              <w:rPr>
                <w:rFonts w:hint="eastAsia" w:ascii="Times New Roman" w:hAnsi="仿宋" w:eastAsia="仿宋" w:cs="Times New Roman"/>
                <w:color w:val="auto"/>
                <w:sz w:val="30"/>
                <w:szCs w:val="30"/>
              </w:rPr>
              <w:t>12.340</w:t>
            </w:r>
            <w:r>
              <w:rPr>
                <w:rFonts w:hint="eastAsia" w:ascii="Times New Roman" w:hAnsi="仿宋" w:eastAsia="仿宋" w:cs="Times New Roman"/>
                <w:color w:val="auto"/>
                <w:sz w:val="30"/>
                <w:szCs w:val="30"/>
                <w:lang w:val="en-US" w:eastAsia="zh-CN"/>
              </w:rPr>
              <w:t>km</w:t>
            </w:r>
            <w:r>
              <w:rPr>
                <w:rFonts w:ascii="Times New Roman" w:hAnsi="仿宋" w:eastAsia="仿宋" w:cs="Times New Roman"/>
                <w:color w:val="auto"/>
                <w:sz w:val="30"/>
                <w:szCs w:val="30"/>
              </w:rPr>
              <w:t>。</w:t>
            </w:r>
            <w:r>
              <w:rPr>
                <w:rFonts w:hint="eastAsia" w:ascii="Times New Roman" w:hAnsi="仿宋" w:eastAsia="仿宋" w:cs="Times New Roman"/>
                <w:color w:val="auto"/>
                <w:sz w:val="30"/>
                <w:szCs w:val="30"/>
                <w:lang w:eastAsia="zh-CN"/>
              </w:rPr>
              <w:t>道路</w:t>
            </w:r>
            <w:r>
              <w:rPr>
                <w:rFonts w:hint="eastAsia" w:ascii="Times New Roman" w:hAnsi="仿宋" w:eastAsia="仿宋" w:cs="Times New Roman"/>
                <w:color w:val="auto"/>
                <w:sz w:val="30"/>
                <w:szCs w:val="30"/>
              </w:rPr>
              <w:t>采用双向八车道城市快速路标准，主要建设内容包括主线路基工程</w:t>
            </w:r>
            <w:r>
              <w:rPr>
                <w:rFonts w:hint="eastAsia" w:ascii="Times New Roman" w:hAnsi="仿宋" w:eastAsia="仿宋" w:cs="Times New Roman"/>
                <w:color w:val="auto"/>
                <w:sz w:val="30"/>
                <w:szCs w:val="30"/>
                <w:lang w:val="en-US" w:eastAsia="zh-CN"/>
              </w:rPr>
              <w:t>11.479</w:t>
            </w:r>
            <w:r>
              <w:rPr>
                <w:rFonts w:hint="eastAsia" w:ascii="Times New Roman" w:hAnsi="仿宋" w:eastAsia="仿宋" w:cs="Times New Roman"/>
                <w:color w:val="auto"/>
                <w:sz w:val="30"/>
                <w:szCs w:val="30"/>
              </w:rPr>
              <w:t>km，立交4座（学堂堡立交、中心站立交、回龙坝立交、横五路立交），桥梁0.861km/7座。</w:t>
            </w:r>
            <w:r>
              <w:rPr>
                <w:rFonts w:hint="eastAsia" w:ascii="Times New Roman" w:hAnsi="仿宋" w:eastAsia="仿宋" w:cs="Times New Roman"/>
                <w:color w:val="auto"/>
                <w:sz w:val="30"/>
                <w:szCs w:val="30"/>
                <w:lang w:val="en-US" w:eastAsia="zh-CN"/>
              </w:rPr>
              <w:t>K0+240~K2+160段于2011年11月开工，2012年12月建成通车；K2+160~K12+100段于2019年4月开工，2021年12月建成通车。工程总投资461839万元（土建投资207169万元），其中K0+240~K2+160段工程投资90733万元（土建投资45587万元），K2+160~K12+100段工程投资371106万元（土建投资161582万元）</w:t>
            </w:r>
            <w:r>
              <w:rPr>
                <w:rFonts w:hint="eastAsia" w:ascii="Times New Roman" w:hAnsi="仿宋" w:eastAsia="仿宋" w:cs="Times New Roman"/>
                <w:color w:val="auto"/>
                <w:sz w:val="30"/>
                <w:szCs w:val="30"/>
              </w:rPr>
              <w:t>。</w:t>
            </w:r>
          </w:p>
          <w:p>
            <w:pPr>
              <w:keepNext w:val="0"/>
              <w:keepLines w:val="0"/>
              <w:suppressLineNumbers w:val="0"/>
              <w:spacing w:before="0" w:beforeAutospacing="0" w:after="0" w:afterAutospacing="0" w:line="360" w:lineRule="auto"/>
              <w:ind w:left="0" w:right="0" w:firstLine="594" w:firstLineChars="198"/>
              <w:rPr>
                <w:rFonts w:ascii="Times New Roman" w:hAnsi="仿宋" w:eastAsia="仿宋" w:cs="Times New Roman"/>
                <w:color w:val="auto"/>
                <w:sz w:val="30"/>
                <w:szCs w:val="30"/>
              </w:rPr>
            </w:pPr>
            <w:r>
              <w:rPr>
                <w:rFonts w:ascii="Times New Roman" w:hAnsi="仿宋" w:eastAsia="仿宋" w:cs="Times New Roman"/>
                <w:color w:val="auto"/>
                <w:sz w:val="30"/>
                <w:szCs w:val="30"/>
              </w:rPr>
              <w:t>（二）水土保持方案批复情况</w:t>
            </w:r>
          </w:p>
          <w:p>
            <w:pPr>
              <w:keepNext w:val="0"/>
              <w:keepLines w:val="0"/>
              <w:suppressLineNumbers w:val="0"/>
              <w:spacing w:before="0" w:beforeAutospacing="0" w:after="0" w:afterAutospacing="0" w:line="360" w:lineRule="auto"/>
              <w:ind w:left="0" w:right="0" w:firstLine="594" w:firstLineChars="198"/>
              <w:rPr>
                <w:rFonts w:hint="eastAsia" w:ascii="Times New Roman" w:hAnsi="仿宋" w:eastAsia="仿宋" w:cs="Times New Roman"/>
                <w:color w:val="auto"/>
                <w:sz w:val="30"/>
                <w:szCs w:val="30"/>
              </w:rPr>
            </w:pPr>
            <w:r>
              <w:rPr>
                <w:rFonts w:hint="default" w:ascii="Times New Roman" w:hAnsi="仿宋" w:eastAsia="仿宋" w:cs="Times New Roman"/>
                <w:color w:val="auto"/>
                <w:sz w:val="30"/>
                <w:szCs w:val="30"/>
                <w:lang w:val="en-US" w:eastAsia="zh-CN"/>
              </w:rPr>
              <w:t>2009</w:t>
            </w:r>
            <w:r>
              <w:rPr>
                <w:rFonts w:hint="eastAsia" w:ascii="Times New Roman" w:hAnsi="仿宋" w:eastAsia="仿宋" w:cs="Times New Roman"/>
                <w:color w:val="auto"/>
                <w:sz w:val="30"/>
                <w:szCs w:val="30"/>
                <w:lang w:val="en-US" w:eastAsia="zh-CN"/>
              </w:rPr>
              <w:t>年</w:t>
            </w:r>
            <w:r>
              <w:rPr>
                <w:rFonts w:hint="default" w:ascii="Times New Roman" w:hAnsi="仿宋" w:eastAsia="仿宋" w:cs="Times New Roman"/>
                <w:color w:val="auto"/>
                <w:sz w:val="30"/>
                <w:szCs w:val="30"/>
                <w:lang w:val="en-US" w:eastAsia="zh-CN"/>
              </w:rPr>
              <w:t>1</w:t>
            </w:r>
            <w:r>
              <w:rPr>
                <w:rFonts w:hint="eastAsia" w:ascii="Times New Roman" w:hAnsi="仿宋" w:eastAsia="仿宋" w:cs="Times New Roman"/>
                <w:color w:val="auto"/>
                <w:sz w:val="30"/>
                <w:szCs w:val="30"/>
                <w:lang w:val="en-US" w:eastAsia="zh-CN"/>
              </w:rPr>
              <w:t>月，项目取得了《</w:t>
            </w:r>
            <w:r>
              <w:rPr>
                <w:rFonts w:hint="eastAsia" w:ascii="Times New Roman" w:hAnsi="仿宋" w:eastAsia="仿宋" w:cs="Times New Roman"/>
                <w:color w:val="auto"/>
                <w:sz w:val="30"/>
                <w:szCs w:val="30"/>
              </w:rPr>
              <w:t>重庆市水利局关于</w:t>
            </w:r>
            <w:r>
              <w:rPr>
                <w:rFonts w:hint="eastAsia" w:ascii="Times New Roman" w:hAnsi="仿宋" w:eastAsia="仿宋" w:cs="Times New Roman"/>
                <w:color w:val="auto"/>
                <w:sz w:val="30"/>
                <w:szCs w:val="30"/>
                <w:lang w:val="en-US" w:eastAsia="zh-CN"/>
              </w:rPr>
              <w:t>重庆市快速路一纵线学堂堡立交至狮子岩立交段工程水土保持方案报告书》，（渝水许可〔</w:t>
            </w:r>
            <w:r>
              <w:rPr>
                <w:rFonts w:hint="default" w:ascii="Times New Roman" w:hAnsi="仿宋" w:eastAsia="仿宋" w:cs="Times New Roman"/>
                <w:color w:val="auto"/>
                <w:sz w:val="30"/>
                <w:szCs w:val="30"/>
                <w:lang w:val="en-US" w:eastAsia="zh-CN"/>
              </w:rPr>
              <w:t>2009</w:t>
            </w:r>
            <w:r>
              <w:rPr>
                <w:rFonts w:hint="eastAsia" w:ascii="Times New Roman" w:hAnsi="仿宋" w:eastAsia="仿宋" w:cs="Times New Roman"/>
                <w:color w:val="auto"/>
                <w:sz w:val="30"/>
                <w:szCs w:val="30"/>
                <w:lang w:val="en-US" w:eastAsia="zh-CN"/>
              </w:rPr>
              <w:t>〕</w:t>
            </w:r>
            <w:r>
              <w:rPr>
                <w:rFonts w:hint="default" w:ascii="Times New Roman" w:hAnsi="仿宋" w:eastAsia="仿宋" w:cs="Times New Roman"/>
                <w:color w:val="auto"/>
                <w:sz w:val="30"/>
                <w:szCs w:val="30"/>
                <w:lang w:val="en-US" w:eastAsia="zh-CN"/>
              </w:rPr>
              <w:t>32</w:t>
            </w:r>
            <w:r>
              <w:rPr>
                <w:rFonts w:hint="eastAsia" w:ascii="Times New Roman" w:hAnsi="仿宋" w:eastAsia="仿宋" w:cs="Times New Roman"/>
                <w:color w:val="auto"/>
                <w:sz w:val="30"/>
                <w:szCs w:val="30"/>
                <w:lang w:val="en-US" w:eastAsia="zh-CN"/>
              </w:rPr>
              <w:t>号）；</w:t>
            </w:r>
          </w:p>
          <w:p>
            <w:pPr>
              <w:keepNext w:val="0"/>
              <w:keepLines w:val="0"/>
              <w:suppressLineNumbers w:val="0"/>
              <w:spacing w:before="0" w:beforeAutospacing="0" w:after="0" w:afterAutospacing="0" w:line="360" w:lineRule="auto"/>
              <w:ind w:left="0" w:right="0" w:firstLine="594" w:firstLineChars="198"/>
              <w:rPr>
                <w:rFonts w:hint="eastAsia" w:ascii="Times New Roman" w:hAnsi="仿宋" w:eastAsia="仿宋" w:cs="Times New Roman"/>
                <w:color w:val="auto"/>
                <w:sz w:val="30"/>
                <w:szCs w:val="30"/>
              </w:rPr>
            </w:pPr>
            <w:r>
              <w:rPr>
                <w:rFonts w:hint="eastAsia" w:ascii="Times New Roman" w:hAnsi="仿宋" w:eastAsia="仿宋" w:cs="Times New Roman"/>
                <w:color w:val="auto"/>
                <w:sz w:val="30"/>
                <w:szCs w:val="30"/>
              </w:rPr>
              <w:t>2018年11月，项目取得了《重庆市水利局关于快速路一纵线学堂堡立交至狮子岩立交段工程（调整）水土保持方案准予许可的决定》（渝水许可〔2018〕92号）。</w:t>
            </w:r>
          </w:p>
          <w:p>
            <w:pPr>
              <w:keepNext w:val="0"/>
              <w:keepLines w:val="0"/>
              <w:suppressLineNumbers w:val="0"/>
              <w:spacing w:before="0" w:beforeAutospacing="0" w:after="0" w:afterAutospacing="0" w:line="360" w:lineRule="auto"/>
              <w:ind w:left="0" w:right="0" w:firstLine="594" w:firstLineChars="198"/>
              <w:rPr>
                <w:rFonts w:ascii="Times New Roman" w:hAnsi="仿宋" w:eastAsia="仿宋" w:cs="Times New Roman"/>
                <w:color w:val="auto"/>
                <w:sz w:val="30"/>
                <w:szCs w:val="30"/>
              </w:rPr>
            </w:pPr>
            <w:r>
              <w:rPr>
                <w:rFonts w:ascii="Times New Roman" w:hAnsi="仿宋" w:eastAsia="仿宋" w:cs="Times New Roman"/>
                <w:color w:val="auto"/>
                <w:sz w:val="30"/>
                <w:szCs w:val="30"/>
              </w:rPr>
              <w:t>（三）水土保持初步设计或施工图设计情况</w:t>
            </w:r>
          </w:p>
          <w:p>
            <w:pPr>
              <w:keepNext w:val="0"/>
              <w:keepLines w:val="0"/>
              <w:suppressLineNumbers w:val="0"/>
              <w:spacing w:before="0" w:beforeAutospacing="0" w:after="0" w:afterAutospacing="0" w:line="360" w:lineRule="auto"/>
              <w:ind w:left="0" w:right="0" w:firstLine="594" w:firstLineChars="198"/>
              <w:rPr>
                <w:rFonts w:ascii="Times New Roman" w:hAnsi="仿宋" w:eastAsia="仿宋" w:cs="Times New Roman"/>
                <w:color w:val="auto"/>
                <w:sz w:val="30"/>
                <w:szCs w:val="30"/>
              </w:rPr>
            </w:pPr>
            <w:r>
              <w:rPr>
                <w:rFonts w:ascii="Times New Roman" w:hAnsi="仿宋" w:eastAsia="仿宋" w:cs="Times New Roman"/>
                <w:color w:val="auto"/>
                <w:sz w:val="30"/>
                <w:szCs w:val="30"/>
              </w:rPr>
              <w:t>20</w:t>
            </w:r>
            <w:r>
              <w:rPr>
                <w:rFonts w:hint="eastAsia" w:ascii="Times New Roman" w:hAnsi="仿宋" w:eastAsia="仿宋" w:cs="Times New Roman"/>
                <w:color w:val="auto"/>
                <w:sz w:val="30"/>
                <w:szCs w:val="30"/>
                <w:lang w:val="en-US" w:eastAsia="zh-CN"/>
              </w:rPr>
              <w:t>17</w:t>
            </w:r>
            <w:r>
              <w:rPr>
                <w:rFonts w:ascii="Times New Roman" w:hAnsi="仿宋" w:eastAsia="仿宋" w:cs="Times New Roman"/>
                <w:color w:val="auto"/>
                <w:sz w:val="30"/>
                <w:szCs w:val="30"/>
              </w:rPr>
              <w:t>年</w:t>
            </w:r>
            <w:r>
              <w:rPr>
                <w:rFonts w:hint="eastAsia" w:ascii="Times New Roman" w:hAnsi="仿宋" w:eastAsia="仿宋" w:cs="Times New Roman"/>
                <w:color w:val="auto"/>
                <w:sz w:val="30"/>
                <w:szCs w:val="30"/>
                <w:lang w:val="en-US" w:eastAsia="zh-CN"/>
              </w:rPr>
              <w:t>4</w:t>
            </w:r>
            <w:r>
              <w:rPr>
                <w:rFonts w:ascii="Times New Roman" w:hAnsi="仿宋" w:eastAsia="仿宋" w:cs="Times New Roman"/>
                <w:color w:val="auto"/>
                <w:sz w:val="30"/>
                <w:szCs w:val="30"/>
              </w:rPr>
              <w:t>月</w:t>
            </w:r>
            <w:r>
              <w:rPr>
                <w:rFonts w:hint="eastAsia" w:ascii="Times New Roman" w:hAnsi="仿宋" w:eastAsia="仿宋" w:cs="Times New Roman"/>
                <w:color w:val="auto"/>
                <w:sz w:val="30"/>
                <w:szCs w:val="30"/>
                <w:lang w:val="en-US" w:eastAsia="zh-CN"/>
              </w:rPr>
              <w:t>28</w:t>
            </w:r>
            <w:r>
              <w:rPr>
                <w:rFonts w:ascii="Times New Roman" w:hAnsi="仿宋" w:eastAsia="仿宋" w:cs="Times New Roman"/>
                <w:color w:val="auto"/>
                <w:sz w:val="30"/>
                <w:szCs w:val="30"/>
              </w:rPr>
              <w:t>日，</w:t>
            </w:r>
            <w:r>
              <w:rPr>
                <w:rFonts w:hint="eastAsia" w:ascii="Times New Roman" w:hAnsi="仿宋" w:eastAsia="仿宋" w:cs="Times New Roman"/>
                <w:color w:val="auto"/>
                <w:sz w:val="30"/>
                <w:szCs w:val="30"/>
              </w:rPr>
              <w:t>项目取得了</w:t>
            </w:r>
            <w:r>
              <w:rPr>
                <w:rFonts w:ascii="Times New Roman" w:hAnsi="仿宋" w:eastAsia="仿宋" w:cs="Times New Roman"/>
                <w:color w:val="auto"/>
                <w:sz w:val="30"/>
                <w:szCs w:val="30"/>
              </w:rPr>
              <w:t>《重庆市城乡建设委员会</w:t>
            </w:r>
            <w:r>
              <w:rPr>
                <w:rFonts w:hint="eastAsia" w:ascii="Times New Roman" w:hAnsi="仿宋" w:eastAsia="仿宋" w:cs="Times New Roman"/>
                <w:color w:val="auto"/>
                <w:sz w:val="30"/>
                <w:szCs w:val="30"/>
              </w:rPr>
              <w:t>关于快速路一纵线（中心站立交至狮子岩立交段）工程调整初步设计的批复</w:t>
            </w:r>
            <w:r>
              <w:rPr>
                <w:rFonts w:ascii="Times New Roman" w:hAnsi="仿宋" w:eastAsia="仿宋" w:cs="Times New Roman"/>
                <w:color w:val="auto"/>
                <w:sz w:val="30"/>
                <w:szCs w:val="30"/>
              </w:rPr>
              <w:t>》</w:t>
            </w:r>
            <w:r>
              <w:rPr>
                <w:rFonts w:hint="eastAsia" w:ascii="Times New Roman" w:hAnsi="仿宋" w:eastAsia="仿宋" w:cs="Times New Roman"/>
                <w:color w:val="auto"/>
                <w:sz w:val="30"/>
                <w:szCs w:val="30"/>
              </w:rPr>
              <w:t>（渝建初设〔2017〕53号）</w:t>
            </w:r>
            <w:r>
              <w:rPr>
                <w:rFonts w:ascii="Times New Roman" w:hAnsi="仿宋" w:eastAsia="仿宋" w:cs="Times New Roman"/>
                <w:color w:val="auto"/>
                <w:sz w:val="30"/>
                <w:szCs w:val="30"/>
              </w:rPr>
              <w:t>。</w:t>
            </w:r>
          </w:p>
          <w:p>
            <w:pPr>
              <w:keepNext w:val="0"/>
              <w:keepLines w:val="0"/>
              <w:suppressLineNumbers w:val="0"/>
              <w:spacing w:before="0" w:beforeAutospacing="0" w:after="0" w:afterAutospacing="0" w:line="360" w:lineRule="auto"/>
              <w:ind w:left="0" w:right="0" w:firstLine="594" w:firstLineChars="198"/>
              <w:rPr>
                <w:rFonts w:ascii="Times New Roman" w:hAnsi="仿宋" w:eastAsia="仿宋" w:cs="Times New Roman"/>
                <w:color w:val="auto"/>
                <w:sz w:val="30"/>
                <w:szCs w:val="30"/>
              </w:rPr>
            </w:pPr>
            <w:r>
              <w:rPr>
                <w:rFonts w:ascii="Times New Roman" w:hAnsi="仿宋" w:eastAsia="仿宋" w:cs="Times New Roman"/>
                <w:color w:val="auto"/>
                <w:sz w:val="30"/>
                <w:szCs w:val="30"/>
              </w:rPr>
              <w:t>201</w:t>
            </w:r>
            <w:r>
              <w:rPr>
                <w:rFonts w:hint="eastAsia" w:ascii="Times New Roman" w:hAnsi="仿宋" w:eastAsia="仿宋" w:cs="Times New Roman"/>
                <w:color w:val="auto"/>
                <w:sz w:val="30"/>
                <w:szCs w:val="30"/>
                <w:lang w:val="en-US" w:eastAsia="zh-CN"/>
              </w:rPr>
              <w:t>7</w:t>
            </w:r>
            <w:r>
              <w:rPr>
                <w:rFonts w:ascii="Times New Roman" w:hAnsi="仿宋" w:eastAsia="仿宋" w:cs="Times New Roman"/>
                <w:color w:val="auto"/>
                <w:sz w:val="30"/>
                <w:szCs w:val="30"/>
              </w:rPr>
              <w:t>年</w:t>
            </w:r>
            <w:r>
              <w:rPr>
                <w:rFonts w:hint="eastAsia" w:ascii="Times New Roman" w:hAnsi="仿宋" w:eastAsia="仿宋" w:cs="Times New Roman"/>
                <w:color w:val="auto"/>
                <w:sz w:val="30"/>
                <w:szCs w:val="30"/>
                <w:lang w:val="en-US" w:eastAsia="zh-CN"/>
              </w:rPr>
              <w:t>6</w:t>
            </w:r>
            <w:r>
              <w:rPr>
                <w:rFonts w:ascii="Times New Roman" w:hAnsi="仿宋" w:eastAsia="仿宋" w:cs="Times New Roman"/>
                <w:color w:val="auto"/>
                <w:sz w:val="30"/>
                <w:szCs w:val="30"/>
              </w:rPr>
              <w:t>月</w:t>
            </w:r>
            <w:r>
              <w:rPr>
                <w:rFonts w:hint="eastAsia" w:ascii="Times New Roman" w:hAnsi="仿宋" w:eastAsia="仿宋" w:cs="Times New Roman"/>
                <w:color w:val="auto"/>
                <w:sz w:val="30"/>
                <w:szCs w:val="30"/>
                <w:lang w:val="en-US" w:eastAsia="zh-CN"/>
              </w:rPr>
              <w:t>9</w:t>
            </w:r>
            <w:r>
              <w:rPr>
                <w:rFonts w:ascii="Times New Roman" w:hAnsi="仿宋" w:eastAsia="仿宋" w:cs="Times New Roman"/>
                <w:color w:val="auto"/>
                <w:sz w:val="30"/>
                <w:szCs w:val="30"/>
              </w:rPr>
              <w:t>日，</w:t>
            </w:r>
            <w:r>
              <w:rPr>
                <w:rFonts w:hint="eastAsia" w:ascii="Times New Roman" w:hAnsi="仿宋" w:eastAsia="仿宋" w:cs="Times New Roman"/>
                <w:color w:val="auto"/>
                <w:sz w:val="30"/>
                <w:szCs w:val="30"/>
              </w:rPr>
              <w:t>重庆中宇工程咨询监理有限责任公司对快速路一纵线（中心站立交至狮子岩立交段）工程调整施工图进行了审查（证件编号：31113-SY）</w:t>
            </w:r>
            <w:r>
              <w:rPr>
                <w:rFonts w:ascii="Times New Roman" w:hAnsi="仿宋" w:eastAsia="仿宋" w:cs="Times New Roman"/>
                <w:color w:val="auto"/>
                <w:sz w:val="30"/>
                <w:szCs w:val="30"/>
              </w:rPr>
              <w:t>。</w:t>
            </w:r>
          </w:p>
          <w:p>
            <w:pPr>
              <w:keepNext w:val="0"/>
              <w:keepLines w:val="0"/>
              <w:suppressLineNumbers w:val="0"/>
              <w:spacing w:before="0" w:beforeAutospacing="0" w:after="0" w:afterAutospacing="0" w:line="360" w:lineRule="auto"/>
              <w:ind w:left="0" w:right="0" w:firstLine="594" w:firstLineChars="198"/>
              <w:rPr>
                <w:rFonts w:ascii="Times New Roman" w:hAnsi="仿宋" w:eastAsia="仿宋" w:cs="Times New Roman"/>
                <w:color w:val="auto"/>
                <w:sz w:val="30"/>
                <w:szCs w:val="30"/>
              </w:rPr>
            </w:pPr>
            <w:r>
              <w:rPr>
                <w:rFonts w:ascii="Times New Roman" w:hAnsi="仿宋" w:eastAsia="仿宋" w:cs="Times New Roman"/>
                <w:color w:val="auto"/>
                <w:sz w:val="30"/>
                <w:szCs w:val="30"/>
              </w:rPr>
              <w:t>（四）水土保持监测情况</w:t>
            </w:r>
          </w:p>
          <w:p>
            <w:pPr>
              <w:keepNext w:val="0"/>
              <w:keepLines w:val="0"/>
              <w:suppressLineNumbers w:val="0"/>
              <w:spacing w:before="0" w:beforeAutospacing="0" w:after="0" w:afterAutospacing="0" w:line="360" w:lineRule="auto"/>
              <w:ind w:left="0" w:right="0" w:firstLine="594" w:firstLineChars="198"/>
              <w:rPr>
                <w:rFonts w:ascii="Times New Roman" w:hAnsi="仿宋" w:eastAsia="仿宋" w:cs="Times New Roman"/>
                <w:color w:val="auto"/>
                <w:sz w:val="30"/>
                <w:szCs w:val="30"/>
              </w:rPr>
            </w:pPr>
            <w:r>
              <w:rPr>
                <w:rFonts w:ascii="Times New Roman" w:hAnsi="仿宋" w:eastAsia="仿宋" w:cs="Times New Roman"/>
                <w:color w:val="auto"/>
                <w:sz w:val="30"/>
                <w:szCs w:val="30"/>
              </w:rPr>
              <w:t>建设单位委托招商局重庆交通科研设计院有限公司</w:t>
            </w:r>
            <w:r>
              <w:rPr>
                <w:rFonts w:hint="eastAsia" w:ascii="Times New Roman" w:hAnsi="仿宋" w:eastAsia="仿宋" w:cs="Times New Roman"/>
                <w:color w:val="auto"/>
                <w:sz w:val="30"/>
                <w:szCs w:val="30"/>
              </w:rPr>
              <w:t>开展</w:t>
            </w:r>
            <w:r>
              <w:rPr>
                <w:rFonts w:ascii="Times New Roman" w:hAnsi="仿宋" w:eastAsia="仿宋" w:cs="Times New Roman"/>
                <w:color w:val="auto"/>
                <w:sz w:val="30"/>
                <w:szCs w:val="30"/>
              </w:rPr>
              <w:t>本</w:t>
            </w:r>
            <w:r>
              <w:rPr>
                <w:rFonts w:hint="eastAsia" w:ascii="Times New Roman" w:hAnsi="仿宋" w:eastAsia="仿宋" w:cs="Times New Roman"/>
                <w:color w:val="auto"/>
                <w:sz w:val="30"/>
                <w:szCs w:val="30"/>
              </w:rPr>
              <w:t>项目</w:t>
            </w:r>
            <w:r>
              <w:rPr>
                <w:rFonts w:ascii="Times New Roman" w:hAnsi="仿宋" w:eastAsia="仿宋" w:cs="Times New Roman"/>
                <w:color w:val="auto"/>
                <w:sz w:val="30"/>
                <w:szCs w:val="30"/>
              </w:rPr>
              <w:t>水土保持监测</w:t>
            </w:r>
            <w:r>
              <w:rPr>
                <w:rFonts w:hint="eastAsia" w:ascii="Times New Roman" w:hAnsi="仿宋" w:eastAsia="仿宋" w:cs="Times New Roman"/>
                <w:color w:val="auto"/>
                <w:sz w:val="30"/>
                <w:szCs w:val="30"/>
              </w:rPr>
              <w:t>工作</w:t>
            </w:r>
            <w:r>
              <w:rPr>
                <w:rFonts w:ascii="Times New Roman" w:hAnsi="仿宋" w:eastAsia="仿宋" w:cs="Times New Roman"/>
                <w:color w:val="auto"/>
                <w:sz w:val="30"/>
                <w:szCs w:val="30"/>
              </w:rPr>
              <w:t>。监测单位采用</w:t>
            </w:r>
            <w:r>
              <w:rPr>
                <w:rFonts w:hint="eastAsia" w:ascii="Times New Roman" w:hAnsi="仿宋" w:eastAsia="仿宋" w:cs="Times New Roman"/>
                <w:color w:val="auto"/>
                <w:sz w:val="30"/>
                <w:szCs w:val="30"/>
              </w:rPr>
              <w:t>实地量测、遥感监测（无人机及遥感影像）、资料收集与分析</w:t>
            </w:r>
            <w:r>
              <w:rPr>
                <w:rFonts w:ascii="Times New Roman" w:hAnsi="仿宋" w:eastAsia="仿宋" w:cs="Times New Roman"/>
                <w:color w:val="auto"/>
                <w:sz w:val="30"/>
                <w:szCs w:val="30"/>
              </w:rPr>
              <w:t>等监测方法，</w:t>
            </w:r>
            <w:r>
              <w:rPr>
                <w:rFonts w:hint="eastAsia" w:ascii="Times New Roman" w:hAnsi="仿宋" w:eastAsia="仿宋" w:cs="Times New Roman"/>
                <w:color w:val="auto"/>
                <w:sz w:val="30"/>
                <w:szCs w:val="30"/>
              </w:rPr>
              <w:t>对扰动土地情况、弃土（石、渣）情况、水土流失情况、水土保持措施</w:t>
            </w:r>
            <w:r>
              <w:rPr>
                <w:rFonts w:ascii="Times New Roman" w:hAnsi="仿宋" w:eastAsia="仿宋" w:cs="Times New Roman"/>
                <w:color w:val="auto"/>
                <w:sz w:val="30"/>
                <w:szCs w:val="30"/>
              </w:rPr>
              <w:t>等进行监测，于2023年</w:t>
            </w:r>
            <w:r>
              <w:rPr>
                <w:rFonts w:hint="eastAsia" w:ascii="Times New Roman" w:hAnsi="仿宋" w:eastAsia="仿宋" w:cs="Times New Roman"/>
                <w:color w:val="auto"/>
                <w:sz w:val="30"/>
                <w:szCs w:val="30"/>
                <w:lang w:val="en-US" w:eastAsia="zh-CN"/>
              </w:rPr>
              <w:t>6</w:t>
            </w:r>
            <w:r>
              <w:rPr>
                <w:rFonts w:ascii="Times New Roman" w:hAnsi="仿宋" w:eastAsia="仿宋" w:cs="Times New Roman"/>
                <w:color w:val="auto"/>
                <w:sz w:val="30"/>
                <w:szCs w:val="30"/>
              </w:rPr>
              <w:t>月完成《</w:t>
            </w:r>
            <w:r>
              <w:rPr>
                <w:rFonts w:hint="eastAsia" w:ascii="Times New Roman" w:hAnsi="仿宋" w:eastAsia="仿宋" w:cs="Times New Roman"/>
                <w:color w:val="auto"/>
                <w:sz w:val="30"/>
                <w:szCs w:val="30"/>
                <w:lang w:eastAsia="zh-CN"/>
              </w:rPr>
              <w:t>快速路一纵线学堂堡立交至狮子岩立交段工程（调整）</w:t>
            </w:r>
            <w:r>
              <w:rPr>
                <w:rFonts w:ascii="Times New Roman" w:hAnsi="仿宋" w:eastAsia="仿宋" w:cs="Times New Roman"/>
                <w:color w:val="auto"/>
                <w:sz w:val="30"/>
                <w:szCs w:val="30"/>
              </w:rPr>
              <w:t>水土保持监测总结报告》。根据水土流失防治效果监测结果，本</w:t>
            </w:r>
            <w:r>
              <w:rPr>
                <w:rFonts w:hint="eastAsia" w:ascii="Times New Roman" w:hAnsi="仿宋" w:eastAsia="仿宋" w:cs="Times New Roman"/>
                <w:color w:val="auto"/>
                <w:sz w:val="30"/>
                <w:szCs w:val="30"/>
              </w:rPr>
              <w:t>项目</w:t>
            </w:r>
            <w:r>
              <w:rPr>
                <w:rFonts w:ascii="Times New Roman" w:hAnsi="仿宋" w:eastAsia="仿宋" w:cs="Times New Roman"/>
                <w:color w:val="auto"/>
                <w:sz w:val="30"/>
                <w:szCs w:val="30"/>
              </w:rPr>
              <w:t>扰动土地整治率</w:t>
            </w:r>
            <w:r>
              <w:rPr>
                <w:rFonts w:hint="eastAsia" w:ascii="Times New Roman" w:hAnsi="仿宋" w:eastAsia="仿宋" w:cs="Times New Roman"/>
                <w:color w:val="auto"/>
                <w:sz w:val="30"/>
                <w:szCs w:val="30"/>
                <w:lang w:val="en-US" w:eastAsia="zh-CN"/>
              </w:rPr>
              <w:t>98.04</w:t>
            </w:r>
            <w:r>
              <w:rPr>
                <w:rFonts w:ascii="Times New Roman" w:hAnsi="仿宋" w:eastAsia="仿宋" w:cs="Times New Roman"/>
                <w:color w:val="auto"/>
                <w:sz w:val="30"/>
                <w:szCs w:val="30"/>
              </w:rPr>
              <w:t>%，水土流失总治理度为100.00%，土壤流失控制比大于1.0，拦渣率99.</w:t>
            </w:r>
            <w:r>
              <w:rPr>
                <w:rFonts w:hint="eastAsia" w:ascii="Times New Roman" w:hAnsi="仿宋" w:eastAsia="仿宋" w:cs="Times New Roman"/>
                <w:color w:val="auto"/>
                <w:sz w:val="30"/>
                <w:szCs w:val="30"/>
                <w:lang w:val="en-US" w:eastAsia="zh-CN"/>
              </w:rPr>
              <w:t>34</w:t>
            </w:r>
            <w:r>
              <w:rPr>
                <w:rFonts w:ascii="Times New Roman" w:hAnsi="仿宋" w:eastAsia="仿宋" w:cs="Times New Roman"/>
                <w:color w:val="auto"/>
                <w:sz w:val="30"/>
                <w:szCs w:val="30"/>
              </w:rPr>
              <w:t>%，林草植被恢复率为100.00%，林草覆盖率为</w:t>
            </w:r>
            <w:r>
              <w:rPr>
                <w:rFonts w:hint="eastAsia" w:ascii="Times New Roman" w:hAnsi="仿宋" w:eastAsia="仿宋" w:cs="Times New Roman"/>
                <w:color w:val="auto"/>
                <w:sz w:val="30"/>
                <w:szCs w:val="30"/>
                <w:lang w:val="en-US" w:eastAsia="zh-CN"/>
              </w:rPr>
              <w:t>27</w:t>
            </w:r>
            <w:r>
              <w:rPr>
                <w:rFonts w:ascii="Times New Roman" w:hAnsi="仿宋" w:eastAsia="仿宋" w:cs="Times New Roman"/>
                <w:color w:val="auto"/>
                <w:sz w:val="30"/>
                <w:szCs w:val="30"/>
              </w:rPr>
              <w:t>.</w:t>
            </w:r>
            <w:r>
              <w:rPr>
                <w:rFonts w:hint="eastAsia" w:ascii="Times New Roman" w:hAnsi="仿宋" w:eastAsia="仿宋" w:cs="Times New Roman"/>
                <w:color w:val="auto"/>
                <w:sz w:val="30"/>
                <w:szCs w:val="30"/>
                <w:lang w:val="en-US" w:eastAsia="zh-CN"/>
              </w:rPr>
              <w:t>5</w:t>
            </w:r>
            <w:r>
              <w:rPr>
                <w:rFonts w:ascii="Times New Roman" w:hAnsi="仿宋" w:eastAsia="仿宋" w:cs="Times New Roman"/>
                <w:color w:val="auto"/>
                <w:sz w:val="30"/>
                <w:szCs w:val="30"/>
              </w:rPr>
              <w:t>5%，</w:t>
            </w:r>
            <w:r>
              <w:rPr>
                <w:rFonts w:hint="eastAsia" w:ascii="Times New Roman" w:hAnsi="仿宋" w:eastAsia="仿宋" w:cs="Times New Roman"/>
                <w:color w:val="auto"/>
                <w:sz w:val="30"/>
                <w:szCs w:val="30"/>
              </w:rPr>
              <w:t xml:space="preserve"> 本项目</w:t>
            </w:r>
            <w:r>
              <w:rPr>
                <w:rFonts w:ascii="Times New Roman" w:hAnsi="仿宋" w:eastAsia="仿宋" w:cs="Times New Roman"/>
                <w:color w:val="auto"/>
                <w:sz w:val="30"/>
                <w:szCs w:val="30"/>
              </w:rPr>
              <w:t>水土流失</w:t>
            </w:r>
            <w:r>
              <w:rPr>
                <w:rFonts w:hint="eastAsia" w:ascii="Times New Roman" w:hAnsi="仿宋" w:eastAsia="仿宋" w:cs="Times New Roman"/>
                <w:color w:val="auto"/>
                <w:sz w:val="30"/>
                <w:szCs w:val="30"/>
              </w:rPr>
              <w:t>防治指标</w:t>
            </w:r>
            <w:r>
              <w:rPr>
                <w:rFonts w:ascii="Times New Roman" w:hAnsi="仿宋" w:eastAsia="仿宋" w:cs="Times New Roman"/>
                <w:color w:val="auto"/>
                <w:sz w:val="30"/>
                <w:szCs w:val="30"/>
              </w:rPr>
              <w:t>均达到了方案批复</w:t>
            </w:r>
            <w:r>
              <w:rPr>
                <w:rFonts w:hint="eastAsia" w:ascii="Times New Roman" w:hAnsi="仿宋" w:eastAsia="仿宋" w:cs="Times New Roman"/>
                <w:color w:val="auto"/>
                <w:sz w:val="30"/>
                <w:szCs w:val="30"/>
              </w:rPr>
              <w:t>的</w:t>
            </w:r>
            <w:r>
              <w:rPr>
                <w:rFonts w:ascii="Times New Roman" w:hAnsi="仿宋" w:eastAsia="仿宋" w:cs="Times New Roman"/>
                <w:color w:val="auto"/>
                <w:sz w:val="30"/>
                <w:szCs w:val="30"/>
              </w:rPr>
              <w:t>要求。</w:t>
            </w:r>
          </w:p>
          <w:p>
            <w:pPr>
              <w:keepNext w:val="0"/>
              <w:keepLines w:val="0"/>
              <w:numPr>
                <w:ilvl w:val="0"/>
                <w:numId w:val="1"/>
              </w:numPr>
              <w:suppressLineNumbers w:val="0"/>
              <w:spacing w:before="0" w:beforeAutospacing="0" w:after="0" w:afterAutospacing="0" w:line="360" w:lineRule="auto"/>
              <w:ind w:left="0" w:right="0" w:firstLine="594" w:firstLineChars="198"/>
              <w:rPr>
                <w:rFonts w:hint="eastAsia" w:ascii="Times New Roman" w:hAnsi="仿宋" w:eastAsia="仿宋" w:cs="Times New Roman"/>
                <w:color w:val="auto"/>
                <w:sz w:val="30"/>
                <w:szCs w:val="30"/>
                <w:lang w:eastAsia="zh-CN"/>
              </w:rPr>
            </w:pPr>
            <w:r>
              <w:rPr>
                <w:rFonts w:hint="eastAsia" w:ascii="Times New Roman" w:hAnsi="仿宋" w:eastAsia="仿宋" w:cs="Times New Roman"/>
                <w:color w:val="auto"/>
                <w:sz w:val="30"/>
                <w:szCs w:val="30"/>
                <w:lang w:eastAsia="zh-CN"/>
              </w:rPr>
              <w:t>水土保持监理情况</w:t>
            </w:r>
          </w:p>
          <w:p>
            <w:pPr>
              <w:keepNext w:val="0"/>
              <w:keepLines w:val="0"/>
              <w:suppressLineNumbers w:val="0"/>
              <w:spacing w:before="0" w:beforeAutospacing="0" w:after="0" w:afterAutospacing="0" w:line="360" w:lineRule="auto"/>
              <w:ind w:left="0" w:right="0" w:firstLine="594" w:firstLineChars="198"/>
              <w:rPr>
                <w:rFonts w:hint="eastAsia" w:ascii="Times New Roman" w:hAnsi="仿宋" w:eastAsia="仿宋" w:cs="Times New Roman"/>
                <w:color w:val="auto"/>
                <w:sz w:val="30"/>
                <w:szCs w:val="30"/>
                <w:lang w:eastAsia="zh-CN"/>
              </w:rPr>
            </w:pPr>
            <w:r>
              <w:rPr>
                <w:rFonts w:hint="eastAsia" w:ascii="Times New Roman" w:hAnsi="仿宋" w:eastAsia="仿宋" w:cs="Times New Roman"/>
                <w:color w:val="auto"/>
                <w:sz w:val="30"/>
                <w:szCs w:val="30"/>
                <w:lang w:val="en-US" w:eastAsia="zh-CN"/>
              </w:rPr>
              <w:t>本工程水土保持监理一并由主体工程监理单位进行监理，监理单位为上海建科工程咨询有限公司；2021年12月，监理单位</w:t>
            </w:r>
            <w:r>
              <w:rPr>
                <w:rFonts w:ascii="Times New Roman" w:hAnsi="仿宋" w:eastAsia="仿宋" w:cs="Times New Roman"/>
                <w:color w:val="auto"/>
                <w:sz w:val="30"/>
                <w:szCs w:val="30"/>
              </w:rPr>
              <w:t>完成</w:t>
            </w:r>
            <w:r>
              <w:rPr>
                <w:rFonts w:hint="eastAsia" w:ascii="Times New Roman" w:hAnsi="仿宋" w:eastAsia="仿宋" w:cs="Times New Roman"/>
                <w:color w:val="auto"/>
                <w:sz w:val="30"/>
                <w:szCs w:val="30"/>
                <w:lang w:eastAsia="zh-CN"/>
              </w:rPr>
              <w:t>了项目</w:t>
            </w:r>
            <w:r>
              <w:rPr>
                <w:rFonts w:ascii="Times New Roman" w:hAnsi="仿宋" w:eastAsia="仿宋" w:cs="Times New Roman"/>
                <w:color w:val="auto"/>
                <w:sz w:val="30"/>
                <w:szCs w:val="30"/>
              </w:rPr>
              <w:t>水土保持监测总结报告</w:t>
            </w:r>
            <w:r>
              <w:rPr>
                <w:rFonts w:hint="eastAsia" w:ascii="Times New Roman" w:hAnsi="仿宋" w:eastAsia="仿宋" w:cs="Times New Roman"/>
                <w:color w:val="auto"/>
                <w:sz w:val="30"/>
                <w:szCs w:val="30"/>
                <w:lang w:val="en-US" w:eastAsia="zh-CN"/>
              </w:rPr>
              <w:t>。</w:t>
            </w:r>
          </w:p>
          <w:p>
            <w:pPr>
              <w:keepNext w:val="0"/>
              <w:keepLines w:val="0"/>
              <w:suppressLineNumbers w:val="0"/>
              <w:spacing w:before="0" w:beforeAutospacing="0" w:after="0" w:afterAutospacing="0" w:line="360" w:lineRule="auto"/>
              <w:ind w:left="0" w:right="0" w:firstLine="594" w:firstLineChars="198"/>
              <w:rPr>
                <w:rFonts w:ascii="Times New Roman" w:hAnsi="仿宋" w:eastAsia="仿宋" w:cs="Times New Roman"/>
                <w:color w:val="auto"/>
                <w:sz w:val="30"/>
                <w:szCs w:val="30"/>
              </w:rPr>
            </w:pPr>
            <w:r>
              <w:rPr>
                <w:rFonts w:ascii="Times New Roman" w:hAnsi="仿宋" w:eastAsia="仿宋" w:cs="Times New Roman"/>
                <w:color w:val="auto"/>
                <w:sz w:val="30"/>
                <w:szCs w:val="30"/>
              </w:rPr>
              <w:t>（</w:t>
            </w:r>
            <w:r>
              <w:rPr>
                <w:rFonts w:hint="eastAsia" w:ascii="Times New Roman" w:hAnsi="仿宋" w:eastAsia="仿宋" w:cs="Times New Roman"/>
                <w:color w:val="auto"/>
                <w:sz w:val="30"/>
                <w:szCs w:val="30"/>
                <w:lang w:eastAsia="zh-CN"/>
              </w:rPr>
              <w:t>六</w:t>
            </w:r>
            <w:r>
              <w:rPr>
                <w:rFonts w:ascii="Times New Roman" w:hAnsi="仿宋" w:eastAsia="仿宋" w:cs="Times New Roman"/>
                <w:color w:val="auto"/>
                <w:sz w:val="30"/>
                <w:szCs w:val="30"/>
              </w:rPr>
              <w:t>）验收报告编制情况和主要结论</w:t>
            </w:r>
          </w:p>
          <w:p>
            <w:pPr>
              <w:keepNext w:val="0"/>
              <w:keepLines w:val="0"/>
              <w:suppressLineNumbers w:val="0"/>
              <w:spacing w:before="0" w:beforeAutospacing="0" w:after="0" w:afterAutospacing="0" w:line="360" w:lineRule="auto"/>
              <w:ind w:left="0" w:right="0" w:firstLine="594" w:firstLineChars="198"/>
              <w:rPr>
                <w:rFonts w:ascii="Times New Roman" w:hAnsi="仿宋" w:eastAsia="仿宋"/>
                <w:color w:val="auto"/>
                <w:sz w:val="30"/>
                <w:szCs w:val="30"/>
              </w:rPr>
            </w:pPr>
            <w:r>
              <w:rPr>
                <w:rFonts w:ascii="Times New Roman" w:hAnsi="仿宋" w:eastAsia="仿宋" w:cs="Times New Roman"/>
                <w:color w:val="auto"/>
                <w:sz w:val="30"/>
                <w:szCs w:val="30"/>
              </w:rPr>
              <w:t>建设单位委托招商局重庆交通科研设计院有限公司承担本</w:t>
            </w:r>
            <w:r>
              <w:rPr>
                <w:rFonts w:hint="eastAsia" w:ascii="Times New Roman" w:hAnsi="仿宋" w:eastAsia="仿宋" w:cs="Times New Roman"/>
                <w:color w:val="auto"/>
                <w:sz w:val="30"/>
                <w:szCs w:val="30"/>
              </w:rPr>
              <w:t>项目</w:t>
            </w:r>
            <w:r>
              <w:rPr>
                <w:rFonts w:ascii="Times New Roman" w:hAnsi="仿宋" w:eastAsia="仿宋" w:cs="Times New Roman"/>
                <w:color w:val="auto"/>
                <w:sz w:val="30"/>
                <w:szCs w:val="30"/>
              </w:rPr>
              <w:t>水土保持设施验收报告编制工作，报告主要结论为：</w:t>
            </w:r>
            <w:r>
              <w:rPr>
                <w:rFonts w:hint="eastAsia" w:ascii="Times New Roman" w:hAnsi="仿宋" w:eastAsia="仿宋" w:cs="Times New Roman"/>
                <w:color w:val="auto"/>
                <w:sz w:val="30"/>
                <w:szCs w:val="30"/>
                <w:lang w:val="en-US" w:eastAsia="zh-CN"/>
              </w:rPr>
              <w:t>本项目</w:t>
            </w:r>
            <w:r>
              <w:rPr>
                <w:rFonts w:ascii="Times New Roman" w:hAnsi="仿宋" w:eastAsia="仿宋" w:cs="Times New Roman"/>
                <w:color w:val="auto"/>
                <w:sz w:val="30"/>
                <w:szCs w:val="30"/>
              </w:rPr>
              <w:t>编报了水土保持方案，开展了水土保持监测和监理工作</w:t>
            </w:r>
            <w:r>
              <w:rPr>
                <w:rFonts w:hint="eastAsia" w:ascii="Times New Roman" w:hAnsi="仿宋" w:eastAsia="仿宋" w:cs="Times New Roman"/>
                <w:color w:val="auto"/>
                <w:sz w:val="30"/>
                <w:szCs w:val="30"/>
              </w:rPr>
              <w:t>完成了水土保持方案确定的防治任务，水土保持措施体系合理，水土保持工程质量合格，水土流失防治指标达到了水土保持方案批复的要求，足额缴纳了水土保持补偿费，水土保持设施运行管护责任落实，水土保持设施满足验收合格条件</w:t>
            </w:r>
            <w:r>
              <w:rPr>
                <w:rFonts w:ascii="Times New Roman" w:hAnsi="仿宋" w:eastAsia="仿宋"/>
                <w:color w:val="auto"/>
                <w:sz w:val="30"/>
                <w:szCs w:val="30"/>
              </w:rPr>
              <w:t>。</w:t>
            </w:r>
          </w:p>
          <w:p>
            <w:pPr>
              <w:keepNext w:val="0"/>
              <w:keepLines w:val="0"/>
              <w:suppressLineNumbers w:val="0"/>
              <w:spacing w:before="0" w:beforeAutospacing="0" w:after="0" w:afterAutospacing="0" w:line="360" w:lineRule="auto"/>
              <w:ind w:left="0" w:right="0" w:firstLine="594" w:firstLineChars="198"/>
              <w:rPr>
                <w:rFonts w:ascii="Times New Roman" w:hAnsi="Times New Roman" w:eastAsia="仿宋" w:cs="Times New Roman"/>
                <w:color w:val="auto"/>
                <w:sz w:val="30"/>
                <w:szCs w:val="30"/>
              </w:rPr>
            </w:pPr>
            <w:r>
              <w:rPr>
                <w:rFonts w:ascii="Times New Roman" w:hAnsi="仿宋" w:eastAsia="仿宋" w:cs="Times New Roman"/>
                <w:color w:val="auto"/>
                <w:sz w:val="30"/>
                <w:szCs w:val="30"/>
              </w:rPr>
              <w:t>（</w:t>
            </w:r>
            <w:r>
              <w:rPr>
                <w:rFonts w:hint="eastAsia" w:ascii="Times New Roman" w:hAnsi="仿宋" w:eastAsia="仿宋" w:cs="Times New Roman"/>
                <w:color w:val="auto"/>
                <w:sz w:val="30"/>
                <w:szCs w:val="30"/>
                <w:lang w:eastAsia="zh-CN"/>
              </w:rPr>
              <w:t>七</w:t>
            </w:r>
            <w:r>
              <w:rPr>
                <w:rFonts w:ascii="Times New Roman" w:hAnsi="仿宋" w:eastAsia="仿宋" w:cs="Times New Roman"/>
                <w:color w:val="auto"/>
                <w:sz w:val="30"/>
                <w:szCs w:val="30"/>
              </w:rPr>
              <w:t>）验收结论</w:t>
            </w:r>
          </w:p>
          <w:p>
            <w:pPr>
              <w:keepNext w:val="0"/>
              <w:keepLines w:val="0"/>
              <w:suppressLineNumbers w:val="0"/>
              <w:spacing w:before="0" w:beforeAutospacing="0" w:after="0" w:afterAutospacing="0" w:line="360" w:lineRule="auto"/>
              <w:ind w:left="0" w:right="0" w:firstLine="600" w:firstLineChars="200"/>
              <w:jc w:val="left"/>
              <w:rPr>
                <w:rFonts w:ascii="Times New Roman" w:hAnsi="Times New Roman" w:eastAsia="仿宋" w:cs="Times New Roman"/>
                <w:color w:val="auto"/>
                <w:sz w:val="30"/>
                <w:szCs w:val="30"/>
              </w:rPr>
            </w:pPr>
            <w:r>
              <w:rPr>
                <w:rFonts w:ascii="Times New Roman" w:hAnsi="仿宋" w:eastAsia="仿宋" w:cs="Times New Roman"/>
                <w:color w:val="auto"/>
                <w:sz w:val="30"/>
                <w:szCs w:val="30"/>
              </w:rPr>
              <w:t>验收组认为：</w:t>
            </w:r>
            <w:r>
              <w:rPr>
                <w:rFonts w:hint="eastAsia" w:ascii="Times New Roman" w:hAnsi="仿宋" w:eastAsia="仿宋" w:cs="Times New Roman"/>
                <w:color w:val="auto"/>
                <w:sz w:val="30"/>
                <w:szCs w:val="30"/>
              </w:rPr>
              <w:t>项目</w:t>
            </w:r>
            <w:r>
              <w:rPr>
                <w:rFonts w:ascii="Times New Roman" w:hAnsi="仿宋" w:eastAsia="仿宋" w:cs="Times New Roman"/>
                <w:color w:val="auto"/>
                <w:sz w:val="30"/>
                <w:szCs w:val="30"/>
              </w:rPr>
              <w:t>实施过程中基本落实了水土保持方案及批复文件确定的防治措施，完成了水土流失防治和治理任务，水土流失防治指标达到了水土保持方案确定的目标值；项目水土流失防治效果良好，运行期的管理维护责任落实，同意该项目水土保持设施通过验收。</w:t>
            </w:r>
          </w:p>
          <w:p>
            <w:pPr>
              <w:keepNext w:val="0"/>
              <w:keepLines w:val="0"/>
              <w:suppressLineNumbers w:val="0"/>
              <w:spacing w:before="0" w:beforeAutospacing="0" w:after="0" w:afterAutospacing="0" w:line="360" w:lineRule="auto"/>
              <w:ind w:left="0" w:right="0" w:firstLine="594" w:firstLineChars="198"/>
              <w:rPr>
                <w:rFonts w:ascii="Times New Roman" w:hAnsi="Times New Roman" w:eastAsia="仿宋" w:cs="Times New Roman"/>
                <w:color w:val="auto"/>
                <w:sz w:val="30"/>
                <w:szCs w:val="30"/>
              </w:rPr>
            </w:pPr>
            <w:r>
              <w:rPr>
                <w:rFonts w:ascii="Times New Roman" w:hAnsi="仿宋" w:eastAsia="仿宋" w:cs="Times New Roman"/>
                <w:color w:val="auto"/>
                <w:sz w:val="30"/>
                <w:szCs w:val="30"/>
              </w:rPr>
              <w:t>（</w:t>
            </w:r>
            <w:r>
              <w:rPr>
                <w:rFonts w:hint="eastAsia" w:ascii="Times New Roman" w:hAnsi="仿宋" w:eastAsia="仿宋" w:cs="Times New Roman"/>
                <w:color w:val="auto"/>
                <w:sz w:val="30"/>
                <w:szCs w:val="30"/>
                <w:lang w:eastAsia="zh-CN"/>
              </w:rPr>
              <w:t>八</w:t>
            </w:r>
            <w:r>
              <w:rPr>
                <w:rFonts w:ascii="Times New Roman" w:hAnsi="仿宋" w:eastAsia="仿宋" w:cs="Times New Roman"/>
                <w:color w:val="auto"/>
                <w:sz w:val="30"/>
                <w:szCs w:val="30"/>
              </w:rPr>
              <w:t>）后续管护要求</w:t>
            </w:r>
          </w:p>
          <w:p>
            <w:pPr>
              <w:keepNext w:val="0"/>
              <w:keepLines w:val="0"/>
              <w:suppressLineNumbers w:val="0"/>
              <w:spacing w:before="0" w:beforeAutospacing="0" w:after="0" w:afterAutospacing="0" w:line="360" w:lineRule="auto"/>
              <w:ind w:left="0" w:right="0" w:firstLine="594" w:firstLineChars="198"/>
              <w:rPr>
                <w:rFonts w:ascii="Times New Roman" w:hAnsi="Times New Roman" w:eastAsia="仿宋" w:cs="Times New Roman"/>
                <w:color w:val="auto"/>
                <w:sz w:val="30"/>
                <w:szCs w:val="30"/>
              </w:rPr>
            </w:pPr>
            <w:r>
              <w:rPr>
                <w:rFonts w:ascii="Times New Roman" w:hAnsi="仿宋" w:eastAsia="仿宋" w:cs="Times New Roman"/>
                <w:color w:val="auto"/>
                <w:sz w:val="30"/>
                <w:szCs w:val="30"/>
              </w:rPr>
              <w:t>运行期的管理维护责任单位应对管理范围内的水土保持设施继续做好日常管理，做到设施有专人管护、加强巡查，及时处理遗留和</w:t>
            </w:r>
            <w:r>
              <w:rPr>
                <w:rFonts w:hint="eastAsia" w:ascii="Times New Roman" w:hAnsi="仿宋" w:eastAsia="仿宋" w:cs="Times New Roman"/>
                <w:color w:val="auto"/>
                <w:sz w:val="30"/>
                <w:szCs w:val="30"/>
              </w:rPr>
              <w:t>后期</w:t>
            </w:r>
            <w:r>
              <w:rPr>
                <w:rFonts w:ascii="Times New Roman" w:hAnsi="仿宋" w:eastAsia="仿宋" w:cs="Times New Roman"/>
                <w:color w:val="auto"/>
                <w:sz w:val="30"/>
                <w:szCs w:val="30"/>
              </w:rPr>
              <w:t>发现</w:t>
            </w:r>
            <w:r>
              <w:rPr>
                <w:rFonts w:hint="eastAsia" w:ascii="Times New Roman" w:hAnsi="仿宋" w:eastAsia="仿宋" w:cs="Times New Roman"/>
                <w:color w:val="auto"/>
                <w:sz w:val="30"/>
                <w:szCs w:val="30"/>
              </w:rPr>
              <w:t>的</w:t>
            </w:r>
            <w:r>
              <w:rPr>
                <w:rFonts w:ascii="Times New Roman" w:hAnsi="仿宋" w:eastAsia="仿宋" w:cs="Times New Roman"/>
                <w:color w:val="auto"/>
                <w:sz w:val="30"/>
                <w:szCs w:val="30"/>
              </w:rPr>
              <w:t>问题，以保证各项水土保持措施能长期、稳定地发挥水土保持作用。</w:t>
            </w:r>
          </w:p>
          <w:p>
            <w:pPr>
              <w:keepNext w:val="0"/>
              <w:keepLines w:val="0"/>
              <w:suppressLineNumbers w:val="0"/>
              <w:spacing w:before="0" w:beforeAutospacing="0" w:after="0" w:afterAutospacing="0" w:line="360" w:lineRule="auto"/>
              <w:ind w:left="0" w:right="0"/>
              <w:rPr>
                <w:rFonts w:hint="eastAsia" w:ascii="Times New Roman" w:hAnsi="Times New Roman" w:eastAsia="仿宋" w:cs="Times New Roman"/>
                <w:color w:val="auto"/>
                <w:sz w:val="30"/>
                <w:szCs w:val="30"/>
              </w:rPr>
            </w:pPr>
          </w:p>
          <w:p>
            <w:pPr>
              <w:keepNext w:val="0"/>
              <w:keepLines w:val="0"/>
              <w:suppressLineNumbers w:val="0"/>
              <w:spacing w:before="0" w:beforeAutospacing="0" w:after="0" w:afterAutospacing="0" w:line="360" w:lineRule="auto"/>
              <w:ind w:left="0" w:right="0"/>
              <w:rPr>
                <w:rFonts w:hint="eastAsia" w:ascii="Times New Roman" w:hAnsi="Times New Roman" w:eastAsia="仿宋" w:cs="Times New Roman"/>
                <w:color w:val="auto"/>
                <w:sz w:val="30"/>
                <w:szCs w:val="30"/>
              </w:rPr>
            </w:pPr>
          </w:p>
          <w:p>
            <w:pPr>
              <w:keepNext w:val="0"/>
              <w:keepLines w:val="0"/>
              <w:suppressLineNumbers w:val="0"/>
              <w:spacing w:before="0" w:beforeAutospacing="0" w:after="0" w:afterAutospacing="0" w:line="360" w:lineRule="auto"/>
              <w:ind w:left="0" w:right="0"/>
              <w:rPr>
                <w:rFonts w:ascii="Times New Roman" w:hAnsi="Times New Roman" w:eastAsia="仿宋" w:cs="Times New Roman"/>
                <w:color w:val="auto"/>
                <w:sz w:val="30"/>
                <w:szCs w:val="30"/>
              </w:rPr>
            </w:pPr>
          </w:p>
        </w:tc>
      </w:tr>
    </w:tbl>
    <w:p>
      <w:pPr>
        <w:rPr>
          <w:rFonts w:ascii="Times New Roman" w:hAnsi="Times New Roman" w:eastAsia="黑体" w:cs="Times New Roman"/>
          <w:color w:val="auto"/>
          <w:sz w:val="21"/>
          <w:szCs w:val="21"/>
        </w:rPr>
      </w:pPr>
      <w:r>
        <w:rPr>
          <w:rFonts w:ascii="Times New Roman" w:hAnsi="Times New Roman" w:eastAsia="黑体" w:cs="Times New Roman"/>
          <w:color w:val="auto"/>
          <w:sz w:val="21"/>
          <w:szCs w:val="21"/>
        </w:rPr>
        <w:br w:type="page"/>
      </w:r>
    </w:p>
    <w:p>
      <w:pPr>
        <w:rPr>
          <w:rFonts w:ascii="Times New Roman" w:hAnsi="Times New Roman" w:eastAsia="黑体" w:cs="Times New Roman"/>
          <w:color w:val="auto"/>
          <w:sz w:val="21"/>
          <w:szCs w:val="21"/>
        </w:rPr>
      </w:pPr>
      <w:bookmarkStart w:id="4" w:name="_GoBack"/>
      <w:bookmarkEnd w:id="4"/>
      <w:r>
        <w:drawing>
          <wp:anchor distT="0" distB="0" distL="114300" distR="114300" simplePos="0" relativeHeight="251660288" behindDoc="0" locked="0" layoutInCell="1" allowOverlap="1">
            <wp:simplePos x="0" y="0"/>
            <wp:positionH relativeFrom="column">
              <wp:posOffset>-941705</wp:posOffset>
            </wp:positionH>
            <wp:positionV relativeFrom="paragraph">
              <wp:posOffset>-914400</wp:posOffset>
            </wp:positionV>
            <wp:extent cx="7554595" cy="10780395"/>
            <wp:effectExtent l="0" t="0" r="8255" b="190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7554595" cy="10780395"/>
                    </a:xfrm>
                    <a:prstGeom prst="rect">
                      <a:avLst/>
                    </a:prstGeom>
                    <a:noFill/>
                    <a:ln>
                      <a:noFill/>
                    </a:ln>
                  </pic:spPr>
                </pic:pic>
              </a:graphicData>
            </a:graphic>
          </wp:anchor>
        </w:drawing>
      </w:r>
    </w:p>
    <w:sectPr>
      <w:footerReference r:id="rId4" w:type="default"/>
      <w:pgSz w:w="11906" w:h="16838"/>
      <w:pgMar w:top="1440" w:right="1418" w:bottom="1440" w:left="141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Century Gothic">
    <w:altName w:val="Segoe Print"/>
    <w:panose1 w:val="020B0502020202020204"/>
    <w:charset w:val="00"/>
    <w:family w:val="swiss"/>
    <w:pitch w:val="default"/>
    <w:sig w:usb0="00000000" w:usb1="00000000" w:usb2="00000000" w:usb3="00000000" w:csb0="2000009F" w:csb1="DFD7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cs="Times New Roman"/>
      </w:rPr>
    </w:pPr>
  </w:p>
  <w:p>
    <w:pPr>
      <w:pStyle w:val="7"/>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7200684"/>
      <w:docPartObj>
        <w:docPartGallery w:val="autotext"/>
      </w:docPartObj>
    </w:sdtPr>
    <w:sdtEndPr>
      <w:rPr>
        <w:b/>
      </w:rPr>
    </w:sdtEndPr>
    <w:sdtContent>
      <w:p>
        <w:pPr>
          <w:pStyle w:val="7"/>
          <w:jc w:val="center"/>
          <w:rPr>
            <w:b/>
          </w:rPr>
        </w:pPr>
        <w:r>
          <w:rPr>
            <w:b/>
            <w:sz w:val="21"/>
            <w:szCs w:val="21"/>
          </w:rPr>
          <w:fldChar w:fldCharType="begin"/>
        </w:r>
        <w:r>
          <w:rPr>
            <w:b/>
            <w:sz w:val="21"/>
            <w:szCs w:val="21"/>
          </w:rPr>
          <w:instrText xml:space="preserve"> PAGE   \* MERGEFORMAT </w:instrText>
        </w:r>
        <w:r>
          <w:rPr>
            <w:b/>
            <w:sz w:val="21"/>
            <w:szCs w:val="21"/>
          </w:rPr>
          <w:fldChar w:fldCharType="separate"/>
        </w:r>
        <w:r>
          <w:rPr>
            <w:b/>
            <w:sz w:val="21"/>
            <w:szCs w:val="21"/>
            <w:lang w:val="zh-CN"/>
          </w:rPr>
          <w:t>4</w:t>
        </w:r>
        <w:r>
          <w:rPr>
            <w:b/>
            <w:sz w:val="21"/>
            <w:szCs w:val="21"/>
          </w:rPr>
          <w:fldChar w:fldCharType="end"/>
        </w:r>
      </w:p>
    </w:sdtContent>
  </w:sdt>
  <w:p>
    <w:pPr>
      <w:pStyle w:val="7"/>
      <w:rPr>
        <w:rFonts w:cs="Times New Roman"/>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D0969"/>
    <w:multiLevelType w:val="singleLevel"/>
    <w:tmpl w:val="078D0969"/>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FlYmY3YzE1MDFkNjQ1NmY5NmEwMjZiYzNkNmM1ZTgifQ=="/>
  </w:docVars>
  <w:rsids>
    <w:rsidRoot w:val="00F702B8"/>
    <w:rsid w:val="00001621"/>
    <w:rsid w:val="00002F3E"/>
    <w:rsid w:val="000173CB"/>
    <w:rsid w:val="00021AA3"/>
    <w:rsid w:val="00021BEE"/>
    <w:rsid w:val="000249BB"/>
    <w:rsid w:val="00034EED"/>
    <w:rsid w:val="000410EB"/>
    <w:rsid w:val="00041272"/>
    <w:rsid w:val="0004176D"/>
    <w:rsid w:val="00077410"/>
    <w:rsid w:val="00077687"/>
    <w:rsid w:val="00082658"/>
    <w:rsid w:val="00087835"/>
    <w:rsid w:val="00091043"/>
    <w:rsid w:val="00097843"/>
    <w:rsid w:val="000B0F7F"/>
    <w:rsid w:val="000B456C"/>
    <w:rsid w:val="000B650E"/>
    <w:rsid w:val="000C0EF2"/>
    <w:rsid w:val="000D039E"/>
    <w:rsid w:val="000D5333"/>
    <w:rsid w:val="000D6936"/>
    <w:rsid w:val="000D7887"/>
    <w:rsid w:val="000E0E83"/>
    <w:rsid w:val="000E3ADC"/>
    <w:rsid w:val="00106497"/>
    <w:rsid w:val="00116D62"/>
    <w:rsid w:val="0012207A"/>
    <w:rsid w:val="00123B43"/>
    <w:rsid w:val="001321F1"/>
    <w:rsid w:val="0014450C"/>
    <w:rsid w:val="00147D1F"/>
    <w:rsid w:val="0015092B"/>
    <w:rsid w:val="00150A51"/>
    <w:rsid w:val="00154495"/>
    <w:rsid w:val="001552BE"/>
    <w:rsid w:val="00156391"/>
    <w:rsid w:val="00163519"/>
    <w:rsid w:val="00182174"/>
    <w:rsid w:val="001903D6"/>
    <w:rsid w:val="001A17F8"/>
    <w:rsid w:val="001A2D66"/>
    <w:rsid w:val="001A4AB6"/>
    <w:rsid w:val="001B52B1"/>
    <w:rsid w:val="001C0CE6"/>
    <w:rsid w:val="001C24E2"/>
    <w:rsid w:val="001D548A"/>
    <w:rsid w:val="001D55CE"/>
    <w:rsid w:val="001E708A"/>
    <w:rsid w:val="001F25C8"/>
    <w:rsid w:val="001F3532"/>
    <w:rsid w:val="00203F83"/>
    <w:rsid w:val="00210761"/>
    <w:rsid w:val="00210FF1"/>
    <w:rsid w:val="00214665"/>
    <w:rsid w:val="0021538D"/>
    <w:rsid w:val="00236FCC"/>
    <w:rsid w:val="00243F45"/>
    <w:rsid w:val="00243F8C"/>
    <w:rsid w:val="00245450"/>
    <w:rsid w:val="00245DD9"/>
    <w:rsid w:val="002541D6"/>
    <w:rsid w:val="002602DF"/>
    <w:rsid w:val="00261CFB"/>
    <w:rsid w:val="00263F04"/>
    <w:rsid w:val="00270E95"/>
    <w:rsid w:val="002748D1"/>
    <w:rsid w:val="00275A88"/>
    <w:rsid w:val="00280E67"/>
    <w:rsid w:val="002904B6"/>
    <w:rsid w:val="0029470E"/>
    <w:rsid w:val="002B2679"/>
    <w:rsid w:val="002B425B"/>
    <w:rsid w:val="002B4837"/>
    <w:rsid w:val="002B7BFD"/>
    <w:rsid w:val="002D62D8"/>
    <w:rsid w:val="002E7622"/>
    <w:rsid w:val="002F31EA"/>
    <w:rsid w:val="002F4B5C"/>
    <w:rsid w:val="002F4E04"/>
    <w:rsid w:val="002F7B2D"/>
    <w:rsid w:val="003062B4"/>
    <w:rsid w:val="003142C2"/>
    <w:rsid w:val="003214DE"/>
    <w:rsid w:val="003269C3"/>
    <w:rsid w:val="003309B5"/>
    <w:rsid w:val="00332B54"/>
    <w:rsid w:val="003430CD"/>
    <w:rsid w:val="00346EAA"/>
    <w:rsid w:val="0036256B"/>
    <w:rsid w:val="00370EF4"/>
    <w:rsid w:val="00375B82"/>
    <w:rsid w:val="00382242"/>
    <w:rsid w:val="00390A72"/>
    <w:rsid w:val="0039417C"/>
    <w:rsid w:val="00397E9C"/>
    <w:rsid w:val="003A0359"/>
    <w:rsid w:val="003B76D0"/>
    <w:rsid w:val="003C3F23"/>
    <w:rsid w:val="003C455E"/>
    <w:rsid w:val="003D3C98"/>
    <w:rsid w:val="003F0725"/>
    <w:rsid w:val="00405BF2"/>
    <w:rsid w:val="00413260"/>
    <w:rsid w:val="004503A8"/>
    <w:rsid w:val="004528F4"/>
    <w:rsid w:val="00460072"/>
    <w:rsid w:val="00465235"/>
    <w:rsid w:val="00467647"/>
    <w:rsid w:val="004805F3"/>
    <w:rsid w:val="00484B67"/>
    <w:rsid w:val="00486127"/>
    <w:rsid w:val="004952E6"/>
    <w:rsid w:val="004B371B"/>
    <w:rsid w:val="004C3A57"/>
    <w:rsid w:val="004C64A6"/>
    <w:rsid w:val="004D0D2C"/>
    <w:rsid w:val="004E31E3"/>
    <w:rsid w:val="004E6602"/>
    <w:rsid w:val="004E79BC"/>
    <w:rsid w:val="004F2DA2"/>
    <w:rsid w:val="004F5D22"/>
    <w:rsid w:val="005205F7"/>
    <w:rsid w:val="00521C80"/>
    <w:rsid w:val="00526350"/>
    <w:rsid w:val="00526F8A"/>
    <w:rsid w:val="005356A3"/>
    <w:rsid w:val="00551CF2"/>
    <w:rsid w:val="00556790"/>
    <w:rsid w:val="00560732"/>
    <w:rsid w:val="00564922"/>
    <w:rsid w:val="00570877"/>
    <w:rsid w:val="00582391"/>
    <w:rsid w:val="005865C2"/>
    <w:rsid w:val="00590CF7"/>
    <w:rsid w:val="00591F70"/>
    <w:rsid w:val="0059728D"/>
    <w:rsid w:val="005A594C"/>
    <w:rsid w:val="005B1FE3"/>
    <w:rsid w:val="005B7E43"/>
    <w:rsid w:val="005C6452"/>
    <w:rsid w:val="005E1634"/>
    <w:rsid w:val="00602CFB"/>
    <w:rsid w:val="0060686A"/>
    <w:rsid w:val="006136AF"/>
    <w:rsid w:val="006141A1"/>
    <w:rsid w:val="00623685"/>
    <w:rsid w:val="00633AF7"/>
    <w:rsid w:val="00637303"/>
    <w:rsid w:val="00640D60"/>
    <w:rsid w:val="006447E9"/>
    <w:rsid w:val="00645348"/>
    <w:rsid w:val="00651CF4"/>
    <w:rsid w:val="006615B1"/>
    <w:rsid w:val="00662424"/>
    <w:rsid w:val="00663398"/>
    <w:rsid w:val="006654AD"/>
    <w:rsid w:val="00675D84"/>
    <w:rsid w:val="006A1541"/>
    <w:rsid w:val="006A6791"/>
    <w:rsid w:val="006B60C4"/>
    <w:rsid w:val="006C088B"/>
    <w:rsid w:val="006C1FE3"/>
    <w:rsid w:val="006C36F4"/>
    <w:rsid w:val="006C65AD"/>
    <w:rsid w:val="006D0F4C"/>
    <w:rsid w:val="006E2EB7"/>
    <w:rsid w:val="006E6734"/>
    <w:rsid w:val="006F63D4"/>
    <w:rsid w:val="006F78CB"/>
    <w:rsid w:val="007069DE"/>
    <w:rsid w:val="00712BD3"/>
    <w:rsid w:val="00716F67"/>
    <w:rsid w:val="00721B32"/>
    <w:rsid w:val="00731DA5"/>
    <w:rsid w:val="00737A80"/>
    <w:rsid w:val="00742784"/>
    <w:rsid w:val="00756E5B"/>
    <w:rsid w:val="007623DD"/>
    <w:rsid w:val="00780D06"/>
    <w:rsid w:val="00781F85"/>
    <w:rsid w:val="00784C91"/>
    <w:rsid w:val="007850C2"/>
    <w:rsid w:val="007867BF"/>
    <w:rsid w:val="00786D7D"/>
    <w:rsid w:val="007917B4"/>
    <w:rsid w:val="007961D7"/>
    <w:rsid w:val="007A5728"/>
    <w:rsid w:val="007B667D"/>
    <w:rsid w:val="007C4960"/>
    <w:rsid w:val="007E500A"/>
    <w:rsid w:val="007F2EDB"/>
    <w:rsid w:val="007F52AA"/>
    <w:rsid w:val="007F5E61"/>
    <w:rsid w:val="008137DE"/>
    <w:rsid w:val="00814AF2"/>
    <w:rsid w:val="00821F4F"/>
    <w:rsid w:val="008307BE"/>
    <w:rsid w:val="0085154C"/>
    <w:rsid w:val="008617C3"/>
    <w:rsid w:val="00863D6B"/>
    <w:rsid w:val="00867BA2"/>
    <w:rsid w:val="00874602"/>
    <w:rsid w:val="00882EF7"/>
    <w:rsid w:val="00885C85"/>
    <w:rsid w:val="008904A3"/>
    <w:rsid w:val="00892B30"/>
    <w:rsid w:val="00893156"/>
    <w:rsid w:val="008A1AC0"/>
    <w:rsid w:val="008A7BF3"/>
    <w:rsid w:val="008B0109"/>
    <w:rsid w:val="008B5B80"/>
    <w:rsid w:val="008C06D9"/>
    <w:rsid w:val="008D32A0"/>
    <w:rsid w:val="008D331B"/>
    <w:rsid w:val="008D3B54"/>
    <w:rsid w:val="008E175E"/>
    <w:rsid w:val="008E3A7B"/>
    <w:rsid w:val="008F6649"/>
    <w:rsid w:val="008F6946"/>
    <w:rsid w:val="008F6B6D"/>
    <w:rsid w:val="009023DE"/>
    <w:rsid w:val="00904FA4"/>
    <w:rsid w:val="00910581"/>
    <w:rsid w:val="00920D4F"/>
    <w:rsid w:val="0093058E"/>
    <w:rsid w:val="00937022"/>
    <w:rsid w:val="00942D44"/>
    <w:rsid w:val="00950509"/>
    <w:rsid w:val="0095600D"/>
    <w:rsid w:val="00960422"/>
    <w:rsid w:val="00962761"/>
    <w:rsid w:val="00971865"/>
    <w:rsid w:val="0097221C"/>
    <w:rsid w:val="00977DA1"/>
    <w:rsid w:val="00983C31"/>
    <w:rsid w:val="00986992"/>
    <w:rsid w:val="009A2480"/>
    <w:rsid w:val="009D124B"/>
    <w:rsid w:val="009F40D9"/>
    <w:rsid w:val="009F6DBE"/>
    <w:rsid w:val="00A01381"/>
    <w:rsid w:val="00A01844"/>
    <w:rsid w:val="00A03E0F"/>
    <w:rsid w:val="00A127F8"/>
    <w:rsid w:val="00A14D0C"/>
    <w:rsid w:val="00A222BF"/>
    <w:rsid w:val="00A26FDB"/>
    <w:rsid w:val="00A339D9"/>
    <w:rsid w:val="00A450A6"/>
    <w:rsid w:val="00A5595F"/>
    <w:rsid w:val="00A61CC2"/>
    <w:rsid w:val="00A83175"/>
    <w:rsid w:val="00A86535"/>
    <w:rsid w:val="00A9052D"/>
    <w:rsid w:val="00AA0227"/>
    <w:rsid w:val="00AA32A1"/>
    <w:rsid w:val="00AC0C8E"/>
    <w:rsid w:val="00AC4EAD"/>
    <w:rsid w:val="00AD6451"/>
    <w:rsid w:val="00AE05B5"/>
    <w:rsid w:val="00AE349F"/>
    <w:rsid w:val="00AE38D3"/>
    <w:rsid w:val="00AF1409"/>
    <w:rsid w:val="00AF509A"/>
    <w:rsid w:val="00B0088A"/>
    <w:rsid w:val="00B01BAA"/>
    <w:rsid w:val="00B05A8C"/>
    <w:rsid w:val="00B07F3D"/>
    <w:rsid w:val="00B13734"/>
    <w:rsid w:val="00B151BF"/>
    <w:rsid w:val="00B16A6E"/>
    <w:rsid w:val="00B406B8"/>
    <w:rsid w:val="00B47C5B"/>
    <w:rsid w:val="00B572F5"/>
    <w:rsid w:val="00B606FF"/>
    <w:rsid w:val="00B71057"/>
    <w:rsid w:val="00B731B2"/>
    <w:rsid w:val="00BC1AFD"/>
    <w:rsid w:val="00BC78B0"/>
    <w:rsid w:val="00BD3402"/>
    <w:rsid w:val="00BD5FEB"/>
    <w:rsid w:val="00BE61DF"/>
    <w:rsid w:val="00BE66B7"/>
    <w:rsid w:val="00BF09F1"/>
    <w:rsid w:val="00BF4193"/>
    <w:rsid w:val="00BF6E1D"/>
    <w:rsid w:val="00C15E3C"/>
    <w:rsid w:val="00C363F1"/>
    <w:rsid w:val="00C42284"/>
    <w:rsid w:val="00C43483"/>
    <w:rsid w:val="00C522A0"/>
    <w:rsid w:val="00C579C4"/>
    <w:rsid w:val="00C75AAD"/>
    <w:rsid w:val="00C767C9"/>
    <w:rsid w:val="00C83489"/>
    <w:rsid w:val="00C858BC"/>
    <w:rsid w:val="00C87141"/>
    <w:rsid w:val="00CA1FC1"/>
    <w:rsid w:val="00CB22E5"/>
    <w:rsid w:val="00CC12B3"/>
    <w:rsid w:val="00CC49D8"/>
    <w:rsid w:val="00CD3DEE"/>
    <w:rsid w:val="00CD4867"/>
    <w:rsid w:val="00CE7983"/>
    <w:rsid w:val="00CF1C8B"/>
    <w:rsid w:val="00D06D2C"/>
    <w:rsid w:val="00D1347A"/>
    <w:rsid w:val="00D1365F"/>
    <w:rsid w:val="00D21AC2"/>
    <w:rsid w:val="00D26AB0"/>
    <w:rsid w:val="00D35FA2"/>
    <w:rsid w:val="00D466CE"/>
    <w:rsid w:val="00D54C9C"/>
    <w:rsid w:val="00D569EE"/>
    <w:rsid w:val="00D83F20"/>
    <w:rsid w:val="00D846E8"/>
    <w:rsid w:val="00D869DF"/>
    <w:rsid w:val="00D92C97"/>
    <w:rsid w:val="00D932F3"/>
    <w:rsid w:val="00DA072F"/>
    <w:rsid w:val="00DA58B5"/>
    <w:rsid w:val="00DB1641"/>
    <w:rsid w:val="00DB1779"/>
    <w:rsid w:val="00DB4E41"/>
    <w:rsid w:val="00DB52A1"/>
    <w:rsid w:val="00DB5B10"/>
    <w:rsid w:val="00DC34FB"/>
    <w:rsid w:val="00DC3AEF"/>
    <w:rsid w:val="00DC75BF"/>
    <w:rsid w:val="00DD5EF8"/>
    <w:rsid w:val="00DD61EA"/>
    <w:rsid w:val="00DD7A57"/>
    <w:rsid w:val="00DE16D4"/>
    <w:rsid w:val="00DE2773"/>
    <w:rsid w:val="00DE7761"/>
    <w:rsid w:val="00DF4775"/>
    <w:rsid w:val="00E0140C"/>
    <w:rsid w:val="00E02085"/>
    <w:rsid w:val="00E11648"/>
    <w:rsid w:val="00E40746"/>
    <w:rsid w:val="00E537B2"/>
    <w:rsid w:val="00E54953"/>
    <w:rsid w:val="00E6039C"/>
    <w:rsid w:val="00E62335"/>
    <w:rsid w:val="00E65AB8"/>
    <w:rsid w:val="00E66F84"/>
    <w:rsid w:val="00E87F0F"/>
    <w:rsid w:val="00E900E9"/>
    <w:rsid w:val="00EA46E2"/>
    <w:rsid w:val="00EB74CB"/>
    <w:rsid w:val="00EC0127"/>
    <w:rsid w:val="00EC1BD9"/>
    <w:rsid w:val="00EC3094"/>
    <w:rsid w:val="00EC5474"/>
    <w:rsid w:val="00EC7E30"/>
    <w:rsid w:val="00ED564D"/>
    <w:rsid w:val="00EE3078"/>
    <w:rsid w:val="00EE4BDB"/>
    <w:rsid w:val="00F03D61"/>
    <w:rsid w:val="00F10699"/>
    <w:rsid w:val="00F13BFE"/>
    <w:rsid w:val="00F17954"/>
    <w:rsid w:val="00F30B6C"/>
    <w:rsid w:val="00F33905"/>
    <w:rsid w:val="00F350C6"/>
    <w:rsid w:val="00F360FE"/>
    <w:rsid w:val="00F36869"/>
    <w:rsid w:val="00F37073"/>
    <w:rsid w:val="00F46071"/>
    <w:rsid w:val="00F46EFB"/>
    <w:rsid w:val="00F5576A"/>
    <w:rsid w:val="00F702B8"/>
    <w:rsid w:val="00F72211"/>
    <w:rsid w:val="00F72272"/>
    <w:rsid w:val="00F8110C"/>
    <w:rsid w:val="00F845EC"/>
    <w:rsid w:val="00F912BE"/>
    <w:rsid w:val="00F91B34"/>
    <w:rsid w:val="00FB12D2"/>
    <w:rsid w:val="00FB1378"/>
    <w:rsid w:val="00FC5A87"/>
    <w:rsid w:val="00FC6B75"/>
    <w:rsid w:val="00FD30B7"/>
    <w:rsid w:val="00FD4992"/>
    <w:rsid w:val="00FD607F"/>
    <w:rsid w:val="00FD64E5"/>
    <w:rsid w:val="00FE228E"/>
    <w:rsid w:val="00FF5567"/>
    <w:rsid w:val="0CEE62E9"/>
    <w:rsid w:val="10143155"/>
    <w:rsid w:val="116114EB"/>
    <w:rsid w:val="17252940"/>
    <w:rsid w:val="18DF7793"/>
    <w:rsid w:val="197B5DCD"/>
    <w:rsid w:val="28687287"/>
    <w:rsid w:val="2F3573CF"/>
    <w:rsid w:val="30DC3BF6"/>
    <w:rsid w:val="31A74F48"/>
    <w:rsid w:val="33576819"/>
    <w:rsid w:val="37A00A31"/>
    <w:rsid w:val="39674E9F"/>
    <w:rsid w:val="3CD56098"/>
    <w:rsid w:val="3FC544D7"/>
    <w:rsid w:val="41FD2F74"/>
    <w:rsid w:val="44460B4F"/>
    <w:rsid w:val="446521FA"/>
    <w:rsid w:val="4A367DC6"/>
    <w:rsid w:val="51852652"/>
    <w:rsid w:val="5BE13F3E"/>
    <w:rsid w:val="603A6BEF"/>
    <w:rsid w:val="663D530E"/>
    <w:rsid w:val="67803E51"/>
    <w:rsid w:val="707A1AB0"/>
    <w:rsid w:val="7481619E"/>
    <w:rsid w:val="7587012F"/>
    <w:rsid w:val="79F949BB"/>
    <w:rsid w:val="7C737183"/>
    <w:rsid w:val="7DFD3A6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ocked="1"/>
    <w:lsdException w:qFormat="1" w:unhideWhenUsed="0" w:uiPriority="20" w:semiHidden="0" w:name="Emphasis" w:locked="1"/>
    <w:lsdException w:qFormat="1" w:unhideWhenUsed="0"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宋体" w:cs="等线"/>
      <w:kern w:val="2"/>
      <w:sz w:val="24"/>
      <w:szCs w:val="24"/>
      <w:lang w:val="en-US" w:eastAsia="zh-CN" w:bidi="ar-SA"/>
    </w:rPr>
  </w:style>
  <w:style w:type="paragraph" w:styleId="2">
    <w:name w:val="heading 1"/>
    <w:basedOn w:val="1"/>
    <w:next w:val="1"/>
    <w:link w:val="18"/>
    <w:qFormat/>
    <w:uiPriority w:val="99"/>
    <w:pPr>
      <w:keepNext/>
      <w:keepLines/>
      <w:snapToGrid w:val="0"/>
      <w:spacing w:line="360" w:lineRule="auto"/>
      <w:ind w:firstLine="640" w:firstLineChars="200"/>
      <w:jc w:val="left"/>
      <w:outlineLvl w:val="0"/>
    </w:pPr>
    <w:rPr>
      <w:rFonts w:ascii="黑体" w:hAnsi="黑体" w:eastAsia="黑体" w:cs="黑体"/>
      <w:kern w:val="44"/>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3">
    <w:name w:val="Document Map"/>
    <w:basedOn w:val="1"/>
    <w:link w:val="32"/>
    <w:semiHidden/>
    <w:qFormat/>
    <w:uiPriority w:val="99"/>
    <w:rPr>
      <w:rFonts w:ascii="宋体" w:cs="宋体"/>
      <w:sz w:val="18"/>
      <w:szCs w:val="18"/>
    </w:rPr>
  </w:style>
  <w:style w:type="paragraph" w:styleId="4">
    <w:name w:val="annotation text"/>
    <w:basedOn w:val="1"/>
    <w:link w:val="19"/>
    <w:semiHidden/>
    <w:qFormat/>
    <w:uiPriority w:val="99"/>
    <w:pPr>
      <w:jc w:val="left"/>
    </w:pPr>
  </w:style>
  <w:style w:type="paragraph" w:styleId="5">
    <w:name w:val="Body Text Indent"/>
    <w:basedOn w:val="1"/>
    <w:link w:val="21"/>
    <w:qFormat/>
    <w:uiPriority w:val="99"/>
    <w:pPr>
      <w:widowControl/>
      <w:ind w:firstLine="675"/>
    </w:pPr>
    <w:rPr>
      <w:sz w:val="28"/>
      <w:szCs w:val="28"/>
    </w:rPr>
  </w:style>
  <w:style w:type="paragraph" w:styleId="6">
    <w:name w:val="Balloon Text"/>
    <w:basedOn w:val="1"/>
    <w:link w:val="22"/>
    <w:semiHidden/>
    <w:qFormat/>
    <w:uiPriority w:val="99"/>
    <w:rPr>
      <w:sz w:val="18"/>
      <w:szCs w:val="18"/>
    </w:rPr>
  </w:style>
  <w:style w:type="paragraph" w:styleId="7">
    <w:name w:val="footer"/>
    <w:basedOn w:val="1"/>
    <w:link w:val="23"/>
    <w:qFormat/>
    <w:uiPriority w:val="99"/>
    <w:pPr>
      <w:tabs>
        <w:tab w:val="center" w:pos="4153"/>
        <w:tab w:val="right" w:pos="8306"/>
      </w:tabs>
      <w:snapToGrid w:val="0"/>
      <w:jc w:val="left"/>
    </w:pPr>
    <w:rPr>
      <w:sz w:val="18"/>
      <w:szCs w:val="18"/>
    </w:rPr>
  </w:style>
  <w:style w:type="paragraph" w:styleId="8">
    <w:name w:val="header"/>
    <w:basedOn w:val="1"/>
    <w:link w:val="24"/>
    <w:qFormat/>
    <w:uiPriority w:val="99"/>
    <w:pPr>
      <w:pBdr>
        <w:bottom w:val="single" w:color="auto" w:sz="6" w:space="1"/>
      </w:pBdr>
      <w:tabs>
        <w:tab w:val="center" w:pos="4153"/>
        <w:tab w:val="right" w:pos="8306"/>
      </w:tabs>
      <w:snapToGrid w:val="0"/>
      <w:jc w:val="center"/>
    </w:pPr>
    <w:rPr>
      <w:sz w:val="18"/>
      <w:szCs w:val="18"/>
    </w:rPr>
  </w:style>
  <w:style w:type="paragraph" w:styleId="9">
    <w:name w:val="Title"/>
    <w:basedOn w:val="1"/>
    <w:next w:val="1"/>
    <w:link w:val="25"/>
    <w:qFormat/>
    <w:uiPriority w:val="99"/>
    <w:pPr>
      <w:ind w:left="-120" w:leftChars="-50" w:right="-120" w:rightChars="-50"/>
      <w:jc w:val="center"/>
    </w:pPr>
    <w:rPr>
      <w:sz w:val="18"/>
      <w:szCs w:val="18"/>
    </w:rPr>
  </w:style>
  <w:style w:type="paragraph" w:styleId="10">
    <w:name w:val="annotation subject"/>
    <w:basedOn w:val="4"/>
    <w:next w:val="4"/>
    <w:link w:val="20"/>
    <w:semiHidden/>
    <w:qFormat/>
    <w:uiPriority w:val="99"/>
    <w:rPr>
      <w:b/>
      <w:bCs/>
    </w:rPr>
  </w:style>
  <w:style w:type="table" w:styleId="12">
    <w:name w:val="Table Grid"/>
    <w:basedOn w:val="11"/>
    <w:qFormat/>
    <w:uiPriority w:val="99"/>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page number"/>
    <w:basedOn w:val="13"/>
    <w:qFormat/>
    <w:uiPriority w:val="99"/>
  </w:style>
  <w:style w:type="character" w:styleId="15">
    <w:name w:val="Emphasis"/>
    <w:basedOn w:val="13"/>
    <w:qFormat/>
    <w:locked/>
    <w:uiPriority w:val="20"/>
    <w:rPr>
      <w:i/>
      <w:iCs/>
    </w:rPr>
  </w:style>
  <w:style w:type="character" w:styleId="16">
    <w:name w:val="Hyperlink"/>
    <w:basedOn w:val="13"/>
    <w:semiHidden/>
    <w:unhideWhenUsed/>
    <w:qFormat/>
    <w:uiPriority w:val="99"/>
    <w:rPr>
      <w:color w:val="0000FF"/>
      <w:u w:val="single"/>
    </w:rPr>
  </w:style>
  <w:style w:type="character" w:styleId="17">
    <w:name w:val="annotation reference"/>
    <w:basedOn w:val="13"/>
    <w:semiHidden/>
    <w:qFormat/>
    <w:uiPriority w:val="99"/>
    <w:rPr>
      <w:sz w:val="21"/>
      <w:szCs w:val="21"/>
    </w:rPr>
  </w:style>
  <w:style w:type="character" w:customStyle="1" w:styleId="18">
    <w:name w:val="标题 1 Char"/>
    <w:basedOn w:val="13"/>
    <w:link w:val="2"/>
    <w:qFormat/>
    <w:locked/>
    <w:uiPriority w:val="99"/>
    <w:rPr>
      <w:rFonts w:ascii="黑体" w:hAnsi="黑体" w:eastAsia="黑体" w:cs="黑体"/>
      <w:kern w:val="44"/>
      <w:sz w:val="32"/>
      <w:szCs w:val="32"/>
    </w:rPr>
  </w:style>
  <w:style w:type="character" w:customStyle="1" w:styleId="19">
    <w:name w:val="批注文字 Char"/>
    <w:basedOn w:val="13"/>
    <w:link w:val="4"/>
    <w:semiHidden/>
    <w:qFormat/>
    <w:locked/>
    <w:uiPriority w:val="99"/>
    <w:rPr>
      <w:kern w:val="2"/>
      <w:sz w:val="22"/>
      <w:szCs w:val="22"/>
    </w:rPr>
  </w:style>
  <w:style w:type="character" w:customStyle="1" w:styleId="20">
    <w:name w:val="批注主题 Char"/>
    <w:basedOn w:val="19"/>
    <w:link w:val="10"/>
    <w:semiHidden/>
    <w:qFormat/>
    <w:locked/>
    <w:uiPriority w:val="99"/>
    <w:rPr>
      <w:b/>
      <w:bCs/>
    </w:rPr>
  </w:style>
  <w:style w:type="character" w:customStyle="1" w:styleId="21">
    <w:name w:val="正文文本缩进 Char"/>
    <w:basedOn w:val="13"/>
    <w:link w:val="5"/>
    <w:qFormat/>
    <w:locked/>
    <w:uiPriority w:val="99"/>
    <w:rPr>
      <w:rFonts w:eastAsia="宋体"/>
      <w:sz w:val="28"/>
      <w:szCs w:val="28"/>
    </w:rPr>
  </w:style>
  <w:style w:type="character" w:customStyle="1" w:styleId="22">
    <w:name w:val="批注框文本 Char"/>
    <w:basedOn w:val="13"/>
    <w:link w:val="6"/>
    <w:semiHidden/>
    <w:qFormat/>
    <w:locked/>
    <w:uiPriority w:val="99"/>
    <w:rPr>
      <w:sz w:val="18"/>
      <w:szCs w:val="18"/>
    </w:rPr>
  </w:style>
  <w:style w:type="character" w:customStyle="1" w:styleId="23">
    <w:name w:val="页脚 Char"/>
    <w:basedOn w:val="13"/>
    <w:link w:val="7"/>
    <w:qFormat/>
    <w:locked/>
    <w:uiPriority w:val="99"/>
    <w:rPr>
      <w:sz w:val="18"/>
      <w:szCs w:val="18"/>
    </w:rPr>
  </w:style>
  <w:style w:type="character" w:customStyle="1" w:styleId="24">
    <w:name w:val="页眉 Char"/>
    <w:basedOn w:val="13"/>
    <w:link w:val="8"/>
    <w:qFormat/>
    <w:locked/>
    <w:uiPriority w:val="99"/>
    <w:rPr>
      <w:sz w:val="18"/>
      <w:szCs w:val="18"/>
    </w:rPr>
  </w:style>
  <w:style w:type="character" w:customStyle="1" w:styleId="25">
    <w:name w:val="标题 Char"/>
    <w:basedOn w:val="13"/>
    <w:link w:val="9"/>
    <w:qFormat/>
    <w:uiPriority w:val="10"/>
    <w:rPr>
      <w:rFonts w:ascii="Cambria" w:hAnsi="Cambria" w:eastAsia="宋体" w:cs="Times New Roman"/>
      <w:b/>
      <w:bCs/>
      <w:sz w:val="32"/>
      <w:szCs w:val="32"/>
    </w:rPr>
  </w:style>
  <w:style w:type="paragraph" w:customStyle="1" w:styleId="26">
    <w:name w:val="正文1"/>
    <w:basedOn w:val="1"/>
    <w:qFormat/>
    <w:uiPriority w:val="99"/>
    <w:pPr>
      <w:adjustRightInd w:val="0"/>
      <w:snapToGrid w:val="0"/>
      <w:spacing w:line="360" w:lineRule="auto"/>
      <w:ind w:firstLine="200" w:firstLineChars="200"/>
    </w:pPr>
    <w:rPr>
      <w:rFonts w:ascii="Times New Roman" w:hAnsi="Times New Roman" w:cs="Times New Roman"/>
    </w:rPr>
  </w:style>
  <w:style w:type="paragraph" w:styleId="27">
    <w:name w:val="No Spacing"/>
    <w:basedOn w:val="1"/>
    <w:link w:val="28"/>
    <w:qFormat/>
    <w:uiPriority w:val="99"/>
    <w:pPr>
      <w:adjustRightInd w:val="0"/>
      <w:snapToGrid w:val="0"/>
      <w:jc w:val="center"/>
    </w:pPr>
    <w:rPr>
      <w:rFonts w:ascii="Times New Roman" w:hAnsi="Times New Roman" w:cs="Times New Roman"/>
      <w:kern w:val="0"/>
    </w:rPr>
  </w:style>
  <w:style w:type="character" w:customStyle="1" w:styleId="28">
    <w:name w:val="无间隔 Char"/>
    <w:link w:val="27"/>
    <w:qFormat/>
    <w:locked/>
    <w:uiPriority w:val="99"/>
    <w:rPr>
      <w:rFonts w:ascii="Times New Roman" w:hAnsi="Times New Roman" w:eastAsia="宋体" w:cs="Times New Roman"/>
      <w:sz w:val="24"/>
      <w:szCs w:val="24"/>
    </w:rPr>
  </w:style>
  <w:style w:type="paragraph" w:styleId="29">
    <w:name w:val="List Paragraph"/>
    <w:basedOn w:val="1"/>
    <w:qFormat/>
    <w:uiPriority w:val="99"/>
    <w:pPr>
      <w:ind w:firstLine="420" w:firstLineChars="200"/>
    </w:pPr>
  </w:style>
  <w:style w:type="character" w:customStyle="1" w:styleId="30">
    <w:name w:val="wj样式 Char"/>
    <w:link w:val="31"/>
    <w:qFormat/>
    <w:locked/>
    <w:uiPriority w:val="99"/>
    <w:rPr>
      <w:rFonts w:eastAsia="宋体"/>
      <w:spacing w:val="14"/>
      <w:sz w:val="24"/>
      <w:szCs w:val="24"/>
    </w:rPr>
  </w:style>
  <w:style w:type="paragraph" w:customStyle="1" w:styleId="31">
    <w:name w:val="wj样式"/>
    <w:basedOn w:val="1"/>
    <w:next w:val="1"/>
    <w:link w:val="30"/>
    <w:qFormat/>
    <w:uiPriority w:val="99"/>
    <w:pPr>
      <w:spacing w:line="360" w:lineRule="auto"/>
      <w:ind w:firstLine="200" w:firstLineChars="200"/>
    </w:pPr>
    <w:rPr>
      <w:rFonts w:cs="Times New Roman"/>
      <w:spacing w:val="14"/>
      <w:kern w:val="0"/>
    </w:rPr>
  </w:style>
  <w:style w:type="character" w:customStyle="1" w:styleId="32">
    <w:name w:val="文档结构图 Char"/>
    <w:basedOn w:val="13"/>
    <w:link w:val="3"/>
    <w:semiHidden/>
    <w:qFormat/>
    <w:locked/>
    <w:uiPriority w:val="99"/>
    <w:rPr>
      <w:rFonts w:ascii="宋体" w:eastAsia="宋体" w:cs="宋体"/>
      <w:kern w:val="2"/>
      <w:sz w:val="18"/>
      <w:szCs w:val="18"/>
    </w:rPr>
  </w:style>
  <w:style w:type="paragraph" w:customStyle="1" w:styleId="33">
    <w:name w:val="文章"/>
    <w:qFormat/>
    <w:uiPriority w:val="0"/>
    <w:pPr>
      <w:spacing w:line="360" w:lineRule="auto"/>
      <w:ind w:firstLine="200" w:firstLineChars="200"/>
      <w:jc w:val="both"/>
    </w:pPr>
    <w:rPr>
      <w:rFonts w:ascii="Century Gothic" w:hAnsi="Century Gothic" w:eastAsia="宋体" w:cs="Times New Roman"/>
      <w:kern w:val="2"/>
      <w:sz w:val="26"/>
      <w:szCs w:val="26"/>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JDC</Company>
  <Pages>7</Pages>
  <Words>2402</Words>
  <Characters>2688</Characters>
  <Lines>20</Lines>
  <Paragraphs>5</Paragraphs>
  <TotalTime>3</TotalTime>
  <ScaleCrop>false</ScaleCrop>
  <LinksUpToDate>false</LinksUpToDate>
  <CharactersWithSpaces>2820</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2023-06-02T08:48:00Z</dcterms:created>
  <dc:creator>thw</dc:creator>
  <cp:lastModifiedBy>Administrator</cp:lastModifiedBy>
  <cp:lastPrinted>2023-07-07T03:37:00Z</cp:lastPrinted>
  <dcterms:modified xsi:type="dcterms:W3CDTF">2023-08-17T04:40:08Z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ICV">
    <vt:lpwstr>F98EE17DAE694509BF0DE4955E71FC9B</vt:lpwstr>
  </property>
</Properties>
</file>