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E7" w:rsidRDefault="00E47564">
      <w:pPr>
        <w:snapToGrid w:val="0"/>
        <w:rPr>
          <w:rFonts w:ascii="Times New Roman" w:eastAsia="方正小标宋_GBK" w:hAnsi="Times New Roman" w:cs="Times New Roman"/>
          <w:snapToGrid w:val="0"/>
          <w:color w:val="FF0000"/>
          <w:kern w:val="0"/>
          <w:sz w:val="44"/>
          <w:szCs w:val="44"/>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-2487930</wp:posOffset>
            </wp:positionH>
            <wp:positionV relativeFrom="paragraph">
              <wp:posOffset>702310</wp:posOffset>
            </wp:positionV>
            <wp:extent cx="10693400" cy="7539355"/>
            <wp:effectExtent l="0" t="0" r="4445"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rot="16200000">
                      <a:off x="0" y="0"/>
                      <a:ext cx="10693400" cy="7539355"/>
                    </a:xfrm>
                    <a:prstGeom prst="rect">
                      <a:avLst/>
                    </a:prstGeom>
                    <a:noFill/>
                    <a:ln>
                      <a:noFill/>
                    </a:ln>
                  </pic:spPr>
                </pic:pic>
              </a:graphicData>
            </a:graphic>
          </wp:anchor>
        </w:drawing>
      </w:r>
    </w:p>
    <w:p w:rsidR="002E3CE7" w:rsidRDefault="002E3CE7">
      <w:pPr>
        <w:outlineLvl w:val="0"/>
        <w:rPr>
          <w:rFonts w:ascii="Times New Roman" w:hAnsi="Times New Roman" w:cs="Times New Roman"/>
          <w:b/>
          <w:sz w:val="32"/>
          <w:szCs w:val="32"/>
        </w:rPr>
        <w:sectPr w:rsidR="002E3CE7">
          <w:headerReference w:type="default" r:id="rId10"/>
          <w:footerReference w:type="default" r:id="rId11"/>
          <w:pgSz w:w="11906" w:h="16838"/>
          <w:pgMar w:top="1440" w:right="1800" w:bottom="1440" w:left="1800" w:header="851" w:footer="992" w:gutter="0"/>
          <w:pgNumType w:start="1"/>
          <w:cols w:space="425"/>
          <w:docGrid w:type="lines" w:linePitch="312"/>
        </w:sectPr>
      </w:pPr>
    </w:p>
    <w:p w:rsidR="002E3CE7" w:rsidRDefault="00E47564">
      <w:pPr>
        <w:outlineLvl w:val="0"/>
        <w:rPr>
          <w:rFonts w:ascii="Times New Roman" w:hAnsi="Times New Roman" w:cs="Times New Roman"/>
          <w:b/>
          <w:sz w:val="32"/>
          <w:szCs w:val="32"/>
        </w:rPr>
      </w:pPr>
      <w:r>
        <w:rPr>
          <w:rFonts w:ascii="Times New Roman" w:hAnsi="Times New Roman" w:cs="Times New Roman"/>
          <w:b/>
          <w:sz w:val="32"/>
          <w:szCs w:val="32"/>
        </w:rPr>
        <w:lastRenderedPageBreak/>
        <w:t>一、生产建设项目水土保持设施验收基本情况表</w:t>
      </w:r>
    </w:p>
    <w:tbl>
      <w:tblPr>
        <w:tblStyle w:val="a6"/>
        <w:tblW w:w="8522" w:type="dxa"/>
        <w:tblLayout w:type="fixed"/>
        <w:tblLook w:val="04A0" w:firstRow="1" w:lastRow="0" w:firstColumn="1" w:lastColumn="0" w:noHBand="0" w:noVBand="1"/>
      </w:tblPr>
      <w:tblGrid>
        <w:gridCol w:w="2660"/>
        <w:gridCol w:w="3685"/>
        <w:gridCol w:w="851"/>
        <w:gridCol w:w="1326"/>
      </w:tblGrid>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项目名称</w:t>
            </w:r>
          </w:p>
        </w:tc>
        <w:tc>
          <w:tcPr>
            <w:tcW w:w="3685" w:type="dxa"/>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重庆大足至四川内江高速公路（重庆段）</w:t>
            </w:r>
          </w:p>
        </w:tc>
        <w:tc>
          <w:tcPr>
            <w:tcW w:w="851"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行业类别</w:t>
            </w:r>
          </w:p>
        </w:tc>
        <w:tc>
          <w:tcPr>
            <w:tcW w:w="1326" w:type="dxa"/>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道路</w:t>
            </w:r>
            <w:r>
              <w:rPr>
                <w:rFonts w:ascii="Times New Roman" w:eastAsia="仿宋_GB2312" w:hAnsi="Times New Roman" w:cs="Times New Roman"/>
                <w:sz w:val="24"/>
                <w:szCs w:val="24"/>
              </w:rPr>
              <w:t>工程</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主管部门</w:t>
            </w:r>
          </w:p>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（或主要投资方）</w:t>
            </w:r>
          </w:p>
        </w:tc>
        <w:tc>
          <w:tcPr>
            <w:tcW w:w="3685" w:type="dxa"/>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rPr>
              <w:t>重庆大内高速公路有限公司</w:t>
            </w:r>
          </w:p>
        </w:tc>
        <w:tc>
          <w:tcPr>
            <w:tcW w:w="851"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项目性质</w:t>
            </w:r>
          </w:p>
        </w:tc>
        <w:tc>
          <w:tcPr>
            <w:tcW w:w="1326" w:type="dxa"/>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新建</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水土保持方案批复机关、文号及时间</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rPr>
              <w:t>重庆市水利局</w:t>
            </w:r>
            <w:r>
              <w:rPr>
                <w:rFonts w:ascii="Times New Roman" w:eastAsia="仿宋_GB2312" w:hAnsi="Times New Roman" w:cs="Times New Roman"/>
                <w:sz w:val="24"/>
                <w:szCs w:val="24"/>
              </w:rPr>
              <w:t>，渝水许可〔</w:t>
            </w:r>
            <w:r>
              <w:rPr>
                <w:rFonts w:ascii="Times New Roman" w:eastAsia="仿宋_GB2312" w:hAnsi="Times New Roman" w:cs="Times New Roman"/>
                <w:sz w:val="24"/>
                <w:szCs w:val="24"/>
              </w:rPr>
              <w:t>2018</w:t>
            </w:r>
            <w:r>
              <w:rPr>
                <w:rFonts w:ascii="Times New Roman" w:eastAsia="仿宋_GB2312" w:hAnsi="Times New Roman" w:cs="Times New Roman"/>
                <w:sz w:val="24"/>
                <w:szCs w:val="24"/>
              </w:rPr>
              <w:t>〕</w:t>
            </w:r>
            <w:r>
              <w:rPr>
                <w:rFonts w:ascii="Times New Roman" w:eastAsia="仿宋_GB2312" w:hAnsi="Times New Roman" w:cs="Times New Roman"/>
                <w:sz w:val="24"/>
                <w:szCs w:val="24"/>
              </w:rPr>
              <w:t>117</w:t>
            </w:r>
            <w:r>
              <w:rPr>
                <w:rFonts w:ascii="Times New Roman" w:eastAsia="仿宋_GB2312" w:hAnsi="Times New Roman" w:cs="Times New Roman"/>
                <w:sz w:val="24"/>
                <w:szCs w:val="24"/>
              </w:rPr>
              <w:t>号，</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18</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sz w:val="24"/>
                <w:szCs w:val="24"/>
              </w:rPr>
              <w:t>月</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水土保持方案变更批复机关、文号及时间</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水土保持初步设计批复机关、文号及时间</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重庆市交通</w:t>
            </w:r>
            <w:r>
              <w:rPr>
                <w:rFonts w:ascii="Times New Roman" w:eastAsia="仿宋_GB2312" w:hAnsi="Times New Roman" w:cs="Times New Roman" w:hint="eastAsia"/>
                <w:sz w:val="24"/>
                <w:szCs w:val="24"/>
              </w:rPr>
              <w:t>局，</w:t>
            </w:r>
            <w:proofErr w:type="gramStart"/>
            <w:r>
              <w:rPr>
                <w:rFonts w:ascii="Times New Roman" w:eastAsia="仿宋_GB2312" w:hAnsi="Times New Roman" w:cs="Times New Roman"/>
                <w:sz w:val="24"/>
                <w:szCs w:val="24"/>
              </w:rPr>
              <w:t>渝交路</w:t>
            </w:r>
            <w:proofErr w:type="gramEnd"/>
            <w:r>
              <w:rPr>
                <w:rFonts w:ascii="Times New Roman" w:eastAsia="仿宋_GB2312" w:hAnsi="Times New Roman" w:cs="Times New Roman"/>
                <w:sz w:val="24"/>
                <w:szCs w:val="24"/>
              </w:rPr>
              <w:t>〔</w:t>
            </w:r>
            <w:r>
              <w:rPr>
                <w:rFonts w:ascii="Times New Roman" w:eastAsia="仿宋_GB2312" w:hAnsi="Times New Roman" w:cs="Times New Roman"/>
                <w:sz w:val="24"/>
                <w:szCs w:val="24"/>
              </w:rPr>
              <w:t>2018</w:t>
            </w:r>
            <w:r>
              <w:rPr>
                <w:rFonts w:ascii="Times New Roman" w:eastAsia="仿宋_GB2312" w:hAnsi="Times New Roman" w:cs="Times New Roman"/>
                <w:sz w:val="24"/>
                <w:szCs w:val="24"/>
              </w:rPr>
              <w:t>〕</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号</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201</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hint="eastAsia"/>
                <w:sz w:val="24"/>
                <w:szCs w:val="24"/>
              </w:rPr>
              <w:t>月</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项目建设起止时间</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18</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~202</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12</w:t>
            </w:r>
            <w:r>
              <w:rPr>
                <w:rFonts w:ascii="Times New Roman" w:eastAsia="仿宋_GB2312" w:hAnsi="Times New Roman" w:cs="Times New Roman"/>
                <w:sz w:val="24"/>
                <w:szCs w:val="24"/>
              </w:rPr>
              <w:t>月</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水土保持方案编制单位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山西省交通环境保护中心站</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水土保持初步设计单位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重庆市交通规划勘察设计院</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水土保持监测单位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重庆江禹水利咨询有限公司</w:t>
            </w:r>
          </w:p>
        </w:tc>
      </w:tr>
      <w:tr w:rsidR="002E3CE7">
        <w:trPr>
          <w:trHeight w:val="1077"/>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水土保持施工单位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中铁十七局集团有限公司</w:t>
            </w:r>
          </w:p>
        </w:tc>
      </w:tr>
      <w:tr w:rsidR="002E3CE7">
        <w:trPr>
          <w:trHeight w:val="970"/>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水土保持监理单位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重庆龙翰环保工程有限公司</w:t>
            </w:r>
          </w:p>
          <w:p w:rsidR="002E3CE7" w:rsidRDefault="00E47564">
            <w:pPr>
              <w:adjustRightInd w:val="0"/>
              <w:snapToGrid w:val="0"/>
              <w:spacing w:line="276" w:lineRule="auto"/>
              <w:jc w:val="center"/>
              <w:rPr>
                <w:rFonts w:ascii="Times New Roman" w:eastAsia="仿宋_GB2312" w:hAnsi="Times New Roman" w:cs="Times New Roman"/>
                <w:sz w:val="24"/>
              </w:rPr>
            </w:pPr>
            <w:r>
              <w:rPr>
                <w:rFonts w:ascii="Times New Roman" w:eastAsia="仿宋_GB2312" w:hAnsi="Times New Roman" w:cs="Times New Roman" w:hint="eastAsia"/>
                <w:sz w:val="24"/>
              </w:rPr>
              <w:t>安徽高等级监理有限责任公司</w:t>
            </w:r>
          </w:p>
        </w:tc>
      </w:tr>
      <w:tr w:rsidR="002E3CE7">
        <w:trPr>
          <w:trHeight w:val="970"/>
        </w:trPr>
        <w:tc>
          <w:tcPr>
            <w:tcW w:w="2660" w:type="dxa"/>
            <w:vAlign w:val="center"/>
          </w:tcPr>
          <w:p w:rsidR="002E3CE7" w:rsidRDefault="00E47564">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水土保持设施验收报告编制单位</w:t>
            </w:r>
          </w:p>
        </w:tc>
        <w:tc>
          <w:tcPr>
            <w:tcW w:w="5862" w:type="dxa"/>
            <w:gridSpan w:val="3"/>
            <w:vAlign w:val="center"/>
          </w:tcPr>
          <w:p w:rsidR="002E3CE7" w:rsidRDefault="00E47564">
            <w:pPr>
              <w:adjustRightInd w:val="0"/>
              <w:snapToGrid w:val="0"/>
              <w:spacing w:line="276" w:lineRule="auto"/>
              <w:jc w:val="center"/>
              <w:rPr>
                <w:rFonts w:ascii="Times New Roman" w:eastAsia="仿宋_GB2312" w:hAnsi="Times New Roman" w:cs="Times New Roman"/>
                <w:sz w:val="24"/>
                <w:szCs w:val="24"/>
              </w:rPr>
            </w:pPr>
            <w:r>
              <w:rPr>
                <w:rFonts w:ascii="Times New Roman" w:eastAsia="仿宋_GB2312" w:hAnsi="Times New Roman" w:cs="Times New Roman"/>
                <w:sz w:val="24"/>
              </w:rPr>
              <w:t>重庆龙翰环保工程有限公司</w:t>
            </w:r>
          </w:p>
        </w:tc>
      </w:tr>
    </w:tbl>
    <w:p w:rsidR="002E3CE7" w:rsidRDefault="00E47564">
      <w:pPr>
        <w:outlineLvl w:val="0"/>
        <w:rPr>
          <w:rFonts w:ascii="Times New Roman" w:hAnsi="Times New Roman" w:cs="Times New Roman"/>
          <w:b/>
          <w:sz w:val="32"/>
          <w:szCs w:val="32"/>
        </w:rPr>
      </w:pPr>
      <w:r>
        <w:rPr>
          <w:rFonts w:ascii="Times New Roman" w:hAnsi="Times New Roman" w:cs="Times New Roman"/>
          <w:b/>
          <w:sz w:val="32"/>
          <w:szCs w:val="32"/>
        </w:rPr>
        <w:lastRenderedPageBreak/>
        <w:t>二、验收意见</w:t>
      </w:r>
    </w:p>
    <w:tbl>
      <w:tblPr>
        <w:tblStyle w:val="a6"/>
        <w:tblW w:w="8522" w:type="dxa"/>
        <w:jc w:val="center"/>
        <w:tblLayout w:type="fixed"/>
        <w:tblLook w:val="04A0" w:firstRow="1" w:lastRow="0" w:firstColumn="1" w:lastColumn="0" w:noHBand="0" w:noVBand="1"/>
      </w:tblPr>
      <w:tblGrid>
        <w:gridCol w:w="8522"/>
      </w:tblGrid>
      <w:tr w:rsidR="002E3CE7">
        <w:trPr>
          <w:trHeight w:val="13173"/>
          <w:jc w:val="center"/>
        </w:trPr>
        <w:tc>
          <w:tcPr>
            <w:tcW w:w="8522" w:type="dxa"/>
          </w:tcPr>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根据《重庆市水利局关于转发</w:t>
            </w:r>
            <w:r>
              <w:rPr>
                <w:rFonts w:ascii="Times New Roman" w:eastAsia="仿宋_GB2312" w:hAnsi="Times New Roman" w:cs="Times New Roman"/>
                <w:sz w:val="30"/>
                <w:szCs w:val="30"/>
              </w:rPr>
              <w:t>&lt;</w:t>
            </w:r>
            <w:r>
              <w:rPr>
                <w:rFonts w:ascii="Times New Roman" w:eastAsia="仿宋_GB2312" w:hAnsi="Times New Roman" w:cs="Times New Roman"/>
                <w:sz w:val="30"/>
                <w:szCs w:val="30"/>
              </w:rPr>
              <w:t>水利部关于加强事中事后监管规范生产建设项目水土保持设施自主验收的通知</w:t>
            </w:r>
            <w:r>
              <w:rPr>
                <w:rFonts w:ascii="Times New Roman" w:eastAsia="仿宋_GB2312" w:hAnsi="Times New Roman" w:cs="Times New Roman"/>
                <w:sz w:val="30"/>
                <w:szCs w:val="30"/>
              </w:rPr>
              <w:t>&gt;</w:t>
            </w:r>
            <w:r>
              <w:rPr>
                <w:rFonts w:ascii="Times New Roman" w:eastAsia="仿宋_GB2312" w:hAnsi="Times New Roman" w:cs="Times New Roman"/>
                <w:sz w:val="30"/>
                <w:szCs w:val="30"/>
              </w:rPr>
              <w:t>的通知》（渝水〔</w:t>
            </w:r>
            <w:r>
              <w:rPr>
                <w:rFonts w:ascii="Times New Roman" w:eastAsia="仿宋_GB2312" w:hAnsi="Times New Roman" w:cs="Times New Roman"/>
                <w:sz w:val="30"/>
                <w:szCs w:val="30"/>
              </w:rPr>
              <w:t>2017</w:t>
            </w:r>
            <w:r>
              <w:rPr>
                <w:rFonts w:ascii="Times New Roman" w:eastAsia="仿宋_GB2312" w:hAnsi="Times New Roman" w:cs="Times New Roman"/>
                <w:sz w:val="30"/>
                <w:szCs w:val="30"/>
              </w:rPr>
              <w:t>〕</w:t>
            </w:r>
            <w:r>
              <w:rPr>
                <w:rFonts w:ascii="Times New Roman" w:eastAsia="仿宋_GB2312" w:hAnsi="Times New Roman" w:cs="Times New Roman"/>
                <w:sz w:val="30"/>
                <w:szCs w:val="30"/>
              </w:rPr>
              <w:t>255</w:t>
            </w:r>
            <w:r>
              <w:rPr>
                <w:rFonts w:ascii="Times New Roman" w:eastAsia="仿宋_GB2312" w:hAnsi="Times New Roman" w:cs="Times New Roman"/>
                <w:sz w:val="30"/>
                <w:szCs w:val="30"/>
              </w:rPr>
              <w:t>号）的规定，</w:t>
            </w:r>
            <w:r>
              <w:rPr>
                <w:rFonts w:ascii="Times New Roman" w:eastAsia="仿宋_GB2312" w:hAnsi="Times New Roman" w:cs="Times New Roman" w:hint="eastAsia"/>
                <w:sz w:val="30"/>
                <w:szCs w:val="30"/>
              </w:rPr>
              <w:t>重庆大内高速公路有限公司</w:t>
            </w:r>
            <w:r>
              <w:rPr>
                <w:rFonts w:ascii="Times New Roman" w:eastAsia="仿宋_GB2312" w:hAnsi="Times New Roman" w:cs="Times New Roman"/>
                <w:sz w:val="30"/>
                <w:szCs w:val="30"/>
              </w:rPr>
              <w:t>于</w:t>
            </w:r>
            <w:r>
              <w:rPr>
                <w:rFonts w:ascii="Times New Roman" w:eastAsia="仿宋_GB2312" w:hAnsi="Times New Roman" w:cs="Times New Roman" w:hint="eastAsia"/>
                <w:sz w:val="30"/>
                <w:szCs w:val="30"/>
              </w:rPr>
              <w:t>2023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18</w:t>
            </w:r>
            <w:r>
              <w:rPr>
                <w:rFonts w:ascii="Times New Roman" w:eastAsia="仿宋_GB2312" w:hAnsi="Times New Roman" w:cs="Times New Roman"/>
                <w:sz w:val="30"/>
                <w:szCs w:val="30"/>
              </w:rPr>
              <w:t>日组织召开了</w:t>
            </w:r>
            <w:r>
              <w:rPr>
                <w:rFonts w:ascii="Times New Roman" w:eastAsia="仿宋_GB2312" w:hAnsi="Times New Roman" w:cs="Times New Roman" w:hint="eastAsia"/>
                <w:sz w:val="30"/>
                <w:szCs w:val="30"/>
              </w:rPr>
              <w:t>重庆大足至四川内江高速公路（重庆段）</w:t>
            </w:r>
            <w:r>
              <w:rPr>
                <w:rFonts w:ascii="Times New Roman" w:eastAsia="仿宋_GB2312" w:hAnsi="Times New Roman" w:cs="Times New Roman"/>
                <w:sz w:val="30"/>
                <w:szCs w:val="30"/>
              </w:rPr>
              <w:t>水土保持设施验收会议。参加会议的有建设单位、设计单位、水土保持方案编制单位、施工单位、监理单位、监测单位、验收报告编制单位的代表以及特邀专家，会议成立了验收组（名单附后）。</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会前，验收组检查了工程现场，查</w:t>
            </w:r>
            <w:r>
              <w:rPr>
                <w:rFonts w:ascii="Times New Roman" w:eastAsia="仿宋_GB2312" w:hAnsi="Times New Roman" w:cs="Times New Roman"/>
                <w:sz w:val="30"/>
                <w:szCs w:val="30"/>
              </w:rPr>
              <w:t>阅了相关技术资料，会中听取了建设单位、施工单位、监理单位、监测单位、验收报告编制单位关于本项目水土保持工作情况的汇报，经质询、讨论，形成水土保持设施验收意见。</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（一）项目概况</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重庆大足至四川内江高速公路（重庆段）位于重庆市大足区。路线走廊总体呈东西走向，项目起点在大足区宝兴镇黄桥村附近与渝蓉高速相接，终点位于</w:t>
            </w:r>
            <w:proofErr w:type="gramStart"/>
            <w:r>
              <w:rPr>
                <w:rFonts w:ascii="Times New Roman" w:eastAsia="仿宋_GB2312" w:hAnsi="Times New Roman" w:cs="Times New Roman" w:hint="eastAsia"/>
                <w:sz w:val="30"/>
                <w:szCs w:val="30"/>
              </w:rPr>
              <w:t>川渝界荣昌</w:t>
            </w:r>
            <w:proofErr w:type="gramEnd"/>
            <w:r>
              <w:rPr>
                <w:rFonts w:ascii="Times New Roman" w:eastAsia="仿宋_GB2312" w:hAnsi="Times New Roman" w:cs="Times New Roman" w:hint="eastAsia"/>
                <w:sz w:val="30"/>
                <w:szCs w:val="30"/>
              </w:rPr>
              <w:t>区清流镇马草村附近，对外交通相对便利。</w:t>
            </w:r>
            <w:r>
              <w:rPr>
                <w:rFonts w:ascii="Times New Roman" w:eastAsia="仿宋_GB2312" w:hAnsi="Times New Roman" w:cs="Times New Roman"/>
                <w:sz w:val="30"/>
                <w:szCs w:val="30"/>
              </w:rPr>
              <w:t>本项目主线长</w:t>
            </w:r>
            <w:r>
              <w:rPr>
                <w:rFonts w:ascii="Times New Roman" w:eastAsia="仿宋_GB2312" w:hAnsi="Times New Roman" w:cs="Times New Roman" w:hint="eastAsia"/>
                <w:sz w:val="30"/>
                <w:szCs w:val="30"/>
              </w:rPr>
              <w:t>31.124</w:t>
            </w:r>
            <w:r>
              <w:rPr>
                <w:rFonts w:ascii="Times New Roman" w:eastAsia="仿宋_GB2312" w:hAnsi="Times New Roman" w:cs="Times New Roman"/>
                <w:sz w:val="30"/>
                <w:szCs w:val="30"/>
              </w:rPr>
              <w:t>km</w:t>
            </w:r>
            <w:r>
              <w:rPr>
                <w:rFonts w:ascii="Times New Roman" w:eastAsia="仿宋_GB2312" w:hAnsi="Times New Roman" w:cs="Times New Roman"/>
                <w:sz w:val="30"/>
                <w:szCs w:val="30"/>
              </w:rPr>
              <w:t>，按双向四车道高速公路建设，路基宽度</w:t>
            </w:r>
            <w:r>
              <w:rPr>
                <w:rFonts w:ascii="Times New Roman" w:eastAsia="仿宋_GB2312" w:hAnsi="Times New Roman" w:cs="Times New Roman"/>
                <w:sz w:val="30"/>
                <w:szCs w:val="30"/>
              </w:rPr>
              <w:t>26.5m</w:t>
            </w:r>
            <w:r>
              <w:rPr>
                <w:rFonts w:ascii="Times New Roman" w:eastAsia="仿宋_GB2312" w:hAnsi="Times New Roman" w:cs="Times New Roman"/>
                <w:sz w:val="30"/>
                <w:szCs w:val="30"/>
              </w:rPr>
              <w:t>，设计车速</w:t>
            </w:r>
            <w:r>
              <w:rPr>
                <w:rFonts w:ascii="Times New Roman" w:eastAsia="仿宋_GB2312" w:hAnsi="Times New Roman" w:cs="Times New Roman"/>
                <w:sz w:val="30"/>
                <w:szCs w:val="30"/>
              </w:rPr>
              <w:t>120km/h</w:t>
            </w:r>
            <w:r>
              <w:rPr>
                <w:rFonts w:ascii="Times New Roman" w:eastAsia="仿宋_GB2312" w:hAnsi="Times New Roman" w:cs="Times New Roman"/>
                <w:sz w:val="30"/>
                <w:szCs w:val="30"/>
              </w:rPr>
              <w:t>，荷载等级公路</w:t>
            </w:r>
            <w:r>
              <w:rPr>
                <w:rFonts w:ascii="Times New Roman" w:eastAsia="仿宋_GB2312" w:hAnsi="Times New Roman" w:cs="Times New Roman"/>
                <w:sz w:val="30"/>
                <w:szCs w:val="30"/>
              </w:rPr>
              <w:t>-I</w:t>
            </w:r>
            <w:r>
              <w:rPr>
                <w:rFonts w:ascii="Times New Roman" w:eastAsia="仿宋_GB2312" w:hAnsi="Times New Roman" w:cs="Times New Roman"/>
                <w:sz w:val="30"/>
                <w:szCs w:val="30"/>
              </w:rPr>
              <w:t>级。设互通式立交</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座、大桥</w:t>
            </w:r>
            <w:r>
              <w:rPr>
                <w:rFonts w:ascii="Times New Roman" w:eastAsia="仿宋_GB2312" w:hAnsi="Times New Roman" w:cs="Times New Roman"/>
                <w:sz w:val="30"/>
                <w:szCs w:val="30"/>
              </w:rPr>
              <w:t>2560m</w:t>
            </w:r>
            <w:r>
              <w:rPr>
                <w:rFonts w:ascii="Times New Roman" w:eastAsia="仿宋_GB2312" w:hAnsi="Times New Roman" w:cs="Times New Roman" w:hint="eastAsia"/>
                <w:sz w:val="30"/>
                <w:szCs w:val="30"/>
              </w:rPr>
              <w:t>/10</w:t>
            </w:r>
            <w:r>
              <w:rPr>
                <w:rFonts w:ascii="Times New Roman" w:eastAsia="仿宋_GB2312" w:hAnsi="Times New Roman" w:cs="Times New Roman"/>
                <w:sz w:val="30"/>
                <w:szCs w:val="30"/>
              </w:rPr>
              <w:t>座、涵洞</w:t>
            </w:r>
            <w:r>
              <w:rPr>
                <w:rFonts w:ascii="Times New Roman" w:eastAsia="仿宋_GB2312" w:hAnsi="Times New Roman" w:cs="Times New Roman"/>
                <w:sz w:val="30"/>
                <w:szCs w:val="30"/>
              </w:rPr>
              <w:t>70</w:t>
            </w:r>
            <w:r>
              <w:rPr>
                <w:rFonts w:ascii="Times New Roman" w:eastAsia="仿宋_GB2312" w:hAnsi="Times New Roman" w:cs="Times New Roman"/>
                <w:sz w:val="30"/>
                <w:szCs w:val="30"/>
              </w:rPr>
              <w:t>道、停车区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处、</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处养护工区、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处管理分中心、</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处省界收费站、</w:t>
            </w:r>
            <w:r>
              <w:rPr>
                <w:rFonts w:ascii="Times New Roman" w:eastAsia="仿宋_GB2312" w:hAnsi="Times New Roman" w:cs="Times New Roman"/>
                <w:sz w:val="30"/>
                <w:szCs w:val="30"/>
              </w:rPr>
              <w:t>4</w:t>
            </w:r>
            <w:r>
              <w:rPr>
                <w:rFonts w:ascii="Times New Roman" w:eastAsia="仿宋_GB2312" w:hAnsi="Times New Roman" w:cs="Times New Roman"/>
                <w:sz w:val="30"/>
                <w:szCs w:val="30"/>
              </w:rPr>
              <w:t>处匝道收费站。本项目占地面积</w:t>
            </w:r>
            <w:r>
              <w:rPr>
                <w:rFonts w:ascii="Times New Roman" w:eastAsia="仿宋_GB2312" w:hAnsi="Times New Roman" w:cs="Times New Roman" w:hint="eastAsia"/>
                <w:sz w:val="30"/>
                <w:szCs w:val="30"/>
              </w:rPr>
              <w:t>276.33</w:t>
            </w:r>
            <w:r>
              <w:rPr>
                <w:rFonts w:ascii="Times New Roman" w:eastAsia="仿宋_GB2312" w:hAnsi="Times New Roman" w:cs="Times New Roman"/>
                <w:sz w:val="30"/>
                <w:szCs w:val="30"/>
              </w:rPr>
              <w:t>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w:t>
            </w:r>
            <w:r>
              <w:rPr>
                <w:rFonts w:ascii="Times New Roman" w:eastAsia="仿宋" w:hAnsi="Times New Roman" w:cs="Times New Roman"/>
                <w:color w:val="000000"/>
                <w:sz w:val="32"/>
                <w:szCs w:val="28"/>
              </w:rPr>
              <w:t>其中永久占地</w:t>
            </w:r>
            <w:r>
              <w:rPr>
                <w:rFonts w:ascii="Times New Roman" w:eastAsia="仿宋" w:hAnsi="Times New Roman" w:cs="Times New Roman" w:hint="eastAsia"/>
                <w:color w:val="000000"/>
                <w:sz w:val="32"/>
                <w:szCs w:val="28"/>
              </w:rPr>
              <w:lastRenderedPageBreak/>
              <w:t>265.55</w:t>
            </w:r>
            <w:r>
              <w:rPr>
                <w:rFonts w:ascii="Times New Roman" w:eastAsia="仿宋" w:hAnsi="Times New Roman" w:cs="Times New Roman"/>
                <w:color w:val="000000"/>
                <w:sz w:val="32"/>
                <w:szCs w:val="28"/>
              </w:rPr>
              <w:t>hm</w:t>
            </w:r>
            <w:r>
              <w:rPr>
                <w:rFonts w:ascii="Times New Roman" w:eastAsia="仿宋" w:hAnsi="Times New Roman" w:cs="Times New Roman"/>
                <w:color w:val="000000"/>
                <w:sz w:val="32"/>
                <w:szCs w:val="28"/>
                <w:vertAlign w:val="superscript"/>
              </w:rPr>
              <w:t>2</w:t>
            </w:r>
            <w:r>
              <w:rPr>
                <w:rFonts w:ascii="Times New Roman" w:eastAsia="仿宋" w:hAnsi="Times New Roman" w:cs="Times New Roman"/>
                <w:color w:val="000000"/>
                <w:sz w:val="32"/>
                <w:szCs w:val="28"/>
              </w:rPr>
              <w:t>，临时占地</w:t>
            </w:r>
            <w:r>
              <w:rPr>
                <w:rFonts w:ascii="Times New Roman" w:eastAsia="仿宋" w:hAnsi="Times New Roman" w:cs="Times New Roman" w:hint="eastAsia"/>
                <w:color w:val="000000"/>
                <w:sz w:val="32"/>
                <w:szCs w:val="28"/>
              </w:rPr>
              <w:t>10.78</w:t>
            </w:r>
            <w:r>
              <w:rPr>
                <w:rFonts w:ascii="Times New Roman" w:eastAsia="仿宋" w:hAnsi="Times New Roman" w:cs="Times New Roman"/>
                <w:color w:val="000000"/>
                <w:sz w:val="32"/>
                <w:szCs w:val="28"/>
              </w:rPr>
              <w:t>hm</w:t>
            </w:r>
            <w:r>
              <w:rPr>
                <w:rFonts w:ascii="Times New Roman" w:eastAsia="仿宋" w:hAnsi="Times New Roman" w:cs="Times New Roman"/>
                <w:color w:val="000000"/>
                <w:sz w:val="32"/>
                <w:szCs w:val="28"/>
                <w:vertAlign w:val="superscript"/>
              </w:rPr>
              <w:t>2</w:t>
            </w:r>
            <w:r>
              <w:rPr>
                <w:rFonts w:ascii="Times New Roman" w:eastAsia="仿宋_GB2312" w:hAnsi="Times New Roman" w:cs="Times New Roman" w:hint="eastAsia"/>
                <w:sz w:val="30"/>
                <w:szCs w:val="30"/>
              </w:rPr>
              <w:t>。项目投资</w:t>
            </w:r>
            <w:r>
              <w:rPr>
                <w:rFonts w:ascii="Times New Roman" w:eastAsia="仿宋_GB2312" w:hAnsi="Times New Roman" w:cs="Times New Roman" w:hint="eastAsia"/>
                <w:sz w:val="30"/>
                <w:szCs w:val="30"/>
              </w:rPr>
              <w:t>32.97</w:t>
            </w:r>
            <w:r>
              <w:rPr>
                <w:rFonts w:ascii="Times New Roman" w:eastAsia="仿宋_GB2312" w:hAnsi="Times New Roman" w:cs="Times New Roman"/>
                <w:sz w:val="30"/>
                <w:szCs w:val="30"/>
              </w:rPr>
              <w:t>亿元，其中土建投资</w:t>
            </w:r>
            <w:r>
              <w:rPr>
                <w:rFonts w:ascii="Times New Roman" w:eastAsia="仿宋_GB2312" w:hAnsi="Times New Roman" w:cs="Times New Roman" w:hint="eastAsia"/>
                <w:sz w:val="30"/>
                <w:szCs w:val="30"/>
              </w:rPr>
              <w:t>22.1</w:t>
            </w:r>
            <w:r>
              <w:rPr>
                <w:rFonts w:ascii="Times New Roman" w:eastAsia="仿宋_GB2312" w:hAnsi="Times New Roman" w:cs="Times New Roman" w:hint="eastAsia"/>
                <w:sz w:val="30"/>
                <w:szCs w:val="30"/>
              </w:rPr>
              <w:t>亿</w:t>
            </w:r>
            <w:r>
              <w:rPr>
                <w:rFonts w:ascii="Times New Roman" w:eastAsia="仿宋_GB2312" w:hAnsi="Times New Roman" w:cs="Times New Roman"/>
                <w:sz w:val="30"/>
                <w:szCs w:val="30"/>
              </w:rPr>
              <w:t>元，工程于</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18</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12</w:t>
            </w:r>
            <w:r>
              <w:rPr>
                <w:rFonts w:ascii="Times New Roman" w:eastAsia="仿宋_GB2312" w:hAnsi="Times New Roman" w:cs="Times New Roman"/>
                <w:sz w:val="30"/>
                <w:szCs w:val="30"/>
              </w:rPr>
              <w:t>月开工，</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月完工，总工期</w:t>
            </w:r>
            <w:r>
              <w:rPr>
                <w:rFonts w:ascii="Times New Roman" w:eastAsia="仿宋_GB2312" w:hAnsi="Times New Roman" w:cs="Times New Roman" w:hint="eastAsia"/>
                <w:sz w:val="30"/>
                <w:szCs w:val="30"/>
              </w:rPr>
              <w:t>36</w:t>
            </w:r>
            <w:r>
              <w:rPr>
                <w:rFonts w:ascii="Times New Roman" w:eastAsia="仿宋_GB2312" w:hAnsi="Times New Roman" w:cs="Times New Roman"/>
                <w:sz w:val="30"/>
                <w:szCs w:val="30"/>
              </w:rPr>
              <w:t>个月。</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（二）水土保持方案批复情况</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2018</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12</w:t>
            </w:r>
            <w:r>
              <w:rPr>
                <w:rFonts w:ascii="Times New Roman" w:eastAsia="仿宋_GB2312" w:hAnsi="Times New Roman" w:cs="Times New Roman"/>
                <w:sz w:val="30"/>
                <w:szCs w:val="30"/>
              </w:rPr>
              <w:t>月，重庆市水利局批复了本项目水土保持方案（渝水许可〔</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18</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117</w:t>
            </w:r>
            <w:r>
              <w:rPr>
                <w:rFonts w:ascii="Times New Roman" w:eastAsia="仿宋_GB2312" w:hAnsi="Times New Roman" w:cs="Times New Roman"/>
                <w:sz w:val="30"/>
                <w:szCs w:val="30"/>
              </w:rPr>
              <w:t>号）。方案批复水土流失防治责任范围面积为</w:t>
            </w:r>
            <w:r>
              <w:rPr>
                <w:rFonts w:ascii="Times New Roman" w:eastAsia="仿宋_GB2312" w:hAnsi="Times New Roman" w:cs="Times New Roman" w:hint="eastAsia"/>
                <w:sz w:val="30"/>
                <w:szCs w:val="30"/>
              </w:rPr>
              <w:t>297.15</w:t>
            </w:r>
            <w:r>
              <w:rPr>
                <w:rFonts w:ascii="Times New Roman" w:eastAsia="仿宋_GB2312" w:hAnsi="Times New Roman" w:cs="Times New Roman"/>
                <w:sz w:val="30"/>
                <w:szCs w:val="30"/>
              </w:rPr>
              <w:t>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，水土流失防治标准执行等级为建设类一级标准，水土保持方案审核静态总投资</w:t>
            </w:r>
            <w:r>
              <w:rPr>
                <w:rFonts w:ascii="Times New Roman" w:eastAsia="仿宋_GB2312" w:hAnsi="Times New Roman" w:cs="Times New Roman" w:hint="eastAsia"/>
                <w:sz w:val="30"/>
                <w:szCs w:val="30"/>
              </w:rPr>
              <w:t>26878.77</w:t>
            </w:r>
            <w:r>
              <w:rPr>
                <w:rFonts w:ascii="Times New Roman" w:eastAsia="仿宋_GB2312" w:hAnsi="Times New Roman" w:cs="Times New Roman"/>
                <w:sz w:val="30"/>
                <w:szCs w:val="30"/>
              </w:rPr>
              <w:t>万元（其中水土保持补偿费</w:t>
            </w:r>
            <w:r>
              <w:rPr>
                <w:rFonts w:ascii="Times New Roman" w:eastAsia="仿宋_GB2312" w:hAnsi="Times New Roman" w:cs="Times New Roman" w:hint="eastAsia"/>
                <w:sz w:val="30"/>
                <w:szCs w:val="30"/>
              </w:rPr>
              <w:t>371.69</w:t>
            </w:r>
            <w:r>
              <w:rPr>
                <w:rFonts w:ascii="Times New Roman" w:eastAsia="仿宋_GB2312" w:hAnsi="Times New Roman" w:cs="Times New Roman"/>
                <w:sz w:val="30"/>
                <w:szCs w:val="30"/>
              </w:rPr>
              <w:t>万元）。</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（三）水土保持初步设计或施工图设计情况</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水土保持方案批复后，</w:t>
            </w:r>
            <w:r>
              <w:rPr>
                <w:rFonts w:ascii="Times New Roman" w:eastAsia="仿宋_GB2312" w:hAnsi="Times New Roman" w:cs="Times New Roman" w:hint="eastAsia"/>
                <w:sz w:val="30"/>
                <w:szCs w:val="30"/>
              </w:rPr>
              <w:t>设计单位</w:t>
            </w:r>
            <w:r>
              <w:rPr>
                <w:rFonts w:ascii="Times New Roman" w:eastAsia="仿宋_GB2312" w:hAnsi="Times New Roman" w:cs="Times New Roman"/>
                <w:sz w:val="30"/>
                <w:szCs w:val="30"/>
              </w:rPr>
              <w:t>将水土保持内容纳入主体施工图设计一并进行设计，出具了排水、</w:t>
            </w:r>
            <w:r>
              <w:rPr>
                <w:rFonts w:ascii="Times New Roman" w:eastAsia="仿宋_GB2312" w:hAnsi="Times New Roman" w:cs="Times New Roman" w:hint="eastAsia"/>
                <w:sz w:val="30"/>
                <w:szCs w:val="30"/>
              </w:rPr>
              <w:t>绿化、</w:t>
            </w:r>
            <w:r>
              <w:rPr>
                <w:rFonts w:ascii="Times New Roman" w:eastAsia="仿宋_GB2312" w:hAnsi="Times New Roman" w:cs="Times New Roman"/>
                <w:sz w:val="30"/>
                <w:szCs w:val="30"/>
              </w:rPr>
              <w:t>边坡防护等水土保持相关图纸</w:t>
            </w:r>
            <w:r>
              <w:rPr>
                <w:rFonts w:ascii="Times New Roman" w:eastAsia="仿宋_GB2312" w:hAnsi="Times New Roman" w:cs="Times New Roman" w:hint="eastAsia"/>
                <w:sz w:val="30"/>
                <w:szCs w:val="30"/>
              </w:rPr>
              <w:t>，施工单位按照施工图施工，设计工作基本满足水土保持施工要求</w:t>
            </w:r>
            <w:r>
              <w:rPr>
                <w:rFonts w:ascii="Times New Roman" w:eastAsia="仿宋_GB2312" w:hAnsi="Times New Roman" w:cs="Times New Roman"/>
                <w:sz w:val="30"/>
                <w:szCs w:val="30"/>
              </w:rPr>
              <w:t>。</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（四）水土保持监测情况</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sz w:val="30"/>
                <w:szCs w:val="30"/>
              </w:rPr>
              <w:t>月，建设单位委托</w:t>
            </w:r>
            <w:r>
              <w:rPr>
                <w:rFonts w:ascii="Times New Roman" w:eastAsia="仿宋_GB2312" w:hAnsi="Times New Roman" w:cs="Times New Roman" w:hint="eastAsia"/>
                <w:sz w:val="30"/>
                <w:szCs w:val="30"/>
              </w:rPr>
              <w:t>重庆江禹水利咨询有限</w:t>
            </w:r>
            <w:r>
              <w:rPr>
                <w:rFonts w:ascii="Times New Roman" w:eastAsia="仿宋_GB2312" w:hAnsi="Times New Roman" w:cs="Times New Roman"/>
                <w:sz w:val="30"/>
                <w:szCs w:val="30"/>
              </w:rPr>
              <w:t>公司开展本项目水土保持监测工作。监测单位按照有关技术规程规范</w:t>
            </w:r>
            <w:r>
              <w:rPr>
                <w:rFonts w:ascii="Times New Roman" w:eastAsia="仿宋_GB2312" w:hAnsi="Times New Roman" w:cs="Times New Roman" w:hint="eastAsia"/>
                <w:sz w:val="30"/>
                <w:szCs w:val="30"/>
              </w:rPr>
              <w:t>标准</w:t>
            </w:r>
            <w:r>
              <w:rPr>
                <w:rFonts w:ascii="Times New Roman" w:eastAsia="仿宋_GB2312" w:hAnsi="Times New Roman" w:cs="Times New Roman"/>
                <w:sz w:val="30"/>
                <w:szCs w:val="30"/>
              </w:rPr>
              <w:t>，组建了监测项目部，通过</w:t>
            </w:r>
            <w:r>
              <w:rPr>
                <w:rFonts w:ascii="Times New Roman" w:eastAsia="仿宋_GB2312" w:hAnsi="Times New Roman" w:cs="Times New Roman"/>
                <w:sz w:val="30"/>
                <w:szCs w:val="30"/>
              </w:rPr>
              <w:t>调查监测、巡查监测、定点监测、无人机航测、遥感监测等方法开展了监测工作</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2022</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月，监测单位</w:t>
            </w:r>
            <w:r>
              <w:rPr>
                <w:rFonts w:ascii="Times New Roman" w:eastAsia="仿宋_GB2312" w:hAnsi="Times New Roman" w:cs="Times New Roman"/>
                <w:sz w:val="30"/>
                <w:szCs w:val="30"/>
              </w:rPr>
              <w:t>通过内</w:t>
            </w:r>
            <w:proofErr w:type="gramStart"/>
            <w:r>
              <w:rPr>
                <w:rFonts w:ascii="Times New Roman" w:eastAsia="仿宋_GB2312" w:hAnsi="Times New Roman" w:cs="Times New Roman"/>
                <w:sz w:val="30"/>
                <w:szCs w:val="30"/>
              </w:rPr>
              <w:t>业处理</w:t>
            </w:r>
            <w:proofErr w:type="gramEnd"/>
            <w:r>
              <w:rPr>
                <w:rFonts w:ascii="Times New Roman" w:eastAsia="仿宋_GB2312" w:hAnsi="Times New Roman" w:cs="Times New Roman"/>
                <w:sz w:val="30"/>
                <w:szCs w:val="30"/>
              </w:rPr>
              <w:t>后编制完成了水土保持监测总结报告。</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监测总结报告主要结论：本项目实施的各项水土保持措施布局合理，防治效果良好，因工程建设造成的水土流失得到了有效</w:t>
            </w:r>
            <w:r>
              <w:rPr>
                <w:rFonts w:ascii="Times New Roman" w:eastAsia="仿宋_GB2312" w:hAnsi="Times New Roman" w:cs="Times New Roman"/>
                <w:sz w:val="30"/>
                <w:szCs w:val="30"/>
              </w:rPr>
              <w:lastRenderedPageBreak/>
              <w:t>控制，水土流失防治达到了</w:t>
            </w:r>
            <w:r>
              <w:rPr>
                <w:rFonts w:ascii="Times New Roman" w:eastAsia="仿宋_GB2312" w:hAnsi="Times New Roman" w:cs="Times New Roman" w:hint="eastAsia"/>
                <w:sz w:val="30"/>
                <w:szCs w:val="30"/>
              </w:rPr>
              <w:t>批复</w:t>
            </w:r>
            <w:r>
              <w:rPr>
                <w:rFonts w:ascii="Times New Roman" w:eastAsia="仿宋_GB2312" w:hAnsi="Times New Roman" w:cs="Times New Roman"/>
                <w:sz w:val="30"/>
                <w:szCs w:val="30"/>
              </w:rPr>
              <w:t>水土保持</w:t>
            </w:r>
            <w:r>
              <w:rPr>
                <w:rFonts w:ascii="Times New Roman" w:eastAsia="仿宋_GB2312" w:hAnsi="Times New Roman" w:cs="Times New Roman" w:hint="eastAsia"/>
                <w:sz w:val="30"/>
                <w:szCs w:val="30"/>
              </w:rPr>
              <w:t>方案</w:t>
            </w:r>
            <w:r>
              <w:rPr>
                <w:rFonts w:ascii="Times New Roman" w:eastAsia="仿宋_GB2312" w:hAnsi="Times New Roman" w:cs="Times New Roman"/>
                <w:sz w:val="30"/>
                <w:szCs w:val="30"/>
              </w:rPr>
              <w:t>设计的一级标准。</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w:t>
            </w:r>
            <w:r>
              <w:rPr>
                <w:rFonts w:ascii="Times New Roman" w:eastAsia="仿宋_GB2312" w:hAnsi="Times New Roman" w:cs="Times New Roman"/>
                <w:sz w:val="30"/>
                <w:szCs w:val="30"/>
              </w:rPr>
              <w:t>）水土保持监</w:t>
            </w:r>
            <w:r>
              <w:rPr>
                <w:rFonts w:ascii="Times New Roman" w:eastAsia="仿宋_GB2312" w:hAnsi="Times New Roman" w:cs="Times New Roman" w:hint="eastAsia"/>
                <w:sz w:val="30"/>
                <w:szCs w:val="30"/>
              </w:rPr>
              <w:t>理</w:t>
            </w:r>
            <w:r>
              <w:rPr>
                <w:rFonts w:ascii="Times New Roman" w:eastAsia="仿宋_GB2312" w:hAnsi="Times New Roman" w:cs="Times New Roman"/>
                <w:sz w:val="30"/>
                <w:szCs w:val="30"/>
              </w:rPr>
              <w:t>情况</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建设单位委托重庆龙翰环保工程有限公司开展本项目水土保持监理工作。监理单位依据水土保持行业监理工作规定和水土保持设施专项验收对监理工作的要求，以批复的水土保持方案为依据，结合工程实</w:t>
            </w:r>
            <w:r>
              <w:rPr>
                <w:rFonts w:ascii="Times New Roman" w:eastAsia="仿宋_GB2312" w:hAnsi="Times New Roman" w:cs="Times New Roman"/>
                <w:sz w:val="30"/>
                <w:szCs w:val="30"/>
              </w:rPr>
              <w:t>际，开展水土保持监理服务工作，按时进行水土保持监理工作。</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月，监理单位编制完成了水土保持监理总结报告</w:t>
            </w:r>
            <w:r>
              <w:rPr>
                <w:rFonts w:ascii="Times New Roman" w:eastAsia="仿宋_GB2312" w:hAnsi="Times New Roman" w:cs="Times New Roman" w:hint="eastAsia"/>
                <w:sz w:val="30"/>
                <w:szCs w:val="30"/>
              </w:rPr>
              <w:t>。</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本项目分部工程、单位工程质量评定由施工单位、监理单位共同完成。经评定：单元工程合格数</w:t>
            </w:r>
            <w:r>
              <w:rPr>
                <w:rFonts w:ascii="Times New Roman" w:eastAsia="仿宋_GB2312" w:hAnsi="Times New Roman" w:cs="Times New Roman" w:hint="eastAsia"/>
                <w:sz w:val="30"/>
                <w:szCs w:val="30"/>
              </w:rPr>
              <w:t>3704</w:t>
            </w:r>
            <w:r>
              <w:rPr>
                <w:rFonts w:ascii="Times New Roman" w:eastAsia="仿宋_GB2312" w:hAnsi="Times New Roman" w:cs="Times New Roman" w:hint="eastAsia"/>
                <w:sz w:val="30"/>
                <w:szCs w:val="30"/>
              </w:rPr>
              <w:t>个，合格率</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，优良</w:t>
            </w:r>
            <w:r>
              <w:rPr>
                <w:rFonts w:ascii="Times New Roman" w:eastAsia="仿宋_GB2312" w:hAnsi="Times New Roman" w:cs="Times New Roman" w:hint="eastAsia"/>
                <w:sz w:val="30"/>
                <w:szCs w:val="30"/>
              </w:rPr>
              <w:t>380</w:t>
            </w:r>
            <w:r>
              <w:rPr>
                <w:rFonts w:ascii="Times New Roman" w:eastAsia="仿宋_GB2312" w:hAnsi="Times New Roman" w:cs="Times New Roman" w:hint="eastAsia"/>
                <w:sz w:val="30"/>
                <w:szCs w:val="30"/>
              </w:rPr>
              <w:t>个，优良率</w:t>
            </w:r>
            <w:r>
              <w:rPr>
                <w:rFonts w:ascii="Times New Roman" w:eastAsia="仿宋_GB2312" w:hAnsi="Times New Roman" w:cs="Times New Roman" w:hint="eastAsia"/>
                <w:sz w:val="30"/>
                <w:szCs w:val="30"/>
              </w:rPr>
              <w:t>10.26%</w:t>
            </w:r>
            <w:r>
              <w:rPr>
                <w:rFonts w:ascii="Times New Roman" w:eastAsia="仿宋_GB2312" w:hAnsi="Times New Roman" w:cs="Times New Roman" w:hint="eastAsia"/>
                <w:sz w:val="30"/>
                <w:szCs w:val="30"/>
              </w:rPr>
              <w:t>；分部工程合格</w:t>
            </w:r>
            <w:r>
              <w:rPr>
                <w:rFonts w:ascii="Times New Roman" w:eastAsia="仿宋_GB2312" w:hAnsi="Times New Roman" w:cs="Times New Roman" w:hint="eastAsia"/>
                <w:sz w:val="30"/>
                <w:szCs w:val="30"/>
              </w:rPr>
              <w:t>12</w:t>
            </w:r>
            <w:r>
              <w:rPr>
                <w:rFonts w:ascii="Times New Roman" w:eastAsia="仿宋_GB2312" w:hAnsi="Times New Roman" w:cs="Times New Roman" w:hint="eastAsia"/>
                <w:sz w:val="30"/>
                <w:szCs w:val="30"/>
              </w:rPr>
              <w:t>个，合格率</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；单位工程合格数</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个，合格率</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。工程总体质量评定等级为合格。</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六</w:t>
            </w:r>
            <w:r>
              <w:rPr>
                <w:rFonts w:ascii="Times New Roman" w:eastAsia="仿宋_GB2312" w:hAnsi="Times New Roman" w:cs="Times New Roman"/>
                <w:sz w:val="30"/>
                <w:szCs w:val="30"/>
              </w:rPr>
              <w:t>）验收报告编制情况和主要结论</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12</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建设单位</w:t>
            </w:r>
            <w:r>
              <w:rPr>
                <w:rFonts w:ascii="Times New Roman" w:eastAsia="仿宋_GB2312" w:hAnsi="Times New Roman" w:cs="Times New Roman"/>
                <w:sz w:val="30"/>
                <w:szCs w:val="30"/>
              </w:rPr>
              <w:t>委托重庆龙翰环保工程有限公司开展本项目水土保持设施验收报告编制</w:t>
            </w:r>
            <w:r>
              <w:rPr>
                <w:rFonts w:ascii="Times New Roman" w:eastAsia="仿宋_GB2312" w:hAnsi="Times New Roman" w:cs="Times New Roman" w:hint="eastAsia"/>
                <w:sz w:val="30"/>
                <w:szCs w:val="30"/>
              </w:rPr>
              <w:t>工作</w:t>
            </w:r>
            <w:r>
              <w:rPr>
                <w:rFonts w:ascii="Times New Roman" w:eastAsia="仿宋_GB2312" w:hAnsi="Times New Roman" w:cs="Times New Roman"/>
                <w:sz w:val="30"/>
                <w:szCs w:val="30"/>
              </w:rPr>
              <w:t>。验收报告编制单位赴现场核查了水土保持设施完成情况并</w:t>
            </w:r>
            <w:r>
              <w:rPr>
                <w:rFonts w:ascii="Times New Roman" w:eastAsia="仿宋_GB2312" w:hAnsi="Times New Roman" w:cs="Times New Roman" w:hint="eastAsia"/>
                <w:sz w:val="30"/>
                <w:szCs w:val="30"/>
              </w:rPr>
              <w:t>收集</w:t>
            </w:r>
            <w:r>
              <w:rPr>
                <w:rFonts w:ascii="Times New Roman" w:eastAsia="仿宋_GB2312" w:hAnsi="Times New Roman" w:cs="Times New Roman"/>
                <w:sz w:val="30"/>
                <w:szCs w:val="30"/>
              </w:rPr>
              <w:t>工程相关资料，通过查阅资料，结合现场实际情况，于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月编制完成了水土保持设施验收报告。</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验收报告主要结论为：建设单位</w:t>
            </w:r>
            <w:r>
              <w:rPr>
                <w:rFonts w:ascii="Times New Roman" w:eastAsia="仿宋_GB2312" w:hAnsi="Times New Roman" w:cs="Times New Roman" w:hint="eastAsia"/>
                <w:sz w:val="30"/>
                <w:szCs w:val="30"/>
              </w:rPr>
              <w:t>在</w:t>
            </w:r>
            <w:r>
              <w:rPr>
                <w:rFonts w:ascii="Times New Roman" w:eastAsia="仿宋_GB2312" w:hAnsi="Times New Roman" w:cs="Times New Roman"/>
                <w:sz w:val="30"/>
                <w:szCs w:val="30"/>
              </w:rPr>
              <w:t>开工前编报了水土保持方案，建设期</w:t>
            </w:r>
            <w:r>
              <w:rPr>
                <w:rFonts w:ascii="Times New Roman" w:eastAsia="仿宋_GB2312" w:hAnsi="Times New Roman" w:cs="Times New Roman" w:hint="eastAsia"/>
                <w:sz w:val="30"/>
                <w:szCs w:val="30"/>
              </w:rPr>
              <w:t>开展</w:t>
            </w:r>
            <w:r>
              <w:rPr>
                <w:rFonts w:ascii="Times New Roman" w:eastAsia="仿宋_GB2312" w:hAnsi="Times New Roman" w:cs="Times New Roman"/>
                <w:sz w:val="30"/>
                <w:szCs w:val="30"/>
              </w:rPr>
              <w:t>了水土保持监测和水土保持监理工作，水土保持档案资料齐全，水土保持设施按要求建成，完成的各项工程质量</w:t>
            </w:r>
            <w:r>
              <w:rPr>
                <w:rFonts w:ascii="Times New Roman" w:eastAsia="仿宋_GB2312" w:hAnsi="Times New Roman" w:cs="Times New Roman"/>
                <w:sz w:val="30"/>
                <w:szCs w:val="30"/>
              </w:rPr>
              <w:lastRenderedPageBreak/>
              <w:t>总体合格</w:t>
            </w:r>
            <w:proofErr w:type="gramStart"/>
            <w:r>
              <w:rPr>
                <w:rFonts w:ascii="Times New Roman" w:eastAsia="仿宋_GB2312" w:hAnsi="Times New Roman" w:cs="Times New Roman"/>
                <w:sz w:val="30"/>
                <w:szCs w:val="30"/>
              </w:rPr>
              <w:t>且正常</w:t>
            </w:r>
            <w:proofErr w:type="gramEnd"/>
            <w:r>
              <w:rPr>
                <w:rFonts w:ascii="Times New Roman" w:eastAsia="仿宋_GB2312" w:hAnsi="Times New Roman" w:cs="Times New Roman"/>
                <w:sz w:val="30"/>
                <w:szCs w:val="30"/>
              </w:rPr>
              <w:t>运行，六项指标达标，水土保持补偿费已按批复金额缴纳，水土保持设施管护责任明确，符合水土保持设施验收条件。</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七</w:t>
            </w:r>
            <w:r>
              <w:rPr>
                <w:rFonts w:ascii="Times New Roman" w:eastAsia="仿宋_GB2312" w:hAnsi="Times New Roman" w:cs="Times New Roman"/>
                <w:sz w:val="30"/>
                <w:szCs w:val="30"/>
              </w:rPr>
              <w:t>）验收结论</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验收组认为：建设单位编报了水土保持方案，缴纳了水土保持设施补</w:t>
            </w:r>
            <w:r>
              <w:rPr>
                <w:rFonts w:ascii="Times New Roman" w:eastAsia="仿宋_GB2312" w:hAnsi="Times New Roman" w:cs="Times New Roman"/>
                <w:sz w:val="30"/>
                <w:szCs w:val="30"/>
              </w:rPr>
              <w:t>偿费，委托相关单位开展了水土保持监理、监测工作，各项措施布局合理，质量总体合格，六项水土流失防治指标达到验收要求，水土保持后续管护责任明确，水土保持设施符合竣工验收条件，同意本项目水土保持设施通过验收。</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八</w:t>
            </w:r>
            <w:r>
              <w:rPr>
                <w:rFonts w:ascii="Times New Roman" w:eastAsia="仿宋_GB2312" w:hAnsi="Times New Roman" w:cs="Times New Roman"/>
                <w:sz w:val="30"/>
                <w:szCs w:val="30"/>
              </w:rPr>
              <w:t>）后续管护要求</w:t>
            </w:r>
          </w:p>
          <w:p w:rsidR="002E3CE7" w:rsidRDefault="00E47564">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水土保持设施验收后，</w:t>
            </w:r>
            <w:r>
              <w:rPr>
                <w:rFonts w:ascii="Times New Roman" w:eastAsia="仿宋_GB2312" w:hAnsi="Times New Roman" w:cs="Times New Roman" w:hint="eastAsia"/>
                <w:sz w:val="30"/>
                <w:szCs w:val="30"/>
              </w:rPr>
              <w:t>营运</w:t>
            </w:r>
            <w:r>
              <w:rPr>
                <w:rFonts w:ascii="Times New Roman" w:eastAsia="仿宋_GB2312" w:hAnsi="Times New Roman" w:cs="Times New Roman"/>
                <w:sz w:val="30"/>
                <w:szCs w:val="30"/>
              </w:rPr>
              <w:t>单位应继续做好现场的定期巡查工作，出现异常情况及时修复，保证水土保持设施正常运行，并进一步加强植物措施的管护。</w:t>
            </w:r>
          </w:p>
          <w:p w:rsidR="002E3CE7" w:rsidRDefault="002E3CE7">
            <w:pPr>
              <w:spacing w:line="360" w:lineRule="auto"/>
              <w:ind w:firstLineChars="400" w:firstLine="1200"/>
              <w:rPr>
                <w:rFonts w:ascii="Times New Roman" w:eastAsia="仿宋_GB2312" w:hAnsi="Times New Roman" w:cs="Times New Roman"/>
                <w:color w:val="FF0000"/>
                <w:sz w:val="30"/>
                <w:szCs w:val="30"/>
              </w:rPr>
            </w:pPr>
          </w:p>
          <w:p w:rsidR="002E3CE7" w:rsidRDefault="002E3CE7">
            <w:pPr>
              <w:snapToGrid w:val="0"/>
              <w:spacing w:line="594" w:lineRule="exact"/>
              <w:ind w:firstLineChars="200" w:firstLine="600"/>
              <w:rPr>
                <w:rFonts w:ascii="Times New Roman" w:eastAsia="仿宋_GB2312" w:hAnsi="Times New Roman" w:cs="Times New Roman"/>
                <w:snapToGrid w:val="0"/>
                <w:color w:val="FF0000"/>
                <w:kern w:val="0"/>
                <w:sz w:val="30"/>
                <w:szCs w:val="30"/>
              </w:rPr>
            </w:pPr>
          </w:p>
        </w:tc>
      </w:tr>
    </w:tbl>
    <w:p w:rsidR="002E3CE7" w:rsidRDefault="002E3CE7">
      <w:pPr>
        <w:rPr>
          <w:rFonts w:ascii="Times New Roman" w:hAnsi="Times New Roman" w:cs="Times New Roman"/>
          <w:color w:val="FF0000"/>
          <w:sz w:val="28"/>
          <w:szCs w:val="28"/>
        </w:rPr>
        <w:sectPr w:rsidR="002E3CE7">
          <w:footerReference w:type="default" r:id="rId12"/>
          <w:pgSz w:w="11906" w:h="16838"/>
          <w:pgMar w:top="1440" w:right="1800" w:bottom="1440" w:left="1800" w:header="851" w:footer="992" w:gutter="0"/>
          <w:pgNumType w:start="1"/>
          <w:cols w:space="425"/>
          <w:docGrid w:type="lines" w:linePitch="312"/>
        </w:sectPr>
      </w:pPr>
    </w:p>
    <w:p w:rsidR="002E3CE7" w:rsidRDefault="00E47564">
      <w:pPr>
        <w:rPr>
          <w:rFonts w:ascii="Times New Roman" w:hAnsi="Times New Roman" w:cs="Times New Roman"/>
          <w:color w:val="FF0000"/>
          <w:sz w:val="28"/>
          <w:szCs w:val="28"/>
        </w:rPr>
      </w:pPr>
      <w:r>
        <w:rPr>
          <w:noProof/>
        </w:rPr>
        <w:lastRenderedPageBreak/>
        <w:drawing>
          <wp:anchor distT="0" distB="0" distL="114300" distR="114300" simplePos="0" relativeHeight="251660288" behindDoc="0" locked="0" layoutInCell="1" allowOverlap="1">
            <wp:simplePos x="0" y="0"/>
            <wp:positionH relativeFrom="column">
              <wp:posOffset>-1143000</wp:posOffset>
            </wp:positionH>
            <wp:positionV relativeFrom="paragraph">
              <wp:posOffset>-914400</wp:posOffset>
            </wp:positionV>
            <wp:extent cx="7543800" cy="10698480"/>
            <wp:effectExtent l="0" t="0" r="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7543800" cy="10698480"/>
                    </a:xfrm>
                    <a:prstGeom prst="rect">
                      <a:avLst/>
                    </a:prstGeom>
                    <a:noFill/>
                    <a:ln>
                      <a:noFill/>
                    </a:ln>
                  </pic:spPr>
                </pic:pic>
              </a:graphicData>
            </a:graphic>
          </wp:anchor>
        </w:drawing>
      </w:r>
    </w:p>
    <w:sectPr w:rsidR="002E3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64" w:rsidRDefault="00E47564">
      <w:r>
        <w:separator/>
      </w:r>
    </w:p>
  </w:endnote>
  <w:endnote w:type="continuationSeparator" w:id="0">
    <w:p w:rsidR="00E47564" w:rsidRDefault="00E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08469"/>
    </w:sdtPr>
    <w:sdtEndPr/>
    <w:sdtContent>
      <w:p w:rsidR="002E3CE7" w:rsidRDefault="00E47564">
        <w:pPr>
          <w:pStyle w:val="a4"/>
          <w:jc w:val="center"/>
        </w:pPr>
        <w:r>
          <w:fldChar w:fldCharType="begin"/>
        </w:r>
        <w:r>
          <w:instrText>PAGE   \* MERGEFORMAT</w:instrText>
        </w:r>
        <w:r>
          <w:fldChar w:fldCharType="separate"/>
        </w:r>
        <w:r w:rsidR="00552841" w:rsidRPr="00552841">
          <w:rPr>
            <w:noProof/>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4191"/>
    </w:sdtPr>
    <w:sdtEndPr/>
    <w:sdtContent>
      <w:p w:rsidR="002E3CE7" w:rsidRDefault="00E47564">
        <w:pPr>
          <w:pStyle w:val="a4"/>
          <w:jc w:val="center"/>
        </w:pPr>
        <w:r>
          <w:fldChar w:fldCharType="begin"/>
        </w:r>
        <w:r>
          <w:instrText>PAGE   \* MERGEFORMAT</w:instrText>
        </w:r>
        <w:r>
          <w:fldChar w:fldCharType="separate"/>
        </w:r>
        <w:r w:rsidR="00552841" w:rsidRPr="0055284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64" w:rsidRDefault="00E47564">
      <w:r>
        <w:separator/>
      </w:r>
    </w:p>
  </w:footnote>
  <w:footnote w:type="continuationSeparator" w:id="0">
    <w:p w:rsidR="00E47564" w:rsidRDefault="00E4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E7" w:rsidRDefault="002E3CE7">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TVjZTI0MDVhNzhlMTdhYTljNzZmMTViYmVhYjUifQ=="/>
  </w:docVars>
  <w:rsids>
    <w:rsidRoot w:val="002B32B2"/>
    <w:rsid w:val="00051E6D"/>
    <w:rsid w:val="00056E6D"/>
    <w:rsid w:val="00073107"/>
    <w:rsid w:val="000838A3"/>
    <w:rsid w:val="0008600A"/>
    <w:rsid w:val="00087365"/>
    <w:rsid w:val="000960FA"/>
    <w:rsid w:val="000B080B"/>
    <w:rsid w:val="000C103B"/>
    <w:rsid w:val="0013101B"/>
    <w:rsid w:val="00131240"/>
    <w:rsid w:val="00141E95"/>
    <w:rsid w:val="00164DB2"/>
    <w:rsid w:val="001E491B"/>
    <w:rsid w:val="001E6FD4"/>
    <w:rsid w:val="001F023C"/>
    <w:rsid w:val="001F525A"/>
    <w:rsid w:val="00210BD2"/>
    <w:rsid w:val="00215CA3"/>
    <w:rsid w:val="002225CF"/>
    <w:rsid w:val="00261F4E"/>
    <w:rsid w:val="002B03C5"/>
    <w:rsid w:val="002B32B2"/>
    <w:rsid w:val="002E397D"/>
    <w:rsid w:val="002E3CE7"/>
    <w:rsid w:val="00305272"/>
    <w:rsid w:val="00365145"/>
    <w:rsid w:val="0038138C"/>
    <w:rsid w:val="003E2781"/>
    <w:rsid w:val="004366AC"/>
    <w:rsid w:val="004379BF"/>
    <w:rsid w:val="004546FA"/>
    <w:rsid w:val="004C33B7"/>
    <w:rsid w:val="00512A2B"/>
    <w:rsid w:val="00520C06"/>
    <w:rsid w:val="00536D96"/>
    <w:rsid w:val="00552841"/>
    <w:rsid w:val="00577FB1"/>
    <w:rsid w:val="005A17AC"/>
    <w:rsid w:val="005A3864"/>
    <w:rsid w:val="005F6959"/>
    <w:rsid w:val="0061486C"/>
    <w:rsid w:val="00642E64"/>
    <w:rsid w:val="00652EB9"/>
    <w:rsid w:val="006B08DE"/>
    <w:rsid w:val="006D0129"/>
    <w:rsid w:val="006E5E8F"/>
    <w:rsid w:val="007375A2"/>
    <w:rsid w:val="007658C8"/>
    <w:rsid w:val="007B7B9D"/>
    <w:rsid w:val="007C3073"/>
    <w:rsid w:val="0081223F"/>
    <w:rsid w:val="00831190"/>
    <w:rsid w:val="008A0ACA"/>
    <w:rsid w:val="008A74B6"/>
    <w:rsid w:val="008B2C8D"/>
    <w:rsid w:val="00907536"/>
    <w:rsid w:val="0092270B"/>
    <w:rsid w:val="00970DD1"/>
    <w:rsid w:val="00975D81"/>
    <w:rsid w:val="00A04E8D"/>
    <w:rsid w:val="00A416B6"/>
    <w:rsid w:val="00A53F62"/>
    <w:rsid w:val="00A76AFE"/>
    <w:rsid w:val="00A94B78"/>
    <w:rsid w:val="00AA28FC"/>
    <w:rsid w:val="00AE4A28"/>
    <w:rsid w:val="00B25AD8"/>
    <w:rsid w:val="00B756BD"/>
    <w:rsid w:val="00BB6E20"/>
    <w:rsid w:val="00BC3D8F"/>
    <w:rsid w:val="00BE7CD6"/>
    <w:rsid w:val="00C0319D"/>
    <w:rsid w:val="00C060CB"/>
    <w:rsid w:val="00C32D87"/>
    <w:rsid w:val="00C71652"/>
    <w:rsid w:val="00C82883"/>
    <w:rsid w:val="00C96A72"/>
    <w:rsid w:val="00D07505"/>
    <w:rsid w:val="00D300C2"/>
    <w:rsid w:val="00D46AB2"/>
    <w:rsid w:val="00D64018"/>
    <w:rsid w:val="00D65243"/>
    <w:rsid w:val="00D77655"/>
    <w:rsid w:val="00DE00DB"/>
    <w:rsid w:val="00DF3607"/>
    <w:rsid w:val="00E27822"/>
    <w:rsid w:val="00E47564"/>
    <w:rsid w:val="00E61F01"/>
    <w:rsid w:val="00E85C59"/>
    <w:rsid w:val="00ED3F3C"/>
    <w:rsid w:val="00F11AB7"/>
    <w:rsid w:val="00F3298E"/>
    <w:rsid w:val="00F54A95"/>
    <w:rsid w:val="00FA66EE"/>
    <w:rsid w:val="00FB0CC6"/>
    <w:rsid w:val="00FD753B"/>
    <w:rsid w:val="00FF4610"/>
    <w:rsid w:val="00FF5435"/>
    <w:rsid w:val="01C073EB"/>
    <w:rsid w:val="066D224F"/>
    <w:rsid w:val="06C66837"/>
    <w:rsid w:val="08AB778F"/>
    <w:rsid w:val="092403B3"/>
    <w:rsid w:val="0B341D8A"/>
    <w:rsid w:val="0C4F5F8B"/>
    <w:rsid w:val="0CE32D3D"/>
    <w:rsid w:val="0DA25D4B"/>
    <w:rsid w:val="0E0B2B5B"/>
    <w:rsid w:val="0E2E0C46"/>
    <w:rsid w:val="15086029"/>
    <w:rsid w:val="15477903"/>
    <w:rsid w:val="174B2FAF"/>
    <w:rsid w:val="1BE62885"/>
    <w:rsid w:val="1C16452A"/>
    <w:rsid w:val="2024582C"/>
    <w:rsid w:val="21463165"/>
    <w:rsid w:val="22E91FFA"/>
    <w:rsid w:val="24275399"/>
    <w:rsid w:val="24311EAA"/>
    <w:rsid w:val="24EC5452"/>
    <w:rsid w:val="26E8081A"/>
    <w:rsid w:val="29510BDD"/>
    <w:rsid w:val="307E03E8"/>
    <w:rsid w:val="33F94067"/>
    <w:rsid w:val="37974A1A"/>
    <w:rsid w:val="38207B5C"/>
    <w:rsid w:val="3CCD42E3"/>
    <w:rsid w:val="3DAA7C32"/>
    <w:rsid w:val="3E1E7DC5"/>
    <w:rsid w:val="3E2B25F7"/>
    <w:rsid w:val="3F542A99"/>
    <w:rsid w:val="4162149D"/>
    <w:rsid w:val="42075BA1"/>
    <w:rsid w:val="445F7FD9"/>
    <w:rsid w:val="480D56A1"/>
    <w:rsid w:val="4BCD6F5E"/>
    <w:rsid w:val="4CC72574"/>
    <w:rsid w:val="51200A2D"/>
    <w:rsid w:val="51A07144"/>
    <w:rsid w:val="54A454D1"/>
    <w:rsid w:val="54DC2EBD"/>
    <w:rsid w:val="56B07988"/>
    <w:rsid w:val="56C500AD"/>
    <w:rsid w:val="57662E8A"/>
    <w:rsid w:val="57CC7EE5"/>
    <w:rsid w:val="58EA4A83"/>
    <w:rsid w:val="5D06090C"/>
    <w:rsid w:val="5D9F112C"/>
    <w:rsid w:val="5DE53AC2"/>
    <w:rsid w:val="603C0CB4"/>
    <w:rsid w:val="60E27AAD"/>
    <w:rsid w:val="61E66461"/>
    <w:rsid w:val="62DF24F6"/>
    <w:rsid w:val="649C7F73"/>
    <w:rsid w:val="651726F6"/>
    <w:rsid w:val="68BB30BE"/>
    <w:rsid w:val="69A206F5"/>
    <w:rsid w:val="6C4E4249"/>
    <w:rsid w:val="6C5F7A5A"/>
    <w:rsid w:val="6E826AF3"/>
    <w:rsid w:val="6F2151F9"/>
    <w:rsid w:val="6F7C731F"/>
    <w:rsid w:val="7010777C"/>
    <w:rsid w:val="72201F9A"/>
    <w:rsid w:val="72C465E5"/>
    <w:rsid w:val="75B44B7D"/>
    <w:rsid w:val="75F15AA2"/>
    <w:rsid w:val="7C0E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22">
    <w:name w:val="样式 样式 非倾斜 蓝色 首行缩进:  2 字符 + 首行缩进:  2 字符"/>
    <w:basedOn w:val="a"/>
    <w:qFormat/>
    <w:pPr>
      <w:spacing w:line="460" w:lineRule="exact"/>
      <w:ind w:firstLineChars="200" w:firstLine="480"/>
      <w:jc w:val="left"/>
    </w:pPr>
    <w:rPr>
      <w:rFonts w:hAnsi="宋体" w:cs="宋体"/>
      <w:color w:val="0000FF"/>
      <w:kern w:val="0"/>
      <w:sz w:val="24"/>
      <w:szCs w:val="20"/>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22">
    <w:name w:val="样式 样式 非倾斜 蓝色 首行缩进:  2 字符 + 首行缩进:  2 字符"/>
    <w:basedOn w:val="a"/>
    <w:qFormat/>
    <w:pPr>
      <w:spacing w:line="460" w:lineRule="exact"/>
      <w:ind w:firstLineChars="200" w:firstLine="480"/>
      <w:jc w:val="left"/>
    </w:pPr>
    <w:rPr>
      <w:rFonts w:hAnsi="宋体" w:cs="宋体"/>
      <w:color w:val="0000FF"/>
      <w:kern w:val="0"/>
      <w:sz w:val="24"/>
      <w:szCs w:val="20"/>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D0786-9B33-43FE-95E4-8C56D864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346</Words>
  <Characters>1976</Characters>
  <Application>Microsoft Office Word</Application>
  <DocSecurity>0</DocSecurity>
  <Lines>16</Lines>
  <Paragraphs>4</Paragraphs>
  <ScaleCrop>false</ScaleCrop>
  <Company>微软中国</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王雄</cp:lastModifiedBy>
  <cp:revision>55</cp:revision>
  <cp:lastPrinted>2023-06-29T09:18:00Z</cp:lastPrinted>
  <dcterms:created xsi:type="dcterms:W3CDTF">2018-04-27T13:07:00Z</dcterms:created>
  <dcterms:modified xsi:type="dcterms:W3CDTF">2023-07-11T08:23:00Z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3C328985AF6945F3B112A6B93A85AA8D_13</vt:lpwstr>
  </property>
</Properties>
</file>