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jc w:val="right"/>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ind w:firstLine="0" w:firstLineChars="0"/>
        <w:jc w:val="both"/>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drawing>
          <wp:inline distT="0" distB="0" distL="114300" distR="114300">
            <wp:extent cx="5268595" cy="7450455"/>
            <wp:effectExtent l="0" t="0" r="8255" b="17145"/>
            <wp:docPr id="3" name="图片 3" descr="20210317-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0317-00028"/>
                    <pic:cNvPicPr>
                      <a:picLocks noChangeAspect="1"/>
                    </pic:cNvPicPr>
                  </pic:nvPicPr>
                  <pic:blipFill>
                    <a:blip r:embed="rId6"/>
                    <a:stretch>
                      <a:fillRect/>
                    </a:stretch>
                  </pic:blipFill>
                  <pic:spPr>
                    <a:xfrm>
                      <a:off x="0" y="0"/>
                      <a:ext cx="5268595" cy="7450455"/>
                    </a:xfrm>
                    <a:prstGeom prst="rect">
                      <a:avLst/>
                    </a:prstGeom>
                  </pic:spPr>
                </pic:pic>
              </a:graphicData>
            </a:graphic>
          </wp:inline>
        </w:drawing>
      </w:r>
      <w:bookmarkStart w:id="0" w:name="_GoBack"/>
      <w:bookmarkEnd w:id="0"/>
    </w:p>
    <w:p>
      <w:pPr>
        <w:rPr>
          <w:rFonts w:ascii="Times New Roman" w:hAnsi="Times New Roman" w:eastAsia="宋体" w:cs="Times New Roman"/>
          <w:color w:val="000000" w:themeColor="text1"/>
          <w14:textFill>
            <w14:solidFill>
              <w14:schemeClr w14:val="tx1"/>
            </w14:solidFill>
          </w14:textFill>
        </w:rPr>
      </w:pPr>
    </w:p>
    <w:p>
      <w:pPr>
        <w:rPr>
          <w:rFonts w:ascii="Times New Roman" w:hAnsi="Times New Roman" w:eastAsia="宋体" w:cs="Times New Roman"/>
          <w:color w:val="000000" w:themeColor="text1"/>
          <w14:textFill>
            <w14:solidFill>
              <w14:schemeClr w14:val="tx1"/>
            </w14:solidFill>
          </w14:textFill>
        </w:rPr>
      </w:pPr>
    </w:p>
    <w:p>
      <w:pPr>
        <w:spacing w:before="156" w:beforeLines="50" w:after="156" w:afterLines="50"/>
        <w:ind w:firstLine="600" w:firstLineChars="200"/>
        <w:rPr>
          <w:rFonts w:ascii="Times New Roman" w:hAnsi="Times New Roman" w:eastAsia="宋体" w:cs="Times New Roman"/>
          <w:b w:val="0"/>
          <w:bCs w:val="0"/>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before="156" w:beforeLines="50" w:after="156" w:afterLines="50"/>
        <w:ind w:firstLine="600" w:firstLineChars="200"/>
        <w:rPr>
          <w:rFonts w:ascii="Times New Roman" w:hAnsi="Times New Roman" w:eastAsia="宋体" w:cs="Times New Roman"/>
          <w:b w:val="0"/>
          <w:bCs w:val="0"/>
          <w:color w:val="000000" w:themeColor="text1"/>
          <w:sz w:val="30"/>
          <w:szCs w:val="30"/>
          <w14:textFill>
            <w14:solidFill>
              <w14:schemeClr w14:val="tx1"/>
            </w14:solidFill>
          </w14:textFill>
        </w:rPr>
      </w:pPr>
      <w:r>
        <w:rPr>
          <w:rFonts w:ascii="Times New Roman" w:hAnsi="Times New Roman" w:eastAsia="宋体" w:cs="Times New Roman"/>
          <w:b w:val="0"/>
          <w:bCs w:val="0"/>
          <w:color w:val="000000" w:themeColor="text1"/>
          <w:sz w:val="30"/>
          <w:szCs w:val="30"/>
          <w14:textFill>
            <w14:solidFill>
              <w14:schemeClr w14:val="tx1"/>
            </w14:solidFill>
          </w14:textFill>
        </w:rPr>
        <w:t>一、生产建设项目水土保持设施验收基本情况表</w:t>
      </w:r>
    </w:p>
    <w:tbl>
      <w:tblPr>
        <w:tblStyle w:val="9"/>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3951"/>
        <w:gridCol w:w="898"/>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3951"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永川污水处理厂三期异地扩建工程</w:t>
            </w:r>
          </w:p>
        </w:tc>
        <w:tc>
          <w:tcPr>
            <w:tcW w:w="89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行业类别</w:t>
            </w:r>
          </w:p>
        </w:tc>
        <w:tc>
          <w:tcPr>
            <w:tcW w:w="9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市政</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主管部门</w:t>
            </w:r>
          </w:p>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（或主要投资方）</w:t>
            </w:r>
          </w:p>
        </w:tc>
        <w:tc>
          <w:tcPr>
            <w:tcW w:w="3951"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主要投资方：重庆市水务资产经营有限公司</w:t>
            </w:r>
          </w:p>
        </w:tc>
        <w:tc>
          <w:tcPr>
            <w:tcW w:w="89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项目性质</w:t>
            </w:r>
          </w:p>
        </w:tc>
        <w:tc>
          <w:tcPr>
            <w:tcW w:w="975"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水土保持方案批复机关、文号及时间</w:t>
            </w:r>
          </w:p>
        </w:tc>
        <w:tc>
          <w:tcPr>
            <w:tcW w:w="5825" w:type="dxa"/>
            <w:gridSpan w:val="3"/>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重庆市水利局</w:t>
            </w:r>
          </w:p>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渝水许可〔2017〕9</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号、2017年8月28日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水土保持方案变更批复机关、文号及时间</w:t>
            </w:r>
          </w:p>
        </w:tc>
        <w:tc>
          <w:tcPr>
            <w:tcW w:w="5825" w:type="dxa"/>
            <w:gridSpan w:val="3"/>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水土保持初步设计批复机关、文号及时间</w:t>
            </w:r>
          </w:p>
        </w:tc>
        <w:tc>
          <w:tcPr>
            <w:tcW w:w="5825" w:type="dxa"/>
            <w:gridSpan w:val="3"/>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项目建设起止时间</w:t>
            </w:r>
          </w:p>
        </w:tc>
        <w:tc>
          <w:tcPr>
            <w:tcW w:w="5825" w:type="dxa"/>
            <w:gridSpan w:val="3"/>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2017年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月～2018年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水土保持方案编制单位</w:t>
            </w:r>
          </w:p>
        </w:tc>
        <w:tc>
          <w:tcPr>
            <w:tcW w:w="5825" w:type="dxa"/>
            <w:gridSpan w:val="3"/>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中煤科工集团重庆设计研究院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水土保持初步设计单位</w:t>
            </w:r>
          </w:p>
        </w:tc>
        <w:tc>
          <w:tcPr>
            <w:tcW w:w="5825" w:type="dxa"/>
            <w:gridSpan w:val="3"/>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中国市政工程中南设计研究总院有限公司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水土保持监测单位</w:t>
            </w:r>
          </w:p>
        </w:tc>
        <w:tc>
          <w:tcPr>
            <w:tcW w:w="5825" w:type="dxa"/>
            <w:gridSpan w:val="3"/>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重庆琼英咨询服务有限公司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水土保持施工单位</w:t>
            </w:r>
          </w:p>
        </w:tc>
        <w:tc>
          <w:tcPr>
            <w:tcW w:w="5825" w:type="dxa"/>
            <w:gridSpan w:val="3"/>
            <w:vAlign w:val="center"/>
          </w:tcPr>
          <w:p>
            <w:pPr>
              <w:ind w:left="120" w:leftChars="57"/>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重庆建工第七建筑工程有限责任公司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水土保持监理单位</w:t>
            </w:r>
          </w:p>
        </w:tc>
        <w:tc>
          <w:tcPr>
            <w:tcW w:w="5825" w:type="dxa"/>
            <w:gridSpan w:val="3"/>
            <w:vAlign w:val="center"/>
          </w:tcPr>
          <w:p>
            <w:pPr>
              <w:ind w:left="120" w:leftChars="57"/>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重庆水务集团公用工程咨询有限公司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2638" w:type="dxa"/>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水土保持设施验收</w:t>
            </w:r>
          </w:p>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报告编制单位</w:t>
            </w:r>
          </w:p>
        </w:tc>
        <w:tc>
          <w:tcPr>
            <w:tcW w:w="5825" w:type="dxa"/>
            <w:gridSpan w:val="3"/>
            <w:vAlign w:val="center"/>
          </w:tcPr>
          <w:p>
            <w:pPr>
              <w:ind w:left="120" w:leftChars="5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重庆琼英咨询服务有限公司</w:t>
            </w:r>
          </w:p>
        </w:tc>
      </w:tr>
    </w:tbl>
    <w:p>
      <w:pPr>
        <w:numPr>
          <w:ilvl w:val="0"/>
          <w:numId w:val="1"/>
        </w:numPr>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验收意见</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关于转发〈水利部关于加强事中事后监管规范生产建设项目水土保持设施自主验收的通知〉的通知》（渝水〔2017〕255号）和《水利部关于进一步深化“放管服”改革全面加强水土保持监管的意见》（水保〔2019〕160号）的规定，项目完工后建设单位应积极自主开展水土保持设施验收工作。</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重庆市水务资产经营有限公司于2020年12月2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日在</w:t>
            </w:r>
            <w:r>
              <w:rPr>
                <w:rFonts w:hint="eastAsia" w:eastAsia="仿宋_GB2312"/>
                <w:color w:val="000000"/>
                <w:sz w:val="24"/>
                <w:lang w:eastAsia="zh-CN"/>
              </w:rPr>
              <w:t>永川污水处理厂三期工程的厂区</w:t>
            </w:r>
            <w:r>
              <w:rPr>
                <w:rFonts w:hint="eastAsia" w:ascii="仿宋_GB2312" w:hAnsi="仿宋_GB2312" w:eastAsia="仿宋_GB2312" w:cs="仿宋_GB2312"/>
                <w:color w:val="auto"/>
                <w:sz w:val="24"/>
                <w:szCs w:val="24"/>
              </w:rPr>
              <w:t>内组织召开了</w:t>
            </w:r>
            <w:r>
              <w:rPr>
                <w:rFonts w:hint="eastAsia" w:ascii="仿宋_GB2312" w:hAnsi="仿宋_GB2312" w:eastAsia="仿宋_GB2312" w:cs="仿宋_GB2312"/>
                <w:color w:val="auto"/>
                <w:sz w:val="24"/>
                <w:szCs w:val="24"/>
                <w:lang w:eastAsia="zh-CN"/>
              </w:rPr>
              <w:t>本项目的</w:t>
            </w:r>
            <w:r>
              <w:rPr>
                <w:rFonts w:hint="eastAsia" w:ascii="仿宋_GB2312" w:hAnsi="仿宋_GB2312" w:eastAsia="仿宋_GB2312" w:cs="仿宋_GB2312"/>
                <w:color w:val="auto"/>
                <w:sz w:val="24"/>
                <w:szCs w:val="24"/>
              </w:rPr>
              <w:t>水土保持设施竣工验收会议。参加会议的单位有：重庆市水务资产经营有限公司（建设单位）、特邀省级水土保持专家、</w:t>
            </w:r>
            <w:r>
              <w:rPr>
                <w:rFonts w:hint="eastAsia" w:ascii="仿宋_GB2312" w:hAnsi="仿宋_GB2312" w:eastAsia="仿宋_GB2312" w:cs="仿宋_GB2312"/>
                <w:color w:val="auto"/>
                <w:sz w:val="24"/>
                <w:szCs w:val="24"/>
                <w:lang w:val="en-US" w:eastAsia="zh-CN"/>
              </w:rPr>
              <w:t>中煤科工集团重庆设计研究院</w:t>
            </w:r>
            <w:r>
              <w:rPr>
                <w:rFonts w:hint="eastAsia" w:ascii="仿宋_GB2312" w:hAnsi="仿宋_GB2312" w:eastAsia="仿宋_GB2312" w:cs="仿宋_GB2312"/>
                <w:color w:val="auto"/>
                <w:sz w:val="24"/>
                <w:szCs w:val="24"/>
              </w:rPr>
              <w:t>（水土保持方案报告编制单位）、</w:t>
            </w:r>
            <w:r>
              <w:rPr>
                <w:rFonts w:hint="eastAsia" w:ascii="仿宋_GB2312" w:hAnsi="仿宋_GB2312" w:eastAsia="仿宋_GB2312" w:cs="仿宋_GB2312"/>
                <w:color w:val="auto"/>
                <w:sz w:val="24"/>
                <w:szCs w:val="24"/>
                <w:lang w:eastAsia="zh-CN"/>
              </w:rPr>
              <w:t>重庆琼英咨询服务有限公司</w:t>
            </w:r>
            <w:r>
              <w:rPr>
                <w:rFonts w:hint="eastAsia" w:ascii="仿宋_GB2312" w:hAnsi="仿宋_GB2312" w:eastAsia="仿宋_GB2312" w:cs="仿宋_GB2312"/>
                <w:color w:val="auto"/>
                <w:sz w:val="24"/>
                <w:szCs w:val="24"/>
              </w:rPr>
              <w:t>（水土保持验收报告编制单位</w:t>
            </w:r>
            <w:r>
              <w:rPr>
                <w:rFonts w:hint="eastAsia" w:ascii="仿宋_GB2312" w:hAnsi="仿宋_GB2312" w:eastAsia="仿宋_GB2312" w:cs="仿宋_GB2312"/>
                <w:color w:val="auto"/>
                <w:sz w:val="24"/>
                <w:szCs w:val="24"/>
                <w:lang w:eastAsia="zh-CN"/>
              </w:rPr>
              <w:t>及水土保持监测单位</w:t>
            </w:r>
            <w:r>
              <w:rPr>
                <w:rFonts w:hint="eastAsia" w:ascii="仿宋_GB2312" w:hAnsi="仿宋_GB2312" w:eastAsia="仿宋_GB2312" w:cs="仿宋_GB2312"/>
                <w:color w:val="auto"/>
                <w:sz w:val="24"/>
                <w:szCs w:val="24"/>
              </w:rPr>
              <w:t>）等代表共</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 xml:space="preserve">人。会议成立了验收小组（名单附后）。验收小组人员察看了工程现场，查阅了水土保持设施验收报告，听取了建设单位、验收报告编制单位等有关人员的汇报. 并就有关问题进行了质问、讨论和认真研究，形成验收意见如下：  </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（一）项目概况</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项目名称：</w:t>
            </w:r>
            <w:r>
              <w:rPr>
                <w:rFonts w:hint="eastAsia" w:ascii="仿宋_GB2312" w:hAnsi="仿宋_GB2312" w:eastAsia="仿宋_GB2312" w:cs="仿宋_GB2312"/>
                <w:sz w:val="24"/>
                <w:szCs w:val="24"/>
                <w:lang w:eastAsia="zh-CN"/>
              </w:rPr>
              <w:t>永川污水处理厂三期异地扩建工程</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建设单位：</w:t>
            </w:r>
            <w:r>
              <w:rPr>
                <w:rFonts w:hint="eastAsia" w:ascii="仿宋_GB2312" w:hAnsi="仿宋_GB2312" w:eastAsia="仿宋_GB2312" w:cs="仿宋_GB2312"/>
                <w:sz w:val="24"/>
                <w:szCs w:val="24"/>
              </w:rPr>
              <w:t>重庆市水务资产经营有限公司</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建设地点：</w:t>
            </w:r>
            <w:r>
              <w:rPr>
                <w:rFonts w:eastAsia="仿宋_GB2312"/>
                <w:color w:val="000000"/>
                <w:sz w:val="24"/>
              </w:rPr>
              <w:t>永川区胜利路街道白庙村</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项目性质：建设类项目</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总投资：工程项目总投资</w:t>
            </w:r>
            <w:r>
              <w:rPr>
                <w:rFonts w:hint="eastAsia" w:ascii="仿宋_GB2312" w:hAnsi="仿宋_GB2312" w:eastAsia="仿宋_GB2312" w:cs="仿宋_GB2312"/>
                <w:color w:val="auto"/>
                <w:sz w:val="24"/>
                <w:szCs w:val="24"/>
                <w:lang w:val="en-US" w:eastAsia="zh-CN"/>
              </w:rPr>
              <w:t>28316.51</w:t>
            </w:r>
            <w:r>
              <w:rPr>
                <w:rFonts w:hint="eastAsia" w:ascii="仿宋_GB2312" w:hAnsi="仿宋_GB2312" w:eastAsia="仿宋_GB2312" w:cs="仿宋_GB2312"/>
                <w:color w:val="auto"/>
                <w:sz w:val="24"/>
                <w:szCs w:val="24"/>
              </w:rPr>
              <w:t>万元，其中土建投资</w:t>
            </w:r>
            <w:r>
              <w:rPr>
                <w:rFonts w:hint="eastAsia" w:ascii="仿宋_GB2312" w:hAnsi="仿宋_GB2312" w:eastAsia="仿宋_GB2312" w:cs="仿宋_GB2312"/>
                <w:color w:val="auto"/>
                <w:sz w:val="24"/>
                <w:szCs w:val="24"/>
                <w:lang w:val="en-US" w:eastAsia="zh-CN"/>
              </w:rPr>
              <w:t>12282.68</w:t>
            </w:r>
            <w:r>
              <w:rPr>
                <w:rFonts w:hint="eastAsia" w:ascii="仿宋_GB2312" w:hAnsi="仿宋_GB2312" w:eastAsia="仿宋_GB2312" w:cs="仿宋_GB2312"/>
                <w:color w:val="auto"/>
                <w:sz w:val="24"/>
                <w:szCs w:val="24"/>
              </w:rPr>
              <w:t xml:space="preserve">万元。 </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建设工期：201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月开工，20</w:t>
            </w:r>
            <w:r>
              <w:rPr>
                <w:rFonts w:hint="eastAsia" w:ascii="仿宋_GB2312" w:hAnsi="仿宋_GB2312" w:eastAsia="仿宋_GB2312" w:cs="仿宋_GB2312"/>
                <w:color w:val="auto"/>
                <w:sz w:val="24"/>
                <w:szCs w:val="24"/>
                <w:lang w:val="en-US" w:eastAsia="zh-CN"/>
              </w:rPr>
              <w:t>18</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月完工，建设工期12个月。</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eastAsia="仿宋_GB2312"/>
                <w:color w:val="000000"/>
                <w:sz w:val="24"/>
              </w:rPr>
            </w:pPr>
            <w:r>
              <w:rPr>
                <w:rFonts w:hint="eastAsia" w:ascii="仿宋_GB2312" w:hAnsi="仿宋_GB2312" w:eastAsia="仿宋_GB2312" w:cs="仿宋_GB2312"/>
                <w:color w:val="auto"/>
                <w:sz w:val="24"/>
                <w:szCs w:val="24"/>
              </w:rPr>
              <w:t>项目组成：</w:t>
            </w:r>
            <w:r>
              <w:rPr>
                <w:rFonts w:eastAsia="仿宋_GB2312"/>
                <w:color w:val="000000"/>
                <w:sz w:val="24"/>
              </w:rPr>
              <w:t>建设内容包括污水处理厂、进厂道路、配套管网。污水处理厂设计规模为</w:t>
            </w:r>
            <w:r>
              <w:rPr>
                <w:rFonts w:hint="eastAsia" w:eastAsia="仿宋_GB2312"/>
                <w:color w:val="000000"/>
                <w:sz w:val="24"/>
                <w:lang w:val="en-US" w:eastAsia="zh-CN"/>
              </w:rPr>
              <w:t>3.0</w:t>
            </w:r>
            <w:r>
              <w:rPr>
                <w:rFonts w:eastAsia="仿宋_GB2312"/>
                <w:color w:val="000000"/>
                <w:sz w:val="24"/>
              </w:rPr>
              <w:t>万m</w:t>
            </w:r>
            <w:r>
              <w:rPr>
                <w:rFonts w:eastAsia="仿宋_GB2312"/>
                <w:color w:val="000000"/>
                <w:sz w:val="24"/>
                <w:vertAlign w:val="superscript"/>
              </w:rPr>
              <w:t>3</w:t>
            </w:r>
            <w:r>
              <w:rPr>
                <w:rFonts w:eastAsia="仿宋_GB2312"/>
                <w:color w:val="000000"/>
                <w:sz w:val="24"/>
              </w:rPr>
              <w:t>/d；进厂道路由一环路引入，长28m；配套的管网全长6812m。</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（二）水土保持方案批复情况</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2017年</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月，</w:t>
            </w:r>
            <w:r>
              <w:rPr>
                <w:rFonts w:ascii="Times New Roman" w:hAnsi="Times New Roman" w:eastAsia="仿宋_GB2312"/>
                <w:snapToGrid w:val="0"/>
                <w:kern w:val="2"/>
                <w:sz w:val="24"/>
                <w:szCs w:val="22"/>
                <w:lang w:val="en-US" w:eastAsia="zh-CN" w:bidi="ar-SA"/>
              </w:rPr>
              <w:t>中煤科工集团重庆设计研究院有限</w:t>
            </w:r>
            <w:r>
              <w:rPr>
                <w:rFonts w:hint="eastAsia" w:ascii="Times New Roman" w:hAnsi="Times New Roman" w:eastAsia="仿宋_GB2312"/>
                <w:snapToGrid w:val="0"/>
                <w:kern w:val="2"/>
                <w:sz w:val="24"/>
                <w:szCs w:val="22"/>
                <w:lang w:val="en-US" w:eastAsia="zh-CN" w:bidi="ar-SA"/>
              </w:rPr>
              <w:t>公司</w:t>
            </w:r>
            <w:r>
              <w:rPr>
                <w:rFonts w:hint="eastAsia" w:ascii="仿宋_GB2312" w:hAnsi="仿宋_GB2312" w:eastAsia="仿宋_GB2312" w:cs="仿宋_GB2312"/>
                <w:color w:val="auto"/>
                <w:sz w:val="24"/>
                <w:szCs w:val="24"/>
              </w:rPr>
              <w:t>完成了</w:t>
            </w:r>
            <w:r>
              <w:rPr>
                <w:rFonts w:hint="eastAsia" w:eastAsia="仿宋_GB2312"/>
                <w:color w:val="000000"/>
                <w:sz w:val="24"/>
              </w:rPr>
              <w:t>《</w:t>
            </w:r>
            <w:r>
              <w:rPr>
                <w:rFonts w:hint="eastAsia" w:eastAsia="仿宋_GB2312"/>
                <w:color w:val="000000"/>
                <w:sz w:val="24"/>
                <w:lang w:eastAsia="zh-CN"/>
              </w:rPr>
              <w:t>永川污水处理厂三期异地扩建工程</w:t>
            </w:r>
            <w:r>
              <w:rPr>
                <w:rFonts w:hint="eastAsia" w:eastAsia="仿宋_GB2312"/>
                <w:color w:val="000000"/>
                <w:sz w:val="24"/>
              </w:rPr>
              <w:t>水土保持方案报告水土保持方案报告书》（报批稿）</w:t>
            </w:r>
            <w:r>
              <w:rPr>
                <w:rFonts w:hint="eastAsia" w:ascii="仿宋_GB2312" w:hAnsi="仿宋_GB2312" w:eastAsia="仿宋_GB2312" w:cs="仿宋_GB2312"/>
                <w:color w:val="auto"/>
                <w:sz w:val="24"/>
                <w:szCs w:val="24"/>
              </w:rPr>
              <w:t>。2017年</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重庆市水利局</w:t>
            </w:r>
            <w:r>
              <w:rPr>
                <w:rFonts w:hint="eastAsia" w:ascii="仿宋_GB2312" w:hAnsi="仿宋_GB2312" w:eastAsia="仿宋_GB2312" w:cs="仿宋_GB2312"/>
                <w:color w:val="auto"/>
                <w:sz w:val="24"/>
                <w:szCs w:val="24"/>
              </w:rPr>
              <w:t>对本项目水土保持方案进行了批复，批复文号《</w:t>
            </w:r>
            <w:r>
              <w:rPr>
                <w:rFonts w:hint="eastAsia" w:ascii="仿宋_GB2312" w:hAnsi="仿宋_GB2312" w:eastAsia="仿宋_GB2312" w:cs="仿宋_GB2312"/>
                <w:color w:val="auto"/>
                <w:sz w:val="24"/>
                <w:szCs w:val="24"/>
                <w:lang w:eastAsia="zh-CN"/>
              </w:rPr>
              <w:t>重庆市水利局</w:t>
            </w:r>
            <w:r>
              <w:rPr>
                <w:rFonts w:hint="eastAsia" w:ascii="仿宋_GB2312" w:hAnsi="仿宋_GB2312" w:eastAsia="仿宋_GB2312" w:cs="仿宋_GB2312"/>
                <w:color w:val="auto"/>
                <w:sz w:val="24"/>
                <w:szCs w:val="24"/>
              </w:rPr>
              <w:t>关于</w:t>
            </w:r>
            <w:r>
              <w:rPr>
                <w:rFonts w:hint="eastAsia" w:eastAsia="仿宋_GB2312"/>
                <w:color w:val="000000"/>
                <w:sz w:val="24"/>
                <w:lang w:eastAsia="zh-CN"/>
              </w:rPr>
              <w:t>永川污水处理厂三期异地扩建工程</w:t>
            </w:r>
            <w:r>
              <w:rPr>
                <w:rFonts w:hint="eastAsia" w:eastAsia="仿宋_GB2312"/>
                <w:color w:val="000000"/>
                <w:sz w:val="24"/>
              </w:rPr>
              <w:t>水土保持方案报告水土保持方案报告书》（报批稿）</w:t>
            </w:r>
            <w:r>
              <w:rPr>
                <w:rFonts w:hint="eastAsia" w:ascii="仿宋_GB2312" w:hAnsi="仿宋_GB2312" w:eastAsia="仿宋_GB2312" w:cs="仿宋_GB2312"/>
                <w:color w:val="auto"/>
                <w:sz w:val="24"/>
                <w:szCs w:val="24"/>
              </w:rPr>
              <w:t>。2017年</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重庆市水利局</w:t>
            </w:r>
            <w:r>
              <w:rPr>
                <w:rFonts w:hint="eastAsia" w:ascii="仿宋_GB2312" w:hAnsi="仿宋_GB2312" w:eastAsia="仿宋_GB2312" w:cs="仿宋_GB2312"/>
                <w:color w:val="auto"/>
                <w:sz w:val="24"/>
                <w:szCs w:val="24"/>
              </w:rPr>
              <w:t>水土保持方案的批复》（</w:t>
            </w:r>
            <w:r>
              <w:rPr>
                <w:rFonts w:hint="eastAsia" w:ascii="仿宋_GB2312" w:hAnsi="仿宋_GB2312" w:eastAsia="仿宋_GB2312" w:cs="仿宋_GB2312"/>
                <w:color w:val="auto"/>
                <w:sz w:val="24"/>
                <w:szCs w:val="24"/>
                <w:lang w:eastAsia="zh-CN"/>
              </w:rPr>
              <w:t>渝水许可</w:t>
            </w:r>
            <w:r>
              <w:rPr>
                <w:rFonts w:hint="eastAsia" w:ascii="仿宋_GB2312" w:hAnsi="仿宋_GB2312" w:eastAsia="仿宋_GB2312" w:cs="仿宋_GB2312"/>
                <w:color w:val="auto"/>
                <w:sz w:val="24"/>
                <w:szCs w:val="24"/>
              </w:rPr>
              <w:t>〔2017〕9</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号）。</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批复内容：</w:t>
            </w:r>
            <w:r>
              <w:rPr>
                <w:rFonts w:hint="eastAsia" w:ascii="仿宋_GB2312" w:hAnsi="仿宋_GB2312" w:eastAsia="仿宋_GB2312" w:cs="仿宋_GB2312"/>
                <w:color w:val="000000"/>
                <w:sz w:val="24"/>
                <w:lang w:eastAsia="zh-CN"/>
              </w:rPr>
              <w:t>永川污水处理厂三期异地扩建工程</w:t>
            </w:r>
            <w:r>
              <w:rPr>
                <w:rFonts w:hint="eastAsia" w:ascii="仿宋_GB2312" w:hAnsi="仿宋_GB2312" w:eastAsia="仿宋_GB2312" w:cs="仿宋_GB2312"/>
                <w:color w:val="auto"/>
                <w:sz w:val="24"/>
                <w:szCs w:val="24"/>
              </w:rPr>
              <w:t>建设</w:t>
            </w:r>
            <w:r>
              <w:rPr>
                <w:rFonts w:hint="eastAsia" w:ascii="仿宋_GB2312" w:hAnsi="仿宋_GB2312" w:eastAsia="仿宋_GB2312" w:cs="仿宋_GB2312"/>
                <w:color w:val="auto"/>
                <w:sz w:val="24"/>
                <w:szCs w:val="24"/>
                <w:lang w:eastAsia="zh-CN"/>
              </w:rPr>
              <w:t>内容包括</w:t>
            </w:r>
            <w:r>
              <w:rPr>
                <w:rFonts w:hint="eastAsia" w:ascii="仿宋_GB2312" w:hAnsi="仿宋_GB2312" w:eastAsia="仿宋_GB2312" w:cs="仿宋_GB2312"/>
                <w:color w:val="000000"/>
                <w:sz w:val="24"/>
              </w:rPr>
              <w:t>污水处理厂、进厂道路、配套管网。污水处理厂设计规模为</w:t>
            </w:r>
            <w:r>
              <w:rPr>
                <w:rFonts w:hint="eastAsia" w:ascii="仿宋_GB2312" w:hAnsi="仿宋_GB2312" w:eastAsia="仿宋_GB2312" w:cs="仿宋_GB2312"/>
                <w:color w:val="000000"/>
                <w:sz w:val="24"/>
                <w:lang w:val="en-US" w:eastAsia="zh-CN"/>
              </w:rPr>
              <w:t>3.0</w:t>
            </w:r>
            <w:r>
              <w:rPr>
                <w:rFonts w:hint="eastAsia" w:ascii="仿宋_GB2312" w:hAnsi="仿宋_GB2312" w:eastAsia="仿宋_GB2312" w:cs="仿宋_GB2312"/>
                <w:color w:val="000000"/>
                <w:sz w:val="24"/>
              </w:rPr>
              <w:t>万m</w:t>
            </w:r>
            <w:r>
              <w:rPr>
                <w:rFonts w:hint="eastAsia" w:ascii="仿宋_GB2312" w:hAnsi="仿宋_GB2312" w:eastAsia="仿宋_GB2312" w:cs="仿宋_GB2312"/>
                <w:color w:val="000000"/>
                <w:sz w:val="24"/>
                <w:vertAlign w:val="superscript"/>
              </w:rPr>
              <w:t>3</w:t>
            </w:r>
            <w:r>
              <w:rPr>
                <w:rFonts w:hint="eastAsia" w:ascii="仿宋_GB2312" w:hAnsi="仿宋_GB2312" w:eastAsia="仿宋_GB2312" w:cs="仿宋_GB2312"/>
                <w:color w:val="000000"/>
                <w:sz w:val="24"/>
              </w:rPr>
              <w:t>/d；进厂道路由一环路引入，长28m；配套的管网全长6812m。</w:t>
            </w:r>
            <w:r>
              <w:rPr>
                <w:rFonts w:hint="eastAsia" w:ascii="仿宋_GB2312" w:hAnsi="仿宋_GB2312" w:eastAsia="仿宋_GB2312" w:cs="仿宋_GB2312"/>
                <w:color w:val="auto"/>
                <w:sz w:val="24"/>
                <w:szCs w:val="24"/>
              </w:rPr>
              <w:t>项目防治责任范围为</w:t>
            </w:r>
            <w:r>
              <w:rPr>
                <w:rFonts w:hint="eastAsia" w:ascii="仿宋_GB2312" w:hAnsi="仿宋_GB2312" w:eastAsia="仿宋_GB2312" w:cs="仿宋_GB2312"/>
                <w:color w:val="auto"/>
                <w:sz w:val="24"/>
                <w:szCs w:val="24"/>
                <w:lang w:val="en-US" w:eastAsia="zh-CN"/>
              </w:rPr>
              <w:t>8.98</w:t>
            </w:r>
            <w:r>
              <w:rPr>
                <w:rFonts w:hint="eastAsia" w:ascii="仿宋_GB2312" w:hAnsi="仿宋_GB2312" w:eastAsia="仿宋_GB2312" w:cs="仿宋_GB2312"/>
                <w:color w:val="auto"/>
                <w:sz w:val="24"/>
                <w:szCs w:val="24"/>
              </w:rPr>
              <w:t>hm</w:t>
            </w:r>
            <w:r>
              <w:rPr>
                <w:rFonts w:hint="eastAsia" w:ascii="仿宋_GB2312" w:hAnsi="仿宋_GB2312" w:eastAsia="仿宋_GB2312" w:cs="仿宋_GB2312"/>
                <w:color w:val="auto"/>
                <w:sz w:val="24"/>
                <w:szCs w:val="24"/>
                <w:vertAlign w:val="superscript"/>
              </w:rPr>
              <w:t>2</w:t>
            </w:r>
            <w:r>
              <w:rPr>
                <w:rFonts w:hint="eastAsia" w:ascii="仿宋_GB2312" w:hAnsi="仿宋_GB2312" w:eastAsia="仿宋_GB2312" w:cs="仿宋_GB2312"/>
                <w:color w:val="auto"/>
                <w:sz w:val="24"/>
                <w:szCs w:val="24"/>
              </w:rPr>
              <w:t>，其中项目建设区</w:t>
            </w:r>
            <w:r>
              <w:rPr>
                <w:rFonts w:hint="eastAsia" w:ascii="仿宋_GB2312" w:hAnsi="仿宋_GB2312" w:eastAsia="仿宋_GB2312" w:cs="仿宋_GB2312"/>
                <w:color w:val="auto"/>
                <w:sz w:val="24"/>
                <w:szCs w:val="24"/>
                <w:lang w:val="en-US" w:eastAsia="zh-CN"/>
              </w:rPr>
              <w:t>7.18</w:t>
            </w:r>
            <w:r>
              <w:rPr>
                <w:rFonts w:hint="eastAsia" w:ascii="仿宋_GB2312" w:hAnsi="仿宋_GB2312" w:eastAsia="仿宋_GB2312" w:cs="仿宋_GB2312"/>
                <w:color w:val="auto"/>
                <w:sz w:val="24"/>
                <w:szCs w:val="24"/>
              </w:rPr>
              <w:t xml:space="preserve"> hm</w:t>
            </w:r>
            <w:r>
              <w:rPr>
                <w:rFonts w:hint="eastAsia" w:ascii="仿宋_GB2312" w:hAnsi="仿宋_GB2312" w:eastAsia="仿宋_GB2312" w:cs="仿宋_GB2312"/>
                <w:color w:val="auto"/>
                <w:sz w:val="24"/>
                <w:szCs w:val="24"/>
                <w:vertAlign w:val="superscript"/>
              </w:rPr>
              <w:t>2</w:t>
            </w:r>
            <w:r>
              <w:rPr>
                <w:rFonts w:hint="eastAsia" w:ascii="仿宋_GB2312" w:hAnsi="仿宋_GB2312" w:eastAsia="仿宋_GB2312" w:cs="仿宋_GB2312"/>
                <w:color w:val="auto"/>
                <w:sz w:val="24"/>
                <w:szCs w:val="24"/>
              </w:rPr>
              <w:t>，直接影响区</w:t>
            </w:r>
            <w:r>
              <w:rPr>
                <w:rFonts w:hint="eastAsia" w:ascii="仿宋_GB2312" w:hAnsi="仿宋_GB2312" w:eastAsia="仿宋_GB2312" w:cs="仿宋_GB2312"/>
                <w:color w:val="auto"/>
                <w:sz w:val="24"/>
                <w:szCs w:val="24"/>
                <w:lang w:val="en-US" w:eastAsia="zh-CN"/>
              </w:rPr>
              <w:t>1.80</w:t>
            </w:r>
            <w:r>
              <w:rPr>
                <w:rFonts w:hint="eastAsia" w:ascii="仿宋_GB2312" w:hAnsi="仿宋_GB2312" w:eastAsia="仿宋_GB2312" w:cs="仿宋_GB2312"/>
                <w:color w:val="auto"/>
                <w:sz w:val="24"/>
                <w:szCs w:val="24"/>
              </w:rPr>
              <w:t>hm</w:t>
            </w:r>
            <w:r>
              <w:rPr>
                <w:rFonts w:hint="eastAsia" w:ascii="仿宋_GB2312" w:hAnsi="仿宋_GB2312" w:eastAsia="仿宋_GB2312" w:cs="仿宋_GB2312"/>
                <w:color w:val="auto"/>
                <w:sz w:val="24"/>
                <w:szCs w:val="24"/>
                <w:vertAlign w:val="superscript"/>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项目建设区</w:t>
            </w:r>
            <w:r>
              <w:rPr>
                <w:rFonts w:hint="eastAsia" w:ascii="仿宋_GB2312" w:hAnsi="仿宋_GB2312" w:eastAsia="仿宋_GB2312" w:cs="仿宋_GB2312"/>
                <w:color w:val="auto"/>
                <w:sz w:val="24"/>
                <w:szCs w:val="24"/>
              </w:rPr>
              <w:t>永久占地</w:t>
            </w:r>
            <w:r>
              <w:rPr>
                <w:rFonts w:hint="eastAsia" w:ascii="仿宋_GB2312" w:hAnsi="仿宋_GB2312" w:eastAsia="仿宋_GB2312" w:cs="仿宋_GB2312"/>
                <w:color w:val="auto"/>
                <w:sz w:val="24"/>
                <w:szCs w:val="24"/>
                <w:lang w:val="en-US" w:eastAsia="zh-CN"/>
              </w:rPr>
              <w:t>2.13</w:t>
            </w:r>
            <w:r>
              <w:rPr>
                <w:rFonts w:hint="eastAsia" w:ascii="仿宋_GB2312" w:hAnsi="仿宋_GB2312" w:eastAsia="仿宋_GB2312" w:cs="仿宋_GB2312"/>
                <w:color w:val="auto"/>
                <w:sz w:val="24"/>
                <w:szCs w:val="24"/>
              </w:rPr>
              <w:t>hm</w:t>
            </w:r>
            <w:r>
              <w:rPr>
                <w:rFonts w:hint="eastAsia" w:ascii="仿宋_GB2312" w:hAnsi="仿宋_GB2312" w:eastAsia="仿宋_GB2312" w:cs="仿宋_GB2312"/>
                <w:color w:val="auto"/>
                <w:sz w:val="24"/>
                <w:szCs w:val="24"/>
                <w:vertAlign w:val="superscript"/>
              </w:rPr>
              <w:t>2</w:t>
            </w:r>
            <w:r>
              <w:rPr>
                <w:rFonts w:hint="eastAsia" w:ascii="仿宋_GB2312" w:hAnsi="仿宋_GB2312" w:eastAsia="仿宋_GB2312" w:cs="仿宋_GB2312"/>
                <w:color w:val="auto"/>
                <w:sz w:val="24"/>
                <w:szCs w:val="24"/>
              </w:rPr>
              <w:t>，临时占地</w:t>
            </w:r>
            <w:r>
              <w:rPr>
                <w:rFonts w:hint="eastAsia" w:ascii="仿宋_GB2312" w:hAnsi="仿宋_GB2312" w:eastAsia="仿宋_GB2312" w:cs="仿宋_GB2312"/>
                <w:color w:val="auto"/>
                <w:sz w:val="24"/>
                <w:szCs w:val="24"/>
                <w:lang w:val="en-US" w:eastAsia="zh-CN"/>
              </w:rPr>
              <w:t>5.05</w:t>
            </w:r>
            <w:r>
              <w:rPr>
                <w:rFonts w:hint="eastAsia" w:ascii="仿宋_GB2312" w:hAnsi="仿宋_GB2312" w:eastAsia="仿宋_GB2312" w:cs="仿宋_GB2312"/>
                <w:color w:val="auto"/>
                <w:sz w:val="24"/>
                <w:szCs w:val="24"/>
              </w:rPr>
              <w:t>hm</w:t>
            </w:r>
            <w:r>
              <w:rPr>
                <w:rFonts w:hint="eastAsia" w:ascii="仿宋_GB2312" w:hAnsi="仿宋_GB2312" w:eastAsia="仿宋_GB2312" w:cs="仿宋_GB2312"/>
                <w:color w:val="auto"/>
                <w:sz w:val="24"/>
                <w:szCs w:val="24"/>
                <w:vertAlign w:val="superscript"/>
              </w:rPr>
              <w:t>2</w:t>
            </w:r>
            <w:r>
              <w:rPr>
                <w:rFonts w:hint="eastAsia" w:ascii="仿宋_GB2312" w:hAnsi="仿宋_GB2312" w:eastAsia="仿宋_GB2312" w:cs="仿宋_GB2312"/>
                <w:color w:val="auto"/>
                <w:sz w:val="24"/>
                <w:szCs w:val="24"/>
              </w:rPr>
              <w:t>。建设期预计造成水土流失总量</w:t>
            </w:r>
            <w:r>
              <w:rPr>
                <w:rFonts w:hint="eastAsia" w:ascii="仿宋_GB2312" w:hAnsi="仿宋_GB2312" w:eastAsia="仿宋_GB2312" w:cs="仿宋_GB2312"/>
                <w:color w:val="auto"/>
                <w:sz w:val="24"/>
                <w:szCs w:val="24"/>
                <w:lang w:val="en-US" w:eastAsia="zh-CN"/>
              </w:rPr>
              <w:t>712t，新增水土流失量558t</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主要工程量：挖方量</w:t>
            </w:r>
            <w:r>
              <w:rPr>
                <w:rFonts w:hint="eastAsia" w:ascii="仿宋_GB2312" w:hAnsi="仿宋_GB2312" w:eastAsia="仿宋_GB2312" w:cs="仿宋_GB2312"/>
                <w:color w:val="auto"/>
                <w:sz w:val="24"/>
                <w:szCs w:val="24"/>
                <w:lang w:val="en-US" w:eastAsia="zh-CN"/>
              </w:rPr>
              <w:t>10.70</w:t>
            </w:r>
            <w:r>
              <w:rPr>
                <w:rFonts w:hint="eastAsia" w:ascii="仿宋_GB2312" w:hAnsi="仿宋_GB2312" w:eastAsia="仿宋_GB2312" w:cs="仿宋_GB2312"/>
                <w:color w:val="auto"/>
                <w:sz w:val="24"/>
                <w:szCs w:val="24"/>
              </w:rPr>
              <w:t>万m</w:t>
            </w:r>
            <w:r>
              <w:rPr>
                <w:rFonts w:hint="eastAsia" w:ascii="仿宋_GB2312" w:hAnsi="仿宋_GB2312" w:eastAsia="仿宋_GB2312" w:cs="仿宋_GB2312"/>
                <w:color w:val="auto"/>
                <w:sz w:val="24"/>
                <w:szCs w:val="24"/>
                <w:vertAlign w:val="superscript"/>
              </w:rPr>
              <w:t>3</w:t>
            </w:r>
            <w:r>
              <w:rPr>
                <w:rFonts w:hint="eastAsia" w:ascii="仿宋_GB2312" w:hAnsi="仿宋_GB2312" w:eastAsia="仿宋_GB2312" w:cs="仿宋_GB2312"/>
                <w:color w:val="auto"/>
                <w:sz w:val="24"/>
                <w:szCs w:val="24"/>
              </w:rPr>
              <w:t>，填方量</w:t>
            </w:r>
            <w:r>
              <w:rPr>
                <w:rFonts w:hint="eastAsia" w:ascii="仿宋_GB2312" w:hAnsi="仿宋_GB2312" w:eastAsia="仿宋_GB2312" w:cs="仿宋_GB2312"/>
                <w:color w:val="auto"/>
                <w:sz w:val="24"/>
                <w:szCs w:val="24"/>
                <w:lang w:val="en-US" w:eastAsia="zh-CN"/>
              </w:rPr>
              <w:t>5.07</w:t>
            </w:r>
            <w:r>
              <w:rPr>
                <w:rFonts w:hint="eastAsia" w:ascii="仿宋_GB2312" w:hAnsi="仿宋_GB2312" w:eastAsia="仿宋_GB2312" w:cs="仿宋_GB2312"/>
                <w:color w:val="auto"/>
                <w:sz w:val="24"/>
                <w:szCs w:val="24"/>
              </w:rPr>
              <w:t>万m</w:t>
            </w:r>
            <w:r>
              <w:rPr>
                <w:rFonts w:hint="eastAsia" w:ascii="仿宋_GB2312" w:hAnsi="仿宋_GB2312" w:eastAsia="仿宋_GB2312" w:cs="仿宋_GB2312"/>
                <w:color w:val="auto"/>
                <w:sz w:val="24"/>
                <w:szCs w:val="24"/>
                <w:vertAlign w:val="superscript"/>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弃</w:t>
            </w:r>
            <w:r>
              <w:rPr>
                <w:rFonts w:hint="eastAsia" w:ascii="仿宋_GB2312" w:hAnsi="仿宋_GB2312" w:eastAsia="仿宋_GB2312" w:cs="仿宋_GB2312"/>
                <w:color w:val="auto"/>
                <w:sz w:val="24"/>
                <w:szCs w:val="24"/>
              </w:rPr>
              <w:t>方量</w:t>
            </w:r>
            <w:r>
              <w:rPr>
                <w:rFonts w:hint="eastAsia" w:ascii="仿宋_GB2312" w:hAnsi="仿宋_GB2312" w:eastAsia="仿宋_GB2312" w:cs="仿宋_GB2312"/>
                <w:color w:val="auto"/>
                <w:sz w:val="24"/>
                <w:szCs w:val="24"/>
                <w:lang w:val="en-US" w:eastAsia="zh-CN"/>
              </w:rPr>
              <w:t>5.63</w:t>
            </w:r>
            <w:r>
              <w:rPr>
                <w:rFonts w:hint="eastAsia" w:ascii="仿宋_GB2312" w:hAnsi="仿宋_GB2312" w:eastAsia="仿宋_GB2312" w:cs="仿宋_GB2312"/>
                <w:color w:val="auto"/>
                <w:sz w:val="24"/>
                <w:szCs w:val="24"/>
              </w:rPr>
              <w:t>万m</w:t>
            </w:r>
            <w:r>
              <w:rPr>
                <w:rFonts w:hint="eastAsia" w:ascii="仿宋_GB2312" w:hAnsi="仿宋_GB2312" w:eastAsia="仿宋_GB2312" w:cs="仿宋_GB2312"/>
                <w:color w:val="auto"/>
                <w:sz w:val="24"/>
                <w:szCs w:val="24"/>
                <w:vertAlign w:val="superscript"/>
              </w:rPr>
              <w:t>3</w:t>
            </w:r>
            <w:r>
              <w:rPr>
                <w:rFonts w:hint="eastAsia" w:ascii="仿宋_GB2312" w:hAnsi="仿宋_GB2312" w:eastAsia="仿宋_GB2312" w:cs="仿宋_GB2312"/>
                <w:color w:val="auto"/>
                <w:sz w:val="24"/>
                <w:szCs w:val="24"/>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项目水土保持总投资水土保持总投资为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"_bookmark16"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191.78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万元，其中主体已列投资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"_bookmark17"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109.44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万元，方案新增投资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"_bookmark18"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82.34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万元。在方案新增投资中，工程措施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"_bookmark19"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2.28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万元，植物措施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"_bookmark20"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2.63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万元，监测措施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"_bookmark27"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10.38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万元，临时措施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"_bookmark21"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36.15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万元，独立费用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"_bookmark22"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16.76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万元，基本预备费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"_bookmark24"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4.09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万元，水土保持补偿费为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"_bookmark23"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10.04</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 万元。独立费中技术咨询费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"_bookmark25"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13.70</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 万元，工程管理费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"_bookmark26"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 xml:space="preserve">3.06 </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万元（含监理费 </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\l "_bookmark28"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1.41</w:t>
            </w:r>
            <w:r>
              <w:rPr>
                <w:rFonts w:hint="eastAsia" w:ascii="仿宋_GB2312" w:hAnsi="仿宋_GB2312" w:eastAsia="仿宋_GB2312" w:cs="仿宋_GB2312"/>
                <w:color w:val="auto"/>
                <w:sz w:val="24"/>
                <w:szCs w:val="24"/>
              </w:rPr>
              <w:fldChar w:fldCharType="end"/>
            </w:r>
            <w:r>
              <w:rPr>
                <w:rFonts w:hint="eastAsia" w:ascii="仿宋_GB2312" w:hAnsi="仿宋_GB2312" w:eastAsia="仿宋_GB2312" w:cs="仿宋_GB2312"/>
                <w:color w:val="auto"/>
                <w:sz w:val="24"/>
                <w:szCs w:val="24"/>
              </w:rPr>
              <w:t xml:space="preserve"> 万元）。</w:t>
            </w:r>
          </w:p>
          <w:p>
            <w:pPr>
              <w:keepNext w:val="0"/>
              <w:keepLines w:val="0"/>
              <w:pageBreakBefore w:val="0"/>
              <w:widowControl w:val="0"/>
              <w:kinsoku/>
              <w:wordWrap/>
              <w:overflowPunct/>
              <w:topLinePunct w:val="0"/>
              <w:bidi w:val="0"/>
              <w:adjustRightInd w:val="0"/>
              <w:snapToGrid w:val="0"/>
              <w:spacing w:line="500" w:lineRule="exact"/>
              <w:ind w:firstLine="555"/>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（三）水土保持初步设计或施工图设计情况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本项目</w:t>
            </w:r>
            <w:r>
              <w:rPr>
                <w:rFonts w:hint="eastAsia" w:ascii="仿宋_GB2312" w:hAnsi="仿宋_GB2312" w:eastAsia="仿宋_GB2312" w:cs="仿宋_GB2312"/>
                <w:color w:val="auto"/>
                <w:sz w:val="24"/>
                <w:szCs w:val="24"/>
              </w:rPr>
              <w:t>水土保持后续设计纳入主体设计中，未单独做水土保持初步设计和施工图设计。</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（四）水土保持监测情况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监测单位编制完成了该工程的水土保持监测总结报告。得出监测主要结论为：本项目建设单位对水土保持工作较为重视，水土保持措施的实施效果较好，各项措施基本依照水土保持方案的要求落实到位。建设单位在水土流失防治责任范围内的水土保持设施具备正常运行条件，且能持续、安全、有效运行，水土保持设施的管护、维护措施落实到位，水土保持六项防治指标分别为扰动土地整治率</w:t>
            </w:r>
            <w:r>
              <w:rPr>
                <w:rFonts w:hint="eastAsia" w:ascii="仿宋_GB2312" w:hAnsi="仿宋_GB2312" w:eastAsia="仿宋_GB2312" w:cs="仿宋_GB2312"/>
                <w:color w:val="auto"/>
                <w:sz w:val="24"/>
                <w:szCs w:val="24"/>
                <w:lang w:val="en-US" w:eastAsia="zh-CN"/>
              </w:rPr>
              <w:t>99.58</w:t>
            </w:r>
            <w:r>
              <w:rPr>
                <w:rFonts w:hint="eastAsia" w:ascii="仿宋_GB2312" w:hAnsi="仿宋_GB2312" w:eastAsia="仿宋_GB2312" w:cs="仿宋_GB2312"/>
                <w:color w:val="auto"/>
                <w:sz w:val="24"/>
                <w:szCs w:val="24"/>
              </w:rPr>
              <w:t>%，水土流失总治理度</w:t>
            </w:r>
            <w:r>
              <w:rPr>
                <w:rFonts w:hint="eastAsia" w:ascii="仿宋_GB2312" w:hAnsi="仿宋_GB2312" w:eastAsia="仿宋_GB2312" w:cs="仿宋_GB2312"/>
                <w:color w:val="auto"/>
                <w:sz w:val="24"/>
                <w:szCs w:val="24"/>
                <w:lang w:val="en-US" w:eastAsia="zh-CN"/>
              </w:rPr>
              <w:t>99.58</w:t>
            </w:r>
            <w:r>
              <w:rPr>
                <w:rFonts w:hint="eastAsia" w:ascii="仿宋_GB2312" w:hAnsi="仿宋_GB2312" w:eastAsia="仿宋_GB2312" w:cs="仿宋_GB2312"/>
                <w:color w:val="auto"/>
                <w:sz w:val="24"/>
                <w:szCs w:val="24"/>
              </w:rPr>
              <w:t>%，土壤流失控制比</w:t>
            </w:r>
            <w:r>
              <w:rPr>
                <w:rFonts w:hint="eastAsia" w:ascii="仿宋_GB2312" w:hAnsi="仿宋_GB2312" w:eastAsia="仿宋_GB2312" w:cs="仿宋_GB2312"/>
                <w:color w:val="auto"/>
                <w:sz w:val="24"/>
                <w:szCs w:val="24"/>
                <w:lang w:eastAsia="zh-CN"/>
              </w:rPr>
              <w:t>大于</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，拦渣率</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%，林草植被恢复率</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%，林草覆盖率</w:t>
            </w:r>
            <w:r>
              <w:rPr>
                <w:rFonts w:hint="eastAsia" w:ascii="仿宋_GB2312" w:hAnsi="仿宋_GB2312" w:eastAsia="仿宋_GB2312" w:cs="仿宋_GB2312"/>
                <w:color w:val="auto"/>
                <w:sz w:val="24"/>
                <w:szCs w:val="24"/>
                <w:lang w:val="en-US" w:eastAsia="zh-CN"/>
              </w:rPr>
              <w:t>48.75</w:t>
            </w:r>
            <w:r>
              <w:rPr>
                <w:rFonts w:hint="eastAsia" w:ascii="仿宋_GB2312" w:hAnsi="仿宋_GB2312" w:eastAsia="仿宋_GB2312" w:cs="仿宋_GB2312"/>
                <w:color w:val="auto"/>
                <w:sz w:val="24"/>
                <w:szCs w:val="24"/>
              </w:rPr>
              <w:t>%，均已达到一级防治标准，具备生产建设项目水土保持设施验收的条件。</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（五）验收报告编制情况和主要结论</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2020年</w:t>
            </w: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月，建设单位重庆市水务资产经营有限公司委托重庆琼英咨询服务有限公司开展</w:t>
            </w:r>
            <w:r>
              <w:rPr>
                <w:rFonts w:hint="eastAsia" w:ascii="仿宋_GB2312" w:hAnsi="仿宋_GB2312" w:eastAsia="仿宋_GB2312" w:cs="仿宋_GB2312"/>
                <w:sz w:val="24"/>
                <w:szCs w:val="24"/>
                <w:lang w:eastAsia="zh-CN"/>
              </w:rPr>
              <w:t>永川污水处理厂三期异地扩建工程</w:t>
            </w:r>
            <w:r>
              <w:rPr>
                <w:rFonts w:hint="eastAsia" w:ascii="仿宋_GB2312" w:hAnsi="仿宋_GB2312" w:eastAsia="仿宋_GB2312" w:cs="仿宋_GB2312"/>
                <w:color w:val="000000"/>
                <w:sz w:val="24"/>
                <w:szCs w:val="24"/>
              </w:rPr>
              <w:t>水土保持设施验收报告的编制工作。2020年1</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月，重庆琼英咨询服务有限公司编写完成了《</w:t>
            </w:r>
            <w:r>
              <w:rPr>
                <w:rFonts w:hint="eastAsia" w:ascii="仿宋_GB2312" w:hAnsi="仿宋_GB2312" w:eastAsia="仿宋_GB2312" w:cs="仿宋_GB2312"/>
                <w:sz w:val="24"/>
                <w:szCs w:val="24"/>
                <w:lang w:eastAsia="zh-CN"/>
              </w:rPr>
              <w:t>永川污水处理厂三期异地扩建工程</w:t>
            </w:r>
            <w:r>
              <w:rPr>
                <w:rFonts w:hint="eastAsia" w:ascii="仿宋_GB2312" w:hAnsi="仿宋_GB2312" w:eastAsia="仿宋_GB2312" w:cs="仿宋_GB2312"/>
                <w:color w:val="000000"/>
                <w:sz w:val="24"/>
                <w:szCs w:val="24"/>
              </w:rPr>
              <w:t>水土保持设施验收报告》。验收报告结论：</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仿宋_GB2312"/>
                <w:color w:val="000000"/>
                <w:sz w:val="24"/>
              </w:rPr>
            </w:pPr>
            <w:r>
              <w:rPr>
                <w:rFonts w:hint="eastAsia" w:ascii="仿宋_GB2312" w:hAnsi="仿宋_GB2312" w:eastAsia="仿宋_GB2312" w:cs="仿宋_GB2312"/>
                <w:color w:val="000000"/>
                <w:sz w:val="24"/>
                <w:szCs w:val="24"/>
              </w:rPr>
              <w:t>1、本项目实际发生的防治责任范围</w:t>
            </w:r>
            <w:r>
              <w:rPr>
                <w:rFonts w:hint="eastAsia" w:ascii="仿宋_GB2312" w:hAnsi="仿宋_GB2312" w:eastAsia="仿宋_GB2312" w:cs="仿宋_GB2312"/>
                <w:color w:val="000000"/>
                <w:sz w:val="24"/>
                <w:lang w:val="en-US" w:eastAsia="zh-CN"/>
              </w:rPr>
              <w:t>7.18</w:t>
            </w:r>
            <w:r>
              <w:rPr>
                <w:rFonts w:hint="eastAsia" w:ascii="仿宋_GB2312" w:hAnsi="仿宋_GB2312" w:eastAsia="仿宋_GB2312" w:cs="仿宋_GB2312"/>
                <w:color w:val="000000"/>
                <w:sz w:val="24"/>
              </w:rPr>
              <w:t xml:space="preserve"> hm</w:t>
            </w:r>
            <w:r>
              <w:rPr>
                <w:rFonts w:hint="eastAsia" w:ascii="仿宋_GB2312" w:hAnsi="仿宋_GB2312" w:eastAsia="仿宋_GB2312" w:cs="仿宋_GB2312"/>
                <w:color w:val="000000"/>
                <w:sz w:val="24"/>
                <w:vertAlign w:val="superscript"/>
              </w:rPr>
              <w:t>2</w:t>
            </w:r>
            <w:r>
              <w:rPr>
                <w:rFonts w:hint="eastAsia" w:ascii="仿宋_GB2312" w:hAnsi="仿宋_GB2312" w:eastAsia="仿宋_GB2312" w:cs="仿宋_GB2312"/>
                <w:color w:val="000000"/>
                <w:sz w:val="24"/>
              </w:rPr>
              <w:t>，其中项目建设区</w:t>
            </w:r>
            <w:r>
              <w:rPr>
                <w:rFonts w:hint="eastAsia" w:ascii="仿宋_GB2312" w:hAnsi="仿宋_GB2312" w:eastAsia="仿宋_GB2312" w:cs="仿宋_GB2312"/>
                <w:color w:val="000000"/>
                <w:sz w:val="24"/>
                <w:lang w:val="en-US" w:eastAsia="zh-CN"/>
              </w:rPr>
              <w:t>7.18</w:t>
            </w:r>
            <w:r>
              <w:rPr>
                <w:rFonts w:hint="eastAsia" w:ascii="仿宋_GB2312" w:hAnsi="仿宋_GB2312" w:eastAsia="仿宋_GB2312" w:cs="仿宋_GB2312"/>
                <w:color w:val="000000"/>
                <w:sz w:val="24"/>
              </w:rPr>
              <w:t>hm</w:t>
            </w:r>
            <w:r>
              <w:rPr>
                <w:rFonts w:hint="eastAsia" w:ascii="仿宋_GB2312" w:hAnsi="仿宋_GB2312" w:eastAsia="仿宋_GB2312" w:cs="仿宋_GB2312"/>
                <w:color w:val="000000"/>
                <w:sz w:val="24"/>
                <w:vertAlign w:val="superscript"/>
              </w:rPr>
              <w:t>2</w:t>
            </w:r>
            <w:r>
              <w:rPr>
                <w:rFonts w:hint="eastAsia" w:ascii="仿宋_GB2312" w:hAnsi="仿宋_GB2312" w:eastAsia="仿宋_GB2312" w:cs="仿宋_GB2312"/>
                <w:color w:val="000000"/>
                <w:sz w:val="24"/>
              </w:rPr>
              <w:t>，无直接影响区。</w:t>
            </w:r>
            <w:r>
              <w:rPr>
                <w:rFonts w:hint="eastAsia" w:ascii="仿宋_GB2312" w:hAnsi="仿宋_GB2312" w:eastAsia="仿宋_GB2312" w:cs="仿宋_GB2312"/>
                <w:color w:val="000000"/>
                <w:sz w:val="24"/>
                <w:szCs w:val="24"/>
              </w:rPr>
              <w:t>与方案批复的防治责任范围</w:t>
            </w:r>
            <w:r>
              <w:rPr>
                <w:rFonts w:hint="eastAsia" w:ascii="仿宋_GB2312" w:hAnsi="仿宋_GB2312" w:eastAsia="仿宋_GB2312" w:cs="仿宋_GB2312"/>
                <w:color w:val="000000"/>
                <w:sz w:val="24"/>
                <w:szCs w:val="24"/>
                <w:lang w:eastAsia="zh-CN"/>
              </w:rPr>
              <w:t>减少了</w:t>
            </w:r>
            <w:r>
              <w:rPr>
                <w:rFonts w:hint="eastAsia" w:ascii="仿宋_GB2312" w:hAnsi="仿宋_GB2312" w:eastAsia="仿宋_GB2312" w:cs="仿宋_GB2312"/>
                <w:color w:val="000000"/>
                <w:sz w:val="24"/>
                <w:szCs w:val="24"/>
                <w:lang w:val="en-US" w:eastAsia="zh-CN"/>
              </w:rPr>
              <w:t>1.80</w:t>
            </w:r>
            <w:r>
              <w:rPr>
                <w:rFonts w:hint="eastAsia" w:ascii="仿宋_GB2312" w:hAnsi="仿宋_GB2312" w:eastAsia="仿宋_GB2312" w:cs="仿宋_GB2312"/>
                <w:color w:val="000000"/>
                <w:sz w:val="24"/>
              </w:rPr>
              <w:t>hm</w:t>
            </w:r>
            <w:r>
              <w:rPr>
                <w:rFonts w:hint="eastAsia" w:ascii="仿宋_GB2312" w:hAnsi="仿宋_GB2312" w:eastAsia="仿宋_GB2312" w:cs="仿宋_GB2312"/>
                <w:color w:val="000000"/>
                <w:sz w:val="24"/>
                <w:vertAlign w:val="superscript"/>
              </w:rPr>
              <w:t>2</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2、本工程在建设期本项目共计开挖土石方</w:t>
            </w:r>
            <w:r>
              <w:rPr>
                <w:rFonts w:hint="eastAsia" w:ascii="仿宋_GB2312" w:hAnsi="仿宋_GB2312" w:eastAsia="仿宋_GB2312" w:cs="仿宋_GB2312"/>
                <w:color w:val="auto"/>
                <w:sz w:val="24"/>
                <w:lang w:val="en-US" w:eastAsia="zh-CN"/>
              </w:rPr>
              <w:t>10.31</w:t>
            </w:r>
            <w:r>
              <w:rPr>
                <w:rFonts w:hint="eastAsia" w:ascii="仿宋_GB2312" w:hAnsi="仿宋_GB2312" w:eastAsia="仿宋_GB2312" w:cs="仿宋_GB2312"/>
                <w:color w:val="auto"/>
                <w:sz w:val="24"/>
              </w:rPr>
              <w:t>万m</w:t>
            </w:r>
            <w:r>
              <w:rPr>
                <w:rFonts w:hint="eastAsia" w:ascii="仿宋_GB2312" w:hAnsi="仿宋_GB2312" w:eastAsia="仿宋_GB2312" w:cs="仿宋_GB2312"/>
                <w:color w:val="auto"/>
                <w:sz w:val="24"/>
                <w:vertAlign w:val="superscript"/>
              </w:rPr>
              <w:t>3</w:t>
            </w:r>
            <w:r>
              <w:rPr>
                <w:rFonts w:hint="eastAsia" w:ascii="仿宋_GB2312" w:hAnsi="仿宋_GB2312" w:eastAsia="仿宋_GB2312" w:cs="仿宋_GB2312"/>
                <w:color w:val="auto"/>
                <w:sz w:val="24"/>
              </w:rPr>
              <w:t>（自然方），回填土石方</w:t>
            </w:r>
            <w:r>
              <w:rPr>
                <w:rFonts w:hint="eastAsia" w:ascii="仿宋_GB2312" w:hAnsi="仿宋_GB2312" w:eastAsia="仿宋_GB2312" w:cs="仿宋_GB2312"/>
                <w:color w:val="auto"/>
                <w:sz w:val="24"/>
                <w:lang w:val="en-US" w:eastAsia="zh-CN"/>
              </w:rPr>
              <w:t>4.92</w:t>
            </w:r>
            <w:r>
              <w:rPr>
                <w:rFonts w:hint="eastAsia" w:ascii="仿宋_GB2312" w:hAnsi="仿宋_GB2312" w:eastAsia="仿宋_GB2312" w:cs="仿宋_GB2312"/>
                <w:color w:val="auto"/>
                <w:sz w:val="24"/>
              </w:rPr>
              <w:t>万m</w:t>
            </w:r>
            <w:r>
              <w:rPr>
                <w:rFonts w:hint="eastAsia" w:ascii="仿宋_GB2312" w:hAnsi="仿宋_GB2312" w:eastAsia="仿宋_GB2312" w:cs="仿宋_GB2312"/>
                <w:color w:val="auto"/>
                <w:sz w:val="24"/>
                <w:vertAlign w:val="superscript"/>
              </w:rPr>
              <w:t>3</w:t>
            </w:r>
            <w:r>
              <w:rPr>
                <w:rFonts w:hint="eastAsia" w:ascii="仿宋_GB2312" w:hAnsi="仿宋_GB2312" w:eastAsia="仿宋_GB2312" w:cs="仿宋_GB2312"/>
                <w:color w:val="auto"/>
                <w:sz w:val="24"/>
              </w:rPr>
              <w:t>（自然方），弃方</w:t>
            </w:r>
            <w:r>
              <w:rPr>
                <w:rFonts w:hint="eastAsia" w:ascii="仿宋_GB2312" w:hAnsi="仿宋_GB2312" w:eastAsia="仿宋_GB2312" w:cs="仿宋_GB2312"/>
                <w:color w:val="auto"/>
                <w:sz w:val="24"/>
                <w:lang w:val="en-US" w:eastAsia="zh-CN"/>
              </w:rPr>
              <w:t>5.39</w:t>
            </w:r>
            <w:r>
              <w:rPr>
                <w:rFonts w:hint="eastAsia" w:ascii="仿宋_GB2312" w:hAnsi="仿宋_GB2312" w:eastAsia="仿宋_GB2312" w:cs="仿宋_GB2312"/>
                <w:color w:val="auto"/>
                <w:sz w:val="24"/>
              </w:rPr>
              <w:t>万m</w:t>
            </w:r>
            <w:r>
              <w:rPr>
                <w:rFonts w:hint="eastAsia" w:ascii="仿宋_GB2312" w:hAnsi="仿宋_GB2312" w:eastAsia="仿宋_GB2312" w:cs="仿宋_GB2312"/>
                <w:color w:val="auto"/>
                <w:sz w:val="24"/>
                <w:vertAlign w:val="superscript"/>
              </w:rPr>
              <w:t>3</w:t>
            </w:r>
            <w:r>
              <w:rPr>
                <w:rFonts w:hint="eastAsia" w:ascii="仿宋_GB2312" w:hAnsi="仿宋_GB2312" w:eastAsia="仿宋_GB2312" w:cs="仿宋_GB2312"/>
                <w:color w:val="auto"/>
                <w:sz w:val="24"/>
              </w:rPr>
              <w:t>，</w:t>
            </w:r>
            <w:r>
              <w:rPr>
                <w:rFonts w:hint="eastAsia" w:ascii="仿宋_GB2312" w:hAnsi="仿宋_GB2312" w:eastAsia="仿宋_GB2312" w:cs="仿宋_GB2312"/>
                <w:color w:val="000000"/>
                <w:sz w:val="24"/>
                <w:lang w:val="en-US" w:eastAsia="zh-CN"/>
              </w:rPr>
              <w:t>厂区弃方4.87万m</w:t>
            </w:r>
            <w:r>
              <w:rPr>
                <w:rFonts w:hint="eastAsia" w:ascii="仿宋_GB2312" w:hAnsi="仿宋_GB2312" w:eastAsia="仿宋_GB2312" w:cs="仿宋_GB2312"/>
                <w:color w:val="000000"/>
                <w:sz w:val="24"/>
                <w:vertAlign w:val="superscript"/>
                <w:lang w:val="en-US" w:eastAsia="zh-CN"/>
              </w:rPr>
              <w:t>3</w:t>
            </w:r>
            <w:r>
              <w:rPr>
                <w:rFonts w:hint="eastAsia" w:ascii="仿宋_GB2312" w:hAnsi="仿宋_GB2312" w:eastAsia="仿宋_GB2312" w:cs="仿宋_GB2312"/>
                <w:color w:val="000000"/>
                <w:sz w:val="24"/>
                <w:lang w:val="en-US" w:eastAsia="zh-CN"/>
              </w:rPr>
              <w:t>运至</w:t>
            </w:r>
            <w:r>
              <w:rPr>
                <w:rFonts w:hint="eastAsia" w:ascii="仿宋_GB2312" w:hAnsi="仿宋_GB2312" w:eastAsia="仿宋_GB2312" w:cs="仿宋_GB2312"/>
                <w:color w:val="000000"/>
                <w:sz w:val="24"/>
              </w:rPr>
              <w:t>运至工业园区昌龙大道工程进行综合利用</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管线敷设多余的</w:t>
            </w:r>
            <w:r>
              <w:rPr>
                <w:rFonts w:hint="eastAsia" w:ascii="仿宋_GB2312" w:hAnsi="仿宋_GB2312" w:eastAsia="仿宋_GB2312" w:cs="仿宋_GB2312"/>
                <w:color w:val="000000"/>
                <w:sz w:val="24"/>
                <w:lang w:val="en-US" w:eastAsia="zh-CN"/>
              </w:rPr>
              <w:t>0.52</w:t>
            </w:r>
            <w:r>
              <w:rPr>
                <w:rFonts w:hint="eastAsia" w:ascii="仿宋_GB2312" w:hAnsi="仿宋_GB2312" w:eastAsia="仿宋_GB2312" w:cs="仿宋_GB2312"/>
                <w:color w:val="000000"/>
                <w:sz w:val="24"/>
              </w:rPr>
              <w:t>万m</w:t>
            </w:r>
            <w:r>
              <w:rPr>
                <w:rFonts w:hint="eastAsia" w:ascii="仿宋_GB2312" w:hAnsi="仿宋_GB2312" w:eastAsia="仿宋_GB2312" w:cs="仿宋_GB2312"/>
                <w:color w:val="000000"/>
                <w:sz w:val="24"/>
                <w:vertAlign w:val="superscript"/>
              </w:rPr>
              <w:t>3</w:t>
            </w:r>
            <w:r>
              <w:rPr>
                <w:rFonts w:hint="eastAsia" w:ascii="仿宋_GB2312" w:hAnsi="仿宋_GB2312" w:eastAsia="仿宋_GB2312" w:cs="仿宋_GB2312"/>
                <w:color w:val="000000"/>
                <w:sz w:val="24"/>
              </w:rPr>
              <w:t>将沿管线作业带内就地平整。</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eastAsia="仿宋_GB2312"/>
                <w:snapToGrid w:val="0"/>
                <w:color w:val="000000"/>
                <w:sz w:val="24"/>
                <w:szCs w:val="24"/>
                <w:lang w:val="en-US" w:eastAsia="zh-CN" w:bidi="ar"/>
              </w:rPr>
            </w:pPr>
            <w:r>
              <w:rPr>
                <w:rFonts w:hint="eastAsia" w:ascii="仿宋_GB2312" w:hAnsi="仿宋_GB2312" w:eastAsia="仿宋_GB2312" w:cs="仿宋_GB2312"/>
                <w:color w:val="000000"/>
                <w:sz w:val="24"/>
                <w:szCs w:val="24"/>
              </w:rPr>
              <w:t>3、工程建设过程中建设单位</w:t>
            </w:r>
            <w:r>
              <w:rPr>
                <w:rFonts w:hint="eastAsia" w:ascii="仿宋_GB2312" w:hAnsi="仿宋_GB2312" w:eastAsia="仿宋_GB2312" w:cs="仿宋_GB2312"/>
                <w:color w:val="000000"/>
                <w:sz w:val="24"/>
                <w:szCs w:val="24"/>
                <w:lang w:eastAsia="zh-CN"/>
              </w:rPr>
              <w:t>基本</w:t>
            </w:r>
            <w:r>
              <w:rPr>
                <w:rFonts w:hint="eastAsia" w:ascii="仿宋_GB2312" w:hAnsi="仿宋_GB2312" w:eastAsia="仿宋_GB2312" w:cs="仿宋_GB2312"/>
                <w:color w:val="000000"/>
                <w:sz w:val="24"/>
                <w:szCs w:val="24"/>
              </w:rPr>
              <w:t>落实了水土保持方案确定的各项措施，</w:t>
            </w:r>
            <w:r>
              <w:rPr>
                <w:rFonts w:hint="eastAsia" w:ascii="仿宋_GB2312" w:hAnsi="仿宋_GB2312" w:eastAsia="仿宋_GB2312" w:cs="仿宋_GB2312"/>
                <w:color w:val="000000"/>
                <w:sz w:val="24"/>
                <w:szCs w:val="24"/>
                <w:lang w:eastAsia="zh-CN"/>
              </w:rPr>
              <w:t>实际完成工程措施：</w:t>
            </w:r>
            <w:r>
              <w:rPr>
                <w:rFonts w:hint="eastAsia" w:ascii="仿宋_GB2312" w:hAnsi="仿宋_GB2312" w:eastAsia="仿宋_GB2312" w:cs="仿宋_GB2312"/>
                <w:snapToGrid w:val="0"/>
                <w:color w:val="000000"/>
                <w:sz w:val="24"/>
                <w:szCs w:val="24"/>
                <w:lang w:bidi="ar"/>
              </w:rPr>
              <w:t>完成</w:t>
            </w:r>
            <w:r>
              <w:rPr>
                <w:rFonts w:hint="eastAsia" w:ascii="仿宋_GB2312" w:hAnsi="仿宋_GB2312" w:eastAsia="仿宋_GB2312" w:cs="仿宋_GB2312"/>
                <w:snapToGrid w:val="0"/>
                <w:color w:val="000000"/>
                <w:sz w:val="24"/>
                <w:szCs w:val="24"/>
                <w:lang w:eastAsia="zh-CN" w:bidi="ar"/>
              </w:rPr>
              <w:t>骨架护坡</w:t>
            </w:r>
            <w:r>
              <w:rPr>
                <w:rFonts w:hint="eastAsia" w:ascii="仿宋_GB2312" w:hAnsi="仿宋_GB2312" w:eastAsia="仿宋_GB2312" w:cs="仿宋_GB2312"/>
                <w:snapToGrid w:val="0"/>
                <w:color w:val="000000"/>
                <w:sz w:val="24"/>
                <w:szCs w:val="24"/>
                <w:lang w:val="en-US" w:eastAsia="zh-CN" w:bidi="ar"/>
              </w:rPr>
              <w:t>1937m</w:t>
            </w:r>
            <w:r>
              <w:rPr>
                <w:rFonts w:hint="eastAsia" w:ascii="仿宋_GB2312" w:hAnsi="仿宋_GB2312" w:eastAsia="仿宋_GB2312" w:cs="仿宋_GB2312"/>
                <w:snapToGrid w:val="0"/>
                <w:color w:val="000000"/>
                <w:sz w:val="24"/>
                <w:szCs w:val="24"/>
                <w:vertAlign w:val="superscript"/>
                <w:lang w:val="en-US" w:eastAsia="zh-CN" w:bidi="ar"/>
              </w:rPr>
              <w:t>2</w:t>
            </w:r>
            <w:r>
              <w:rPr>
                <w:rFonts w:hint="eastAsia" w:ascii="仿宋_GB2312" w:hAnsi="仿宋_GB2312" w:eastAsia="仿宋_GB2312" w:cs="仿宋_GB2312"/>
                <w:snapToGrid w:val="0"/>
                <w:color w:val="000000"/>
                <w:sz w:val="24"/>
                <w:szCs w:val="24"/>
                <w:lang w:eastAsia="zh-CN" w:bidi="ar"/>
              </w:rPr>
              <w:t>，雨水管网</w:t>
            </w:r>
            <w:r>
              <w:rPr>
                <w:rFonts w:hint="eastAsia" w:ascii="仿宋_GB2312" w:hAnsi="仿宋_GB2312" w:eastAsia="仿宋_GB2312" w:cs="仿宋_GB2312"/>
                <w:snapToGrid w:val="0"/>
                <w:color w:val="000000"/>
                <w:sz w:val="24"/>
                <w:szCs w:val="24"/>
                <w:lang w:val="en-US" w:eastAsia="zh-CN" w:bidi="ar"/>
              </w:rPr>
              <w:t>883m</w:t>
            </w:r>
            <w:r>
              <w:rPr>
                <w:rFonts w:hint="eastAsia" w:ascii="仿宋_GB2312" w:hAnsi="仿宋_GB2312" w:eastAsia="仿宋_GB2312" w:cs="仿宋_GB2312"/>
                <w:snapToGrid w:val="0"/>
                <w:color w:val="000000"/>
                <w:sz w:val="24"/>
                <w:szCs w:val="24"/>
                <w:lang w:eastAsia="zh-CN" w:bidi="ar"/>
              </w:rPr>
              <w:t>，浆砌石排水沟</w:t>
            </w:r>
            <w:r>
              <w:rPr>
                <w:rFonts w:hint="eastAsia" w:ascii="仿宋_GB2312" w:hAnsi="仿宋_GB2312" w:eastAsia="仿宋_GB2312" w:cs="仿宋_GB2312"/>
                <w:snapToGrid w:val="0"/>
                <w:color w:val="000000"/>
                <w:sz w:val="24"/>
                <w:szCs w:val="24"/>
                <w:lang w:val="en-US" w:eastAsia="zh-CN" w:bidi="ar"/>
              </w:rPr>
              <w:t>422m</w:t>
            </w:r>
            <w:r>
              <w:rPr>
                <w:rFonts w:hint="eastAsia" w:ascii="仿宋_GB2312" w:hAnsi="仿宋_GB2312" w:eastAsia="仿宋_GB2312" w:cs="仿宋_GB2312"/>
                <w:snapToGrid w:val="0"/>
                <w:color w:val="000000"/>
                <w:sz w:val="24"/>
                <w:szCs w:val="24"/>
                <w:lang w:eastAsia="zh-CN" w:bidi="ar"/>
              </w:rPr>
              <w:t>，表土剥离</w:t>
            </w:r>
            <w:r>
              <w:rPr>
                <w:rFonts w:hint="eastAsia" w:ascii="仿宋_GB2312" w:hAnsi="仿宋_GB2312" w:eastAsia="仿宋_GB2312" w:cs="仿宋_GB2312"/>
                <w:snapToGrid w:val="0"/>
                <w:color w:val="000000"/>
                <w:sz w:val="24"/>
                <w:szCs w:val="24"/>
                <w:lang w:val="en-US" w:eastAsia="zh-CN" w:bidi="ar"/>
              </w:rPr>
              <w:t>0.52hm</w:t>
            </w:r>
            <w:r>
              <w:rPr>
                <w:rFonts w:hint="eastAsia" w:ascii="仿宋_GB2312" w:hAnsi="仿宋_GB2312" w:eastAsia="仿宋_GB2312" w:cs="仿宋_GB2312"/>
                <w:snapToGrid w:val="0"/>
                <w:color w:val="000000"/>
                <w:sz w:val="24"/>
                <w:szCs w:val="24"/>
                <w:vertAlign w:val="superscript"/>
                <w:lang w:val="en-US" w:eastAsia="zh-CN" w:bidi="ar"/>
              </w:rPr>
              <w:t>2</w:t>
            </w:r>
            <w:r>
              <w:rPr>
                <w:rFonts w:hint="eastAsia" w:ascii="仿宋_GB2312" w:hAnsi="仿宋_GB2312" w:eastAsia="仿宋_GB2312" w:cs="仿宋_GB2312"/>
                <w:snapToGrid w:val="0"/>
                <w:color w:val="000000"/>
                <w:sz w:val="24"/>
                <w:szCs w:val="24"/>
                <w:lang w:eastAsia="zh-CN" w:bidi="ar"/>
              </w:rPr>
              <w:t>，表土回填</w:t>
            </w:r>
            <w:r>
              <w:rPr>
                <w:rFonts w:hint="eastAsia" w:ascii="仿宋_GB2312" w:hAnsi="仿宋_GB2312" w:eastAsia="仿宋_GB2312" w:cs="仿宋_GB2312"/>
                <w:snapToGrid w:val="0"/>
                <w:color w:val="000000"/>
                <w:sz w:val="24"/>
                <w:szCs w:val="24"/>
                <w:lang w:val="en-US" w:eastAsia="zh-CN" w:bidi="ar"/>
              </w:rPr>
              <w:t>2579m</w:t>
            </w:r>
            <w:r>
              <w:rPr>
                <w:rFonts w:hint="eastAsia" w:ascii="仿宋_GB2312" w:hAnsi="仿宋_GB2312" w:eastAsia="仿宋_GB2312" w:cs="仿宋_GB2312"/>
                <w:snapToGrid w:val="0"/>
                <w:color w:val="000000"/>
                <w:sz w:val="24"/>
                <w:szCs w:val="24"/>
                <w:vertAlign w:val="superscript"/>
                <w:lang w:val="en-US" w:eastAsia="zh-CN" w:bidi="ar"/>
              </w:rPr>
              <w:t>3</w:t>
            </w:r>
            <w:r>
              <w:rPr>
                <w:rFonts w:hint="eastAsia" w:ascii="仿宋_GB2312" w:hAnsi="仿宋_GB2312" w:eastAsia="仿宋_GB2312" w:cs="仿宋_GB2312"/>
                <w:snapToGrid w:val="0"/>
                <w:color w:val="000000"/>
                <w:sz w:val="24"/>
                <w:szCs w:val="24"/>
                <w:lang w:eastAsia="zh-CN" w:bidi="ar"/>
              </w:rPr>
              <w:t>，土地复耕</w:t>
            </w:r>
            <w:r>
              <w:rPr>
                <w:rFonts w:hint="eastAsia" w:ascii="仿宋_GB2312" w:hAnsi="仿宋_GB2312" w:eastAsia="仿宋_GB2312" w:cs="仿宋_GB2312"/>
                <w:snapToGrid w:val="0"/>
                <w:color w:val="000000"/>
                <w:sz w:val="24"/>
                <w:szCs w:val="24"/>
                <w:lang w:val="en-US" w:eastAsia="zh-CN" w:bidi="ar"/>
              </w:rPr>
              <w:t>2.45hm</w:t>
            </w:r>
            <w:r>
              <w:rPr>
                <w:rFonts w:hint="eastAsia" w:ascii="仿宋_GB2312" w:hAnsi="仿宋_GB2312" w:eastAsia="仿宋_GB2312" w:cs="仿宋_GB2312"/>
                <w:snapToGrid w:val="0"/>
                <w:color w:val="000000"/>
                <w:sz w:val="24"/>
                <w:szCs w:val="24"/>
                <w:vertAlign w:val="superscript"/>
                <w:lang w:val="en-US" w:eastAsia="zh-CN" w:bidi="ar"/>
              </w:rPr>
              <w:t>2</w:t>
            </w:r>
            <w:r>
              <w:rPr>
                <w:rFonts w:hint="eastAsia" w:ascii="仿宋_GB2312" w:hAnsi="仿宋_GB2312" w:eastAsia="仿宋_GB2312" w:cs="仿宋_GB2312"/>
                <w:snapToGrid w:val="0"/>
                <w:color w:val="000000"/>
                <w:sz w:val="24"/>
                <w:szCs w:val="24"/>
                <w:lang w:eastAsia="zh-CN" w:bidi="ar"/>
              </w:rPr>
              <w:t>；绿化措施：厂</w:t>
            </w:r>
            <w:r>
              <w:rPr>
                <w:rFonts w:hint="eastAsia" w:ascii="仿宋_GB2312" w:hAnsi="仿宋_GB2312" w:eastAsia="仿宋_GB2312" w:cs="仿宋_GB2312"/>
                <w:snapToGrid w:val="0"/>
                <w:color w:val="000000"/>
                <w:sz w:val="24"/>
                <w:szCs w:val="24"/>
                <w:lang w:bidi="ar"/>
              </w:rPr>
              <w:t>区规划绿化面积</w:t>
            </w:r>
            <w:r>
              <w:rPr>
                <w:rFonts w:hint="eastAsia" w:ascii="仿宋_GB2312" w:hAnsi="仿宋_GB2312" w:eastAsia="仿宋_GB2312" w:cs="仿宋_GB2312"/>
                <w:snapToGrid w:val="0"/>
                <w:color w:val="000000"/>
                <w:sz w:val="24"/>
                <w:szCs w:val="24"/>
                <w:lang w:val="en-US" w:eastAsia="zh-CN" w:bidi="ar"/>
              </w:rPr>
              <w:t>10113</w:t>
            </w:r>
            <w:r>
              <w:rPr>
                <w:rFonts w:hint="eastAsia" w:ascii="仿宋_GB2312" w:hAnsi="仿宋_GB2312" w:eastAsia="仿宋_GB2312" w:cs="仿宋_GB2312"/>
                <w:snapToGrid w:val="0"/>
                <w:color w:val="000000"/>
                <w:sz w:val="24"/>
                <w:szCs w:val="24"/>
                <w:lang w:bidi="ar"/>
              </w:rPr>
              <w:t>m</w:t>
            </w:r>
            <w:r>
              <w:rPr>
                <w:rFonts w:hint="eastAsia" w:ascii="仿宋_GB2312" w:hAnsi="仿宋_GB2312" w:eastAsia="仿宋_GB2312" w:cs="仿宋_GB2312"/>
                <w:snapToGrid w:val="0"/>
                <w:color w:val="000000"/>
                <w:sz w:val="24"/>
                <w:szCs w:val="24"/>
                <w:vertAlign w:val="superscript"/>
                <w:lang w:bidi="ar"/>
              </w:rPr>
              <w:t>2</w:t>
            </w:r>
            <w:r>
              <w:rPr>
                <w:rFonts w:hint="eastAsia" w:ascii="仿宋_GB2312" w:hAnsi="仿宋_GB2312" w:eastAsia="仿宋_GB2312" w:cs="仿宋_GB2312"/>
                <w:snapToGrid w:val="0"/>
                <w:color w:val="000000"/>
                <w:sz w:val="24"/>
                <w:szCs w:val="24"/>
                <w:lang w:bidi="ar"/>
              </w:rPr>
              <w:t>，</w:t>
            </w:r>
            <w:r>
              <w:rPr>
                <w:rFonts w:hint="eastAsia" w:ascii="仿宋_GB2312" w:hAnsi="仿宋_GB2312" w:eastAsia="仿宋_GB2312" w:cs="仿宋_GB2312"/>
                <w:snapToGrid w:val="0"/>
                <w:color w:val="000000"/>
                <w:sz w:val="24"/>
                <w:szCs w:val="24"/>
                <w:lang w:eastAsia="zh-CN" w:bidi="ar"/>
              </w:rPr>
              <w:t>全面整地</w:t>
            </w:r>
            <w:r>
              <w:rPr>
                <w:rFonts w:hint="eastAsia" w:ascii="仿宋_GB2312" w:hAnsi="仿宋_GB2312" w:eastAsia="仿宋_GB2312" w:cs="仿宋_GB2312"/>
                <w:snapToGrid w:val="0"/>
                <w:color w:val="000000"/>
                <w:sz w:val="24"/>
                <w:szCs w:val="24"/>
                <w:lang w:val="en-US" w:eastAsia="zh-CN" w:bidi="ar"/>
              </w:rPr>
              <w:t>3.50hm</w:t>
            </w:r>
            <w:r>
              <w:rPr>
                <w:rFonts w:hint="eastAsia" w:ascii="仿宋_GB2312" w:hAnsi="仿宋_GB2312" w:eastAsia="仿宋_GB2312" w:cs="仿宋_GB2312"/>
                <w:snapToGrid w:val="0"/>
                <w:color w:val="000000"/>
                <w:sz w:val="24"/>
                <w:szCs w:val="24"/>
                <w:vertAlign w:val="superscript"/>
                <w:lang w:val="en-US" w:eastAsia="zh-CN" w:bidi="ar"/>
              </w:rPr>
              <w:t>2</w:t>
            </w:r>
            <w:r>
              <w:rPr>
                <w:rFonts w:hint="eastAsia" w:ascii="仿宋_GB2312" w:hAnsi="仿宋_GB2312" w:eastAsia="仿宋_GB2312" w:cs="仿宋_GB2312"/>
                <w:snapToGrid w:val="0"/>
                <w:color w:val="000000"/>
                <w:sz w:val="24"/>
                <w:szCs w:val="24"/>
                <w:lang w:eastAsia="zh-CN" w:bidi="ar"/>
              </w:rPr>
              <w:t>，播撒草籽</w:t>
            </w:r>
            <w:r>
              <w:rPr>
                <w:rFonts w:hint="eastAsia" w:ascii="仿宋_GB2312" w:hAnsi="仿宋_GB2312" w:eastAsia="仿宋_GB2312" w:cs="仿宋_GB2312"/>
                <w:snapToGrid w:val="0"/>
                <w:color w:val="000000"/>
                <w:sz w:val="24"/>
                <w:szCs w:val="24"/>
                <w:lang w:val="en-US" w:eastAsia="zh-CN" w:bidi="ar"/>
              </w:rPr>
              <w:t>2.30hm</w:t>
            </w:r>
            <w:r>
              <w:rPr>
                <w:rFonts w:hint="eastAsia" w:ascii="仿宋_GB2312" w:hAnsi="仿宋_GB2312" w:eastAsia="仿宋_GB2312" w:cs="仿宋_GB2312"/>
                <w:snapToGrid w:val="0"/>
                <w:color w:val="000000"/>
                <w:sz w:val="24"/>
                <w:szCs w:val="24"/>
                <w:vertAlign w:val="superscript"/>
                <w:lang w:val="en-US" w:eastAsia="zh-CN" w:bidi="ar"/>
              </w:rPr>
              <w:t>2</w:t>
            </w:r>
            <w:r>
              <w:rPr>
                <w:rFonts w:hint="eastAsia" w:ascii="仿宋_GB2312" w:hAnsi="仿宋_GB2312" w:eastAsia="仿宋_GB2312" w:cs="仿宋_GB2312"/>
                <w:snapToGrid w:val="0"/>
                <w:color w:val="000000"/>
                <w:sz w:val="24"/>
                <w:szCs w:val="24"/>
                <w:lang w:val="en-US" w:eastAsia="zh-CN" w:bidi="ar"/>
              </w:rPr>
              <w:t>，种植行道树15株；</w:t>
            </w:r>
            <w:r>
              <w:rPr>
                <w:rFonts w:hint="eastAsia" w:ascii="仿宋_GB2312" w:hAnsi="仿宋_GB2312" w:eastAsia="仿宋_GB2312" w:cs="仿宋_GB2312"/>
                <w:snapToGrid w:val="0"/>
                <w:color w:val="000000"/>
                <w:sz w:val="24"/>
                <w:szCs w:val="24"/>
                <w:lang w:eastAsia="zh-CN" w:bidi="ar"/>
              </w:rPr>
              <w:t>临时措施：</w:t>
            </w:r>
            <w:r>
              <w:rPr>
                <w:rFonts w:hint="eastAsia" w:ascii="仿宋_GB2312" w:hAnsi="仿宋_GB2312" w:eastAsia="仿宋_GB2312" w:cs="仿宋_GB2312"/>
                <w:snapToGrid w:val="0"/>
                <w:color w:val="000000"/>
                <w:sz w:val="24"/>
                <w:szCs w:val="24"/>
                <w:lang w:bidi="ar"/>
              </w:rPr>
              <w:t>完成</w:t>
            </w:r>
            <w:r>
              <w:rPr>
                <w:rFonts w:hint="eastAsia" w:ascii="仿宋_GB2312" w:hAnsi="仿宋_GB2312" w:eastAsia="仿宋_GB2312" w:cs="仿宋_GB2312"/>
                <w:color w:val="000000"/>
                <w:kern w:val="0"/>
                <w:sz w:val="24"/>
                <w:szCs w:val="24"/>
                <w:lang w:eastAsia="zh-CN"/>
              </w:rPr>
              <w:t>编织袋装土挡拦</w:t>
            </w:r>
            <w:r>
              <w:rPr>
                <w:rFonts w:hint="eastAsia" w:ascii="仿宋_GB2312" w:hAnsi="仿宋_GB2312" w:eastAsia="仿宋_GB2312" w:cs="仿宋_GB2312"/>
                <w:bCs/>
                <w:color w:val="000000"/>
                <w:sz w:val="24"/>
                <w:szCs w:val="24"/>
                <w:lang w:val="en-US" w:eastAsia="zh-CN" w:bidi="ar"/>
              </w:rPr>
              <w:t>1100</w:t>
            </w:r>
            <w:r>
              <w:rPr>
                <w:rFonts w:hint="eastAsia" w:ascii="仿宋_GB2312" w:hAnsi="仿宋_GB2312" w:eastAsia="仿宋_GB2312" w:cs="仿宋_GB2312"/>
                <w:bCs/>
                <w:color w:val="000000"/>
                <w:sz w:val="24"/>
                <w:szCs w:val="24"/>
                <w:lang w:bidi="ar"/>
              </w:rPr>
              <w:t>m、</w:t>
            </w:r>
            <w:r>
              <w:rPr>
                <w:rFonts w:hint="eastAsia" w:ascii="仿宋_GB2312" w:hAnsi="仿宋_GB2312" w:eastAsia="仿宋_GB2312" w:cs="仿宋_GB2312"/>
                <w:bCs/>
                <w:color w:val="000000"/>
                <w:sz w:val="24"/>
                <w:szCs w:val="24"/>
                <w:lang w:eastAsia="zh-CN" w:bidi="ar"/>
              </w:rPr>
              <w:t>临时排水沟</w:t>
            </w:r>
            <w:r>
              <w:rPr>
                <w:rFonts w:hint="eastAsia" w:ascii="仿宋_GB2312" w:hAnsi="仿宋_GB2312" w:eastAsia="仿宋_GB2312" w:cs="仿宋_GB2312"/>
                <w:bCs/>
                <w:color w:val="000000"/>
                <w:sz w:val="24"/>
                <w:szCs w:val="24"/>
                <w:lang w:val="en-US" w:eastAsia="zh-CN" w:bidi="ar"/>
              </w:rPr>
              <w:t>1209m、</w:t>
            </w:r>
            <w:r>
              <w:rPr>
                <w:rFonts w:hint="eastAsia" w:ascii="仿宋_GB2312" w:hAnsi="仿宋_GB2312" w:eastAsia="仿宋_GB2312" w:cs="仿宋_GB2312"/>
                <w:bCs/>
                <w:color w:val="000000"/>
                <w:sz w:val="24"/>
                <w:szCs w:val="24"/>
                <w:lang w:bidi="ar"/>
              </w:rPr>
              <w:t>临时沉沙池</w:t>
            </w:r>
            <w:r>
              <w:rPr>
                <w:rFonts w:hint="eastAsia" w:ascii="仿宋_GB2312" w:hAnsi="仿宋_GB2312" w:eastAsia="仿宋_GB2312" w:cs="仿宋_GB2312"/>
                <w:bCs/>
                <w:color w:val="000000"/>
                <w:sz w:val="24"/>
                <w:szCs w:val="24"/>
                <w:lang w:val="en-US" w:eastAsia="zh-CN" w:bidi="ar"/>
              </w:rPr>
              <w:t>2</w:t>
            </w:r>
            <w:r>
              <w:rPr>
                <w:rFonts w:hint="eastAsia" w:ascii="仿宋_GB2312" w:hAnsi="仿宋_GB2312" w:eastAsia="仿宋_GB2312" w:cs="仿宋_GB2312"/>
                <w:bCs/>
                <w:color w:val="000000"/>
                <w:sz w:val="24"/>
                <w:szCs w:val="24"/>
                <w:lang w:eastAsia="zh-CN" w:bidi="ar"/>
              </w:rPr>
              <w:t>口</w:t>
            </w:r>
            <w:r>
              <w:rPr>
                <w:rFonts w:hint="eastAsia" w:ascii="仿宋_GB2312" w:hAnsi="仿宋_GB2312" w:eastAsia="仿宋_GB2312" w:cs="仿宋_GB2312"/>
                <w:bCs/>
                <w:color w:val="000000"/>
                <w:sz w:val="24"/>
                <w:szCs w:val="24"/>
                <w:lang w:bidi="ar"/>
              </w:rPr>
              <w:t>、</w:t>
            </w:r>
            <w:r>
              <w:rPr>
                <w:rFonts w:hint="eastAsia" w:ascii="仿宋_GB2312" w:hAnsi="仿宋_GB2312" w:eastAsia="仿宋_GB2312" w:cs="仿宋_GB2312"/>
                <w:bCs/>
                <w:color w:val="000000"/>
                <w:sz w:val="24"/>
                <w:szCs w:val="24"/>
                <w:lang w:eastAsia="zh-CN" w:bidi="ar"/>
              </w:rPr>
              <w:t>彩条布苫盖</w:t>
            </w:r>
            <w:r>
              <w:rPr>
                <w:rFonts w:hint="eastAsia" w:ascii="仿宋_GB2312" w:hAnsi="仿宋_GB2312" w:eastAsia="仿宋_GB2312" w:cs="仿宋_GB2312"/>
                <w:bCs/>
                <w:color w:val="000000"/>
                <w:sz w:val="24"/>
                <w:szCs w:val="24"/>
                <w:lang w:val="en-US" w:eastAsia="zh-CN" w:bidi="ar"/>
              </w:rPr>
              <w:t>13850</w:t>
            </w:r>
            <w:r>
              <w:rPr>
                <w:rFonts w:hint="eastAsia" w:ascii="仿宋_GB2312" w:hAnsi="仿宋_GB2312" w:eastAsia="仿宋_GB2312" w:cs="仿宋_GB2312"/>
                <w:bCs/>
                <w:color w:val="000000"/>
                <w:sz w:val="24"/>
                <w:szCs w:val="24"/>
                <w:lang w:bidi="ar"/>
              </w:rPr>
              <w:t>m</w:t>
            </w:r>
            <w:r>
              <w:rPr>
                <w:rFonts w:hint="eastAsia" w:ascii="仿宋_GB2312" w:hAnsi="仿宋_GB2312" w:eastAsia="仿宋_GB2312" w:cs="仿宋_GB2312"/>
                <w:bCs/>
                <w:color w:val="000000"/>
                <w:sz w:val="24"/>
                <w:szCs w:val="24"/>
                <w:vertAlign w:val="superscript"/>
                <w:lang w:val="en-US" w:eastAsia="zh-CN" w:bidi="ar"/>
              </w:rPr>
              <w:t>2</w:t>
            </w:r>
            <w:r>
              <w:rPr>
                <w:rFonts w:hint="eastAsia" w:ascii="仿宋_GB2312" w:hAnsi="仿宋_GB2312" w:eastAsia="仿宋_GB2312" w:cs="仿宋_GB2312"/>
                <w:bCs/>
                <w:color w:val="000000"/>
                <w:sz w:val="24"/>
                <w:szCs w:val="24"/>
                <w:lang w:bidi="ar"/>
              </w:rPr>
              <w:t>。</w:t>
            </w:r>
          </w:p>
          <w:p>
            <w:pPr>
              <w:keepNext w:val="0"/>
              <w:keepLines w:val="0"/>
              <w:pageBreakBefore w:val="0"/>
              <w:widowControl w:val="0"/>
              <w:kinsoku/>
              <w:wordWrap/>
              <w:overflowPunct/>
              <w:topLinePunct w:val="0"/>
              <w:bidi w:val="0"/>
              <w:spacing w:line="500" w:lineRule="exact"/>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sz w:val="24"/>
                <w:szCs w:val="24"/>
              </w:rPr>
              <w:t>本</w:t>
            </w:r>
            <w:r>
              <w:rPr>
                <w:rFonts w:hint="eastAsia" w:ascii="仿宋_GB2312" w:hAnsi="仿宋_GB2312" w:eastAsia="仿宋_GB2312" w:cs="仿宋_GB2312"/>
                <w:color w:val="auto"/>
                <w:sz w:val="24"/>
                <w:szCs w:val="24"/>
              </w:rPr>
              <w:t>项目实际完成水土保持总投资</w:t>
            </w:r>
            <w:r>
              <w:rPr>
                <w:rFonts w:hint="eastAsia" w:ascii="仿宋_GB2312" w:hAnsi="仿宋_GB2312" w:eastAsia="仿宋_GB2312" w:cs="仿宋_GB2312"/>
                <w:color w:val="auto"/>
                <w:sz w:val="24"/>
                <w:szCs w:val="24"/>
                <w:lang w:val="en-US" w:eastAsia="zh-CN"/>
              </w:rPr>
              <w:t>163.38</w:t>
            </w:r>
            <w:r>
              <w:rPr>
                <w:rFonts w:hint="eastAsia" w:ascii="仿宋_GB2312" w:hAnsi="仿宋_GB2312" w:eastAsia="仿宋_GB2312" w:cs="仿宋_GB2312"/>
                <w:color w:val="auto"/>
                <w:sz w:val="24"/>
                <w:szCs w:val="24"/>
              </w:rPr>
              <w:t>万元，较水保方案</w:t>
            </w:r>
            <w:r>
              <w:rPr>
                <w:rFonts w:hint="eastAsia" w:ascii="仿宋_GB2312" w:hAnsi="仿宋_GB2312" w:eastAsia="仿宋_GB2312" w:cs="仿宋_GB2312"/>
                <w:color w:val="auto"/>
                <w:sz w:val="24"/>
                <w:szCs w:val="24"/>
                <w:lang w:val="en-US" w:eastAsia="zh-CN"/>
              </w:rPr>
              <w:t>191.78万元</w:t>
            </w:r>
            <w:r>
              <w:rPr>
                <w:rFonts w:hint="eastAsia" w:ascii="仿宋_GB2312" w:hAnsi="仿宋_GB2312" w:eastAsia="仿宋_GB2312" w:cs="仿宋_GB2312"/>
                <w:color w:val="auto"/>
                <w:sz w:val="24"/>
                <w:szCs w:val="24"/>
              </w:rPr>
              <w:t>减少</w:t>
            </w:r>
            <w:r>
              <w:rPr>
                <w:rFonts w:hint="eastAsia" w:ascii="仿宋_GB2312" w:hAnsi="仿宋_GB2312" w:eastAsia="仿宋_GB2312" w:cs="仿宋_GB2312"/>
                <w:color w:val="auto"/>
                <w:sz w:val="24"/>
                <w:szCs w:val="24"/>
                <w:lang w:val="en-US" w:eastAsia="zh-CN"/>
              </w:rPr>
              <w:t>28.40</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eastAsia="zh-CN"/>
              </w:rPr>
              <w:t>实际完成</w:t>
            </w:r>
            <w:r>
              <w:rPr>
                <w:rFonts w:hint="eastAsia" w:ascii="仿宋_GB2312" w:hAnsi="仿宋_GB2312" w:eastAsia="仿宋_GB2312" w:cs="仿宋_GB2312"/>
                <w:color w:val="auto"/>
                <w:sz w:val="24"/>
                <w:szCs w:val="24"/>
              </w:rPr>
              <w:t>工程措施</w:t>
            </w:r>
            <w:r>
              <w:rPr>
                <w:rFonts w:hint="eastAsia" w:ascii="仿宋_GB2312" w:hAnsi="仿宋_GB2312" w:eastAsia="仿宋_GB2312" w:cs="仿宋_GB2312"/>
                <w:color w:val="auto"/>
                <w:sz w:val="24"/>
                <w:szCs w:val="24"/>
                <w:lang w:val="en-US" w:eastAsia="zh-CN"/>
              </w:rPr>
              <w:t>65.40</w:t>
            </w:r>
            <w:r>
              <w:rPr>
                <w:rFonts w:hint="eastAsia" w:ascii="仿宋_GB2312" w:hAnsi="仿宋_GB2312" w:eastAsia="仿宋_GB2312" w:cs="仿宋_GB2312"/>
                <w:color w:val="auto"/>
                <w:sz w:val="24"/>
                <w:szCs w:val="24"/>
              </w:rPr>
              <w:t>万元，植物措施费</w:t>
            </w:r>
            <w:r>
              <w:rPr>
                <w:rFonts w:hint="eastAsia" w:ascii="仿宋_GB2312" w:hAnsi="仿宋_GB2312" w:eastAsia="仿宋_GB2312" w:cs="仿宋_GB2312"/>
                <w:color w:val="auto"/>
                <w:sz w:val="24"/>
                <w:szCs w:val="24"/>
                <w:lang w:val="en-US" w:eastAsia="zh-CN"/>
              </w:rPr>
              <w:t>44.66</w:t>
            </w:r>
            <w:r>
              <w:rPr>
                <w:rFonts w:hint="eastAsia" w:ascii="仿宋_GB2312" w:hAnsi="仿宋_GB2312" w:eastAsia="仿宋_GB2312" w:cs="仿宋_GB2312"/>
                <w:color w:val="auto"/>
                <w:sz w:val="24"/>
                <w:szCs w:val="24"/>
              </w:rPr>
              <w:t>万元，监测设施费0万元，临时措施费</w:t>
            </w:r>
            <w:r>
              <w:rPr>
                <w:rFonts w:hint="eastAsia" w:ascii="仿宋_GB2312" w:hAnsi="仿宋_GB2312" w:eastAsia="仿宋_GB2312" w:cs="仿宋_GB2312"/>
                <w:color w:val="auto"/>
                <w:sz w:val="24"/>
                <w:szCs w:val="24"/>
                <w:lang w:val="en-US" w:eastAsia="zh-CN"/>
              </w:rPr>
              <w:t>33.93</w:t>
            </w:r>
            <w:r>
              <w:rPr>
                <w:rFonts w:hint="eastAsia" w:ascii="仿宋_GB2312" w:hAnsi="仿宋_GB2312" w:eastAsia="仿宋_GB2312" w:cs="仿宋_GB2312"/>
                <w:color w:val="auto"/>
                <w:sz w:val="24"/>
                <w:szCs w:val="24"/>
              </w:rPr>
              <w:t>万元，独立费用</w:t>
            </w:r>
            <w:r>
              <w:rPr>
                <w:rFonts w:hint="eastAsia" w:ascii="仿宋_GB2312" w:hAnsi="仿宋_GB2312" w:eastAsia="仿宋_GB2312" w:cs="仿宋_GB2312"/>
                <w:color w:val="auto"/>
                <w:sz w:val="24"/>
                <w:szCs w:val="24"/>
                <w:lang w:val="en-US" w:eastAsia="zh-CN"/>
              </w:rPr>
              <w:t>19.39</w:t>
            </w:r>
            <w:r>
              <w:rPr>
                <w:rFonts w:hint="eastAsia" w:ascii="仿宋_GB2312" w:hAnsi="仿宋_GB2312" w:eastAsia="仿宋_GB2312" w:cs="仿宋_GB2312"/>
                <w:color w:val="auto"/>
                <w:sz w:val="24"/>
                <w:szCs w:val="24"/>
              </w:rPr>
              <w:t>万元，基本预备费0万元，水土保持补偿费0万元。</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本项目实际水土保持投资最终以审计部门审计结果为准。</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（六）验收结论</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综上所述，验收组认为：</w:t>
            </w:r>
            <w:r>
              <w:rPr>
                <w:rFonts w:hint="eastAsia" w:ascii="仿宋_GB2312" w:hAnsi="仿宋_GB2312" w:eastAsia="仿宋_GB2312" w:cs="仿宋_GB2312"/>
                <w:sz w:val="24"/>
                <w:szCs w:val="24"/>
                <w:lang w:eastAsia="zh-CN"/>
              </w:rPr>
              <w:t>永川污水处理厂三期异地扩建工程</w:t>
            </w:r>
            <w:r>
              <w:rPr>
                <w:rFonts w:hint="eastAsia" w:ascii="仿宋_GB2312" w:hAnsi="仿宋_GB2312" w:eastAsia="仿宋_GB2312" w:cs="仿宋_GB2312"/>
                <w:color w:val="000000"/>
                <w:sz w:val="24"/>
                <w:szCs w:val="24"/>
              </w:rPr>
              <w:t>在建设期间，落实了水土保持方案及批复文件要求的各项水土保持措施，完成了水土流失预防和治理任务，水土流失防治指标达到水土保持方案确定的目标值，符合水土保持设施验收的条件，同意该项目水土保持设施通过验收。</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（七）后续管护要求</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t>该项目水土保持设施专项验收通过后，建设单位要进一步加强水土保持设施管护，确保其正常运行和发挥效益。</w:t>
            </w:r>
          </w:p>
        </w:tc>
      </w:tr>
    </w:tbl>
    <w:p>
      <w:pPr>
        <w:jc w:val="center"/>
        <w:rPr>
          <w:rFonts w:hint="eastAsia" w:ascii="Times New Roman" w:hAnsi="Times New Roman" w:eastAsia="宋体" w:cs="Times New Roman"/>
          <w:color w:val="000000" w:themeColor="text1"/>
          <w:sz w:val="30"/>
          <w:szCs w:val="30"/>
          <w:lang w:eastAsia="zh-CN"/>
          <w14:textFill>
            <w14:solidFill>
              <w14:schemeClr w14:val="tx1"/>
            </w14:solidFill>
          </w14:textFill>
        </w:rPr>
        <w:sectPr>
          <w:footerReference r:id="rId3" w:type="default"/>
          <w:pgSz w:w="11906" w:h="16838"/>
          <w:pgMar w:top="1440" w:right="1800" w:bottom="1440" w:left="1800" w:header="851" w:footer="992" w:gutter="0"/>
          <w:pgNumType w:fmt="decimal" w:start="2"/>
          <w:cols w:space="425" w:num="1"/>
          <w:docGrid w:type="lines" w:linePitch="312" w:charSpace="0"/>
        </w:sectPr>
      </w:pPr>
    </w:p>
    <w:p>
      <w:pPr>
        <w:jc w:val="both"/>
        <w:rPr>
          <w:rFonts w:hint="eastAsia" w:ascii="Times New Roman" w:hAnsi="Times New Roman" w:eastAsia="宋体" w:cs="Times New Roman"/>
          <w:color w:val="000000" w:themeColor="text1"/>
          <w:sz w:val="30"/>
          <w:szCs w:val="30"/>
          <w:lang w:eastAsia="zh-CN"/>
          <w14:textFill>
            <w14:solidFill>
              <w14:schemeClr w14:val="tx1"/>
            </w14:solidFill>
          </w14:textFill>
        </w:rPr>
      </w:pPr>
      <w:r>
        <w:rPr>
          <w:rFonts w:hint="eastAsia" w:ascii="Times New Roman" w:hAnsi="Times New Roman" w:eastAsia="宋体" w:cs="Times New Roman"/>
          <w:color w:val="000000" w:themeColor="text1"/>
          <w:sz w:val="30"/>
          <w:szCs w:val="30"/>
          <w:lang w:eastAsia="zh-CN"/>
          <w14:textFill>
            <w14:solidFill>
              <w14:schemeClr w14:val="tx1"/>
            </w14:solidFill>
          </w14:textFill>
        </w:rPr>
        <w:drawing>
          <wp:inline distT="0" distB="0" distL="114300" distR="114300">
            <wp:extent cx="5896610" cy="9276080"/>
            <wp:effectExtent l="0" t="0" r="8890" b="1270"/>
            <wp:docPr id="2" name="图片 2" descr="永川签字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川签字页"/>
                    <pic:cNvPicPr>
                      <a:picLocks noChangeAspect="1"/>
                    </pic:cNvPicPr>
                  </pic:nvPicPr>
                  <pic:blipFill>
                    <a:blip r:embed="rId7"/>
                    <a:stretch>
                      <a:fillRect/>
                    </a:stretch>
                  </pic:blipFill>
                  <pic:spPr>
                    <a:xfrm>
                      <a:off x="0" y="0"/>
                      <a:ext cx="5896610" cy="9276080"/>
                    </a:xfrm>
                    <a:prstGeom prst="rect">
                      <a:avLst/>
                    </a:prstGeom>
                  </pic:spPr>
                </pic:pic>
              </a:graphicData>
            </a:graphic>
          </wp:inline>
        </w:drawing>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color w:val="5B9BD5" w:themeColor="accent1"/>
        <w14:textFill>
          <w14:solidFill>
            <w14:schemeClr w14:val="accent1"/>
          </w14:solidFill>
        </w14:textFill>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jc w:val="center"/>
                          </w:pPr>
                          <w:r>
                            <w:rPr>
                              <w:color w:val="5B9BD5" w:themeColor="accent1"/>
                              <w:lang w:val="zh-CN"/>
                              <w14:textFill>
                                <w14:solidFill>
                                  <w14:schemeClr w14:val="accent1"/>
                                </w14:solidFill>
                              </w14:textFill>
                            </w:rPr>
                            <w:t xml:space="preserve"> </w:t>
                          </w:r>
                          <w:r>
                            <w:fldChar w:fldCharType="begin"/>
                          </w:r>
                          <w:r>
                            <w:instrText xml:space="preserve">PAGE  \* Arabic  \* MERGEFORMAT</w:instrText>
                          </w:r>
                          <w:r>
                            <w:fldChar w:fldCharType="separate"/>
                          </w:r>
                          <w:r>
                            <w:rPr>
                              <w:lang w:val="zh-CN"/>
                            </w:rPr>
                            <w:t>3</w:t>
                          </w:r>
                          <w:r>
                            <w:fldChar w:fldCharType="end"/>
                          </w:r>
                          <w:r>
                            <w:rPr>
                              <w:lang w:val="zh-CN"/>
                            </w:rPr>
                            <w:t xml:space="preserve"> / </w:t>
                          </w:r>
                          <w:r>
                            <w:fldChar w:fldCharType="begin"/>
                          </w:r>
                          <w:r>
                            <w:instrText xml:space="preserve">NUMPAGES  \* Arabic  \* MERGEFORMAT</w:instrText>
                          </w:r>
                          <w:r>
                            <w:fldChar w:fldCharType="separate"/>
                          </w:r>
                          <w:r>
                            <w:rPr>
                              <w:lang w:val="zh-CN"/>
                            </w:rPr>
                            <w:t>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jc w:val="center"/>
                    </w:pPr>
                    <w:r>
                      <w:rPr>
                        <w:color w:val="5B9BD5" w:themeColor="accent1"/>
                        <w:lang w:val="zh-CN"/>
                        <w14:textFill>
                          <w14:solidFill>
                            <w14:schemeClr w14:val="accent1"/>
                          </w14:solidFill>
                        </w14:textFill>
                      </w:rPr>
                      <w:t xml:space="preserve"> </w:t>
                    </w:r>
                    <w:r>
                      <w:fldChar w:fldCharType="begin"/>
                    </w:r>
                    <w:r>
                      <w:instrText xml:space="preserve">PAGE  \* Arabic  \* MERGEFORMAT</w:instrText>
                    </w:r>
                    <w:r>
                      <w:fldChar w:fldCharType="separate"/>
                    </w:r>
                    <w:r>
                      <w:rPr>
                        <w:lang w:val="zh-CN"/>
                      </w:rPr>
                      <w:t>3</w:t>
                    </w:r>
                    <w:r>
                      <w:fldChar w:fldCharType="end"/>
                    </w:r>
                    <w:r>
                      <w:rPr>
                        <w:lang w:val="zh-CN"/>
                      </w:rPr>
                      <w:t xml:space="preserve"> / </w:t>
                    </w:r>
                    <w:r>
                      <w:fldChar w:fldCharType="begin"/>
                    </w:r>
                    <w:r>
                      <w:instrText xml:space="preserve">NUMPAGES  \* Arabic  \* MERGEFORMAT</w:instrText>
                    </w:r>
                    <w:r>
                      <w:fldChar w:fldCharType="separate"/>
                    </w:r>
                    <w:r>
                      <w:rPr>
                        <w:lang w:val="zh-CN"/>
                      </w:rPr>
                      <w:t>6</w:t>
                    </w:r>
                    <w:r>
                      <w:rPr>
                        <w:lang w:val="zh-CN"/>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71B4"/>
    <w:multiLevelType w:val="singleLevel"/>
    <w:tmpl w:val="5A2E71B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F3E"/>
    <w:rsid w:val="00017855"/>
    <w:rsid w:val="000411D8"/>
    <w:rsid w:val="000422F4"/>
    <w:rsid w:val="00082658"/>
    <w:rsid w:val="000B7CAD"/>
    <w:rsid w:val="000C0EF2"/>
    <w:rsid w:val="000D5333"/>
    <w:rsid w:val="000F59BE"/>
    <w:rsid w:val="00106813"/>
    <w:rsid w:val="001227C9"/>
    <w:rsid w:val="00123B43"/>
    <w:rsid w:val="00125F97"/>
    <w:rsid w:val="00126656"/>
    <w:rsid w:val="0014388A"/>
    <w:rsid w:val="0014450C"/>
    <w:rsid w:val="00147D1F"/>
    <w:rsid w:val="0015092B"/>
    <w:rsid w:val="001539D7"/>
    <w:rsid w:val="00156391"/>
    <w:rsid w:val="00163519"/>
    <w:rsid w:val="00186F8D"/>
    <w:rsid w:val="001A17F8"/>
    <w:rsid w:val="001A2D66"/>
    <w:rsid w:val="001B305F"/>
    <w:rsid w:val="001B52B1"/>
    <w:rsid w:val="001C4863"/>
    <w:rsid w:val="001E357B"/>
    <w:rsid w:val="001F374B"/>
    <w:rsid w:val="001F5A89"/>
    <w:rsid w:val="00201313"/>
    <w:rsid w:val="00206BD3"/>
    <w:rsid w:val="00207DDD"/>
    <w:rsid w:val="00214665"/>
    <w:rsid w:val="00217545"/>
    <w:rsid w:val="00220CC0"/>
    <w:rsid w:val="0027554C"/>
    <w:rsid w:val="002904B6"/>
    <w:rsid w:val="002D638B"/>
    <w:rsid w:val="002F4E04"/>
    <w:rsid w:val="003062B4"/>
    <w:rsid w:val="003200B3"/>
    <w:rsid w:val="003269C3"/>
    <w:rsid w:val="003316B4"/>
    <w:rsid w:val="00337250"/>
    <w:rsid w:val="00366E67"/>
    <w:rsid w:val="003962E0"/>
    <w:rsid w:val="003C4748"/>
    <w:rsid w:val="003E59B1"/>
    <w:rsid w:val="003F480D"/>
    <w:rsid w:val="00422BEB"/>
    <w:rsid w:val="004503A8"/>
    <w:rsid w:val="00456728"/>
    <w:rsid w:val="004B33EF"/>
    <w:rsid w:val="004C3D6D"/>
    <w:rsid w:val="004E6602"/>
    <w:rsid w:val="004F6A84"/>
    <w:rsid w:val="00526350"/>
    <w:rsid w:val="00556361"/>
    <w:rsid w:val="00581D16"/>
    <w:rsid w:val="00590CF7"/>
    <w:rsid w:val="005B0B01"/>
    <w:rsid w:val="005B1FE3"/>
    <w:rsid w:val="0060686A"/>
    <w:rsid w:val="00611F65"/>
    <w:rsid w:val="006136AF"/>
    <w:rsid w:val="006141A1"/>
    <w:rsid w:val="00640D60"/>
    <w:rsid w:val="00645348"/>
    <w:rsid w:val="00680741"/>
    <w:rsid w:val="0068095B"/>
    <w:rsid w:val="00687B32"/>
    <w:rsid w:val="006A1541"/>
    <w:rsid w:val="006B5D14"/>
    <w:rsid w:val="006B60C4"/>
    <w:rsid w:val="006F3CBE"/>
    <w:rsid w:val="006F63D4"/>
    <w:rsid w:val="006F78CB"/>
    <w:rsid w:val="00712BD3"/>
    <w:rsid w:val="00721B32"/>
    <w:rsid w:val="007236D3"/>
    <w:rsid w:val="0076543E"/>
    <w:rsid w:val="00784C91"/>
    <w:rsid w:val="007854A0"/>
    <w:rsid w:val="007867BF"/>
    <w:rsid w:val="007A54C1"/>
    <w:rsid w:val="007E2B1F"/>
    <w:rsid w:val="0080306D"/>
    <w:rsid w:val="00846066"/>
    <w:rsid w:val="00852F2A"/>
    <w:rsid w:val="00856683"/>
    <w:rsid w:val="00867964"/>
    <w:rsid w:val="00881FF4"/>
    <w:rsid w:val="00882EF7"/>
    <w:rsid w:val="008904A3"/>
    <w:rsid w:val="008B5B80"/>
    <w:rsid w:val="008D5742"/>
    <w:rsid w:val="008E1DC6"/>
    <w:rsid w:val="009126E5"/>
    <w:rsid w:val="0093058E"/>
    <w:rsid w:val="00942D44"/>
    <w:rsid w:val="0095264A"/>
    <w:rsid w:val="00960422"/>
    <w:rsid w:val="00977DA1"/>
    <w:rsid w:val="009800D9"/>
    <w:rsid w:val="00986992"/>
    <w:rsid w:val="00990F15"/>
    <w:rsid w:val="0099337D"/>
    <w:rsid w:val="009C10A2"/>
    <w:rsid w:val="009D036D"/>
    <w:rsid w:val="009D124B"/>
    <w:rsid w:val="009D1B5D"/>
    <w:rsid w:val="009E74F6"/>
    <w:rsid w:val="00A01381"/>
    <w:rsid w:val="00A31289"/>
    <w:rsid w:val="00A70EFC"/>
    <w:rsid w:val="00A80B37"/>
    <w:rsid w:val="00AA11A1"/>
    <w:rsid w:val="00AA63C5"/>
    <w:rsid w:val="00AB36AE"/>
    <w:rsid w:val="00AD6FED"/>
    <w:rsid w:val="00AF1409"/>
    <w:rsid w:val="00AF60DF"/>
    <w:rsid w:val="00B05A8C"/>
    <w:rsid w:val="00B07F3D"/>
    <w:rsid w:val="00B606FF"/>
    <w:rsid w:val="00B731B2"/>
    <w:rsid w:val="00BD5FEB"/>
    <w:rsid w:val="00BE195B"/>
    <w:rsid w:val="00BE610F"/>
    <w:rsid w:val="00BF09F1"/>
    <w:rsid w:val="00BF6E1D"/>
    <w:rsid w:val="00BF78D5"/>
    <w:rsid w:val="00C15156"/>
    <w:rsid w:val="00C25CE4"/>
    <w:rsid w:val="00C858BC"/>
    <w:rsid w:val="00CA3718"/>
    <w:rsid w:val="00CA5A54"/>
    <w:rsid w:val="00CC0B5E"/>
    <w:rsid w:val="00CD3DEE"/>
    <w:rsid w:val="00CE3205"/>
    <w:rsid w:val="00CF1C8B"/>
    <w:rsid w:val="00D21AC2"/>
    <w:rsid w:val="00D4544E"/>
    <w:rsid w:val="00D76AC6"/>
    <w:rsid w:val="00D83F20"/>
    <w:rsid w:val="00DB5B10"/>
    <w:rsid w:val="00DC34FB"/>
    <w:rsid w:val="00DD5EF8"/>
    <w:rsid w:val="00DD7A57"/>
    <w:rsid w:val="00DE7761"/>
    <w:rsid w:val="00E65AB8"/>
    <w:rsid w:val="00EA46E2"/>
    <w:rsid w:val="00EC53CD"/>
    <w:rsid w:val="00ED20EE"/>
    <w:rsid w:val="00EE3078"/>
    <w:rsid w:val="00F1442C"/>
    <w:rsid w:val="00F25CEB"/>
    <w:rsid w:val="00F46EFB"/>
    <w:rsid w:val="00F702B8"/>
    <w:rsid w:val="00F845EC"/>
    <w:rsid w:val="00F961BE"/>
    <w:rsid w:val="00FC47EB"/>
    <w:rsid w:val="00FC5A87"/>
    <w:rsid w:val="00FC6ACB"/>
    <w:rsid w:val="00FD30B7"/>
    <w:rsid w:val="00FD5BCB"/>
    <w:rsid w:val="07337F67"/>
    <w:rsid w:val="085F5FA2"/>
    <w:rsid w:val="09FE0C38"/>
    <w:rsid w:val="0C5A6C47"/>
    <w:rsid w:val="10143155"/>
    <w:rsid w:val="11457CF0"/>
    <w:rsid w:val="116114EB"/>
    <w:rsid w:val="129D7D8F"/>
    <w:rsid w:val="177F3E24"/>
    <w:rsid w:val="1E1760D7"/>
    <w:rsid w:val="20461DAA"/>
    <w:rsid w:val="219F60D4"/>
    <w:rsid w:val="22B704DC"/>
    <w:rsid w:val="238D1B31"/>
    <w:rsid w:val="24B520CD"/>
    <w:rsid w:val="26E043FF"/>
    <w:rsid w:val="26F10A4B"/>
    <w:rsid w:val="28013077"/>
    <w:rsid w:val="28281905"/>
    <w:rsid w:val="28687287"/>
    <w:rsid w:val="28AC73E6"/>
    <w:rsid w:val="2BAB11D9"/>
    <w:rsid w:val="2D117B1B"/>
    <w:rsid w:val="33576819"/>
    <w:rsid w:val="362D3276"/>
    <w:rsid w:val="3657017E"/>
    <w:rsid w:val="38E63518"/>
    <w:rsid w:val="39FE69FC"/>
    <w:rsid w:val="3A723F2B"/>
    <w:rsid w:val="3ABB5ACB"/>
    <w:rsid w:val="3AE80A01"/>
    <w:rsid w:val="3EF217BC"/>
    <w:rsid w:val="3FC544D7"/>
    <w:rsid w:val="444F2C72"/>
    <w:rsid w:val="47A268E8"/>
    <w:rsid w:val="48023C30"/>
    <w:rsid w:val="4DC852A2"/>
    <w:rsid w:val="4F2E1BB1"/>
    <w:rsid w:val="4F6269BC"/>
    <w:rsid w:val="5079710F"/>
    <w:rsid w:val="5388436D"/>
    <w:rsid w:val="53AF42EB"/>
    <w:rsid w:val="556A4882"/>
    <w:rsid w:val="55F261F4"/>
    <w:rsid w:val="57AC450F"/>
    <w:rsid w:val="59BD09E8"/>
    <w:rsid w:val="5BE13F3E"/>
    <w:rsid w:val="5F455249"/>
    <w:rsid w:val="5F9915ED"/>
    <w:rsid w:val="62895EAF"/>
    <w:rsid w:val="663D530E"/>
    <w:rsid w:val="678D328E"/>
    <w:rsid w:val="681B3A9D"/>
    <w:rsid w:val="694C0484"/>
    <w:rsid w:val="696334D9"/>
    <w:rsid w:val="6C4B6A21"/>
    <w:rsid w:val="706F4F08"/>
    <w:rsid w:val="72492B65"/>
    <w:rsid w:val="72726F02"/>
    <w:rsid w:val="727C6C71"/>
    <w:rsid w:val="7481619E"/>
    <w:rsid w:val="757B329C"/>
    <w:rsid w:val="7587012F"/>
    <w:rsid w:val="768236D9"/>
    <w:rsid w:val="7AC63799"/>
    <w:rsid w:val="7B332CD3"/>
    <w:rsid w:val="7DAA49B2"/>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napToGrid w:val="0"/>
      <w:spacing w:line="360" w:lineRule="auto"/>
      <w:ind w:firstLine="640" w:firstLineChars="200"/>
      <w:jc w:val="left"/>
      <w:outlineLvl w:val="0"/>
    </w:pPr>
    <w:rPr>
      <w:rFonts w:ascii="黑体" w:hAnsi="黑体" w:eastAsia="黑体" w:cs="Times New Roman"/>
      <w:bCs/>
      <w:kern w:val="44"/>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Body Text Indent"/>
    <w:basedOn w:val="1"/>
    <w:link w:val="13"/>
    <w:qFormat/>
    <w:uiPriority w:val="0"/>
    <w:pPr>
      <w:widowControl/>
      <w:ind w:firstLine="675"/>
    </w:pPr>
    <w:rPr>
      <w:rFonts w:eastAsia="宋体"/>
      <w:sz w:val="28"/>
      <w:szCs w:val="28"/>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标题 1 Char"/>
    <w:basedOn w:val="10"/>
    <w:link w:val="2"/>
    <w:qFormat/>
    <w:uiPriority w:val="0"/>
    <w:rPr>
      <w:rFonts w:ascii="黑体" w:hAnsi="黑体" w:eastAsia="黑体" w:cs="Times New Roman"/>
      <w:bCs/>
      <w:kern w:val="44"/>
      <w:sz w:val="32"/>
      <w:szCs w:val="32"/>
    </w:rPr>
  </w:style>
  <w:style w:type="character" w:customStyle="1" w:styleId="13">
    <w:name w:val="正文文本缩进 Char"/>
    <w:basedOn w:val="10"/>
    <w:link w:val="4"/>
    <w:qFormat/>
    <w:uiPriority w:val="0"/>
    <w:rPr>
      <w:rFonts w:eastAsia="宋体"/>
      <w:sz w:val="28"/>
      <w:szCs w:val="28"/>
    </w:rPr>
  </w:style>
  <w:style w:type="character" w:customStyle="1" w:styleId="14">
    <w:name w:val="页脚 Char"/>
    <w:basedOn w:val="10"/>
    <w:link w:val="7"/>
    <w:qFormat/>
    <w:uiPriority w:val="99"/>
    <w:rPr>
      <w:sz w:val="18"/>
      <w:szCs w:val="18"/>
    </w:rPr>
  </w:style>
  <w:style w:type="character" w:customStyle="1" w:styleId="15">
    <w:name w:val="批注框文本 Char"/>
    <w:basedOn w:val="10"/>
    <w:link w:val="6"/>
    <w:semiHidden/>
    <w:qFormat/>
    <w:uiPriority w:val="99"/>
    <w:rPr>
      <w:sz w:val="18"/>
      <w:szCs w:val="18"/>
    </w:rPr>
  </w:style>
  <w:style w:type="character" w:customStyle="1" w:styleId="16">
    <w:name w:val="页眉 Char"/>
    <w:basedOn w:val="10"/>
    <w:link w:val="8"/>
    <w:qFormat/>
    <w:uiPriority w:val="99"/>
    <w:rPr>
      <w:sz w:val="18"/>
      <w:szCs w:val="18"/>
    </w:rPr>
  </w:style>
  <w:style w:type="character" w:customStyle="1" w:styleId="17">
    <w:name w:val="日期 Char"/>
    <w:basedOn w:val="10"/>
    <w:link w:val="5"/>
    <w:semiHidden/>
    <w:qFormat/>
    <w:uiPriority w:val="99"/>
    <w:rPr>
      <w:rFonts w:asciiTheme="minorHAnsi" w:hAnsiTheme="minorHAnsi" w:eastAsiaTheme="minorEastAsia" w:cstheme="minorBidi"/>
      <w:kern w:val="2"/>
      <w:sz w:val="21"/>
      <w:szCs w:val="22"/>
    </w:rPr>
  </w:style>
  <w:style w:type="paragraph" w:customStyle="1" w:styleId="18">
    <w:name w:val="Char2 Char Char Char Char Char Char Char Char"/>
    <w:basedOn w:val="1"/>
    <w:qFormat/>
    <w:uiPriority w:val="0"/>
    <w:rPr>
      <w:rFonts w:ascii="Times New Roman" w:hAnsi="Times New Roman" w:eastAsia="宋体" w:cs="Times New Roman"/>
    </w:rPr>
  </w:style>
  <w:style w:type="character" w:customStyle="1" w:styleId="19">
    <w:name w:val="正文文本（使用1） Char"/>
    <w:link w:val="20"/>
    <w:qFormat/>
    <w:uiPriority w:val="0"/>
    <w:rPr>
      <w:rFonts w:ascii="宋体"/>
      <w:color w:val="0000FF"/>
      <w:kern w:val="2"/>
      <w:sz w:val="24"/>
    </w:rPr>
  </w:style>
  <w:style w:type="paragraph" w:customStyle="1" w:styleId="20">
    <w:name w:val="正文文本（使用1）"/>
    <w:basedOn w:val="1"/>
    <w:link w:val="19"/>
    <w:qFormat/>
    <w:uiPriority w:val="0"/>
    <w:pPr>
      <w:adjustRightInd w:val="0"/>
      <w:snapToGrid w:val="0"/>
      <w:spacing w:line="360" w:lineRule="auto"/>
      <w:ind w:firstLine="480" w:firstLineChars="200"/>
    </w:pPr>
    <w:rPr>
      <w:rFonts w:ascii="宋体" w:hAnsi="Times New Roman" w:eastAsia="宋体" w:cs="Times New Roman"/>
      <w:color w:val="0000FF"/>
      <w:sz w:val="24"/>
      <w:szCs w:val="20"/>
    </w:rPr>
  </w:style>
  <w:style w:type="character" w:customStyle="1" w:styleId="21">
    <w:name w:val="正文 Char"/>
    <w:link w:val="22"/>
    <w:qFormat/>
    <w:uiPriority w:val="0"/>
    <w:rPr>
      <w:rFonts w:cs="宋体"/>
      <w:kern w:val="2"/>
      <w:sz w:val="24"/>
    </w:rPr>
  </w:style>
  <w:style w:type="paragraph" w:customStyle="1" w:styleId="22">
    <w:name w:val="正文2"/>
    <w:basedOn w:val="1"/>
    <w:link w:val="21"/>
    <w:qFormat/>
    <w:uiPriority w:val="0"/>
    <w:pPr>
      <w:spacing w:line="360" w:lineRule="auto"/>
      <w:ind w:firstLine="480" w:firstLineChars="200"/>
    </w:pPr>
    <w:rPr>
      <w:rFonts w:ascii="Times New Roman" w:hAnsi="Times New Roman" w:eastAsia="宋体" w:cs="宋体"/>
      <w:sz w:val="24"/>
      <w:szCs w:val="20"/>
    </w:rPr>
  </w:style>
  <w:style w:type="paragraph" w:customStyle="1" w:styleId="23">
    <w:name w:val="样式 小四 段前: 7.8 磅 段后: 7.8 磅 行距: 1.5 倍行距"/>
    <w:basedOn w:val="1"/>
    <w:qFormat/>
    <w:uiPriority w:val="0"/>
    <w:pPr>
      <w:adjustRightInd w:val="0"/>
      <w:snapToGrid w:val="0"/>
      <w:spacing w:line="360" w:lineRule="auto"/>
      <w:ind w:firstLine="480" w:firstLineChars="200"/>
    </w:pPr>
    <w:rPr>
      <w:rFonts w:ascii="Times New Roman" w:hAnsi="Times New Roman" w:eastAsia="宋体" w:cs="Times New Roman"/>
      <w:color w:val="FF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0EB42-6E51-49AE-B861-35CB406A37E4}">
  <ds:schemaRefs/>
</ds:datastoreItem>
</file>

<file path=docProps/app.xml><?xml version="1.0" encoding="utf-8"?>
<Properties xmlns="http://schemas.openxmlformats.org/officeDocument/2006/extended-properties" xmlns:vt="http://schemas.openxmlformats.org/officeDocument/2006/docPropsVTypes">
  <Template>Normal</Template>
  <Company>JDC</Company>
  <Pages>6</Pages>
  <Words>2503</Words>
  <Characters>2853</Characters>
  <Lines>18</Lines>
  <Paragraphs>5</Paragraphs>
  <TotalTime>1</TotalTime>
  <ScaleCrop>false</ScaleCrop>
  <LinksUpToDate>false</LinksUpToDate>
  <CharactersWithSpaces>2885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2019-09-30T02:01:00Z</dcterms:created>
  <dc:creator>LIUYu</dc:creator>
  <cp:lastModifiedBy>WPS_1609847303</cp:lastModifiedBy>
  <cp:lastPrinted>2019-12-07T08:05:00Z</cp:lastPrinted>
  <dcterms:modified xsi:type="dcterms:W3CDTF">2021-03-17T01:22:20Z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