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 w:val="0"/>
          <w:color w:val="000000"/>
          <w:sz w:val="44"/>
          <w:szCs w:val="44"/>
          <w:lang w:eastAsia="zh-CN"/>
        </w:rPr>
      </w:pPr>
      <w:r>
        <w:rPr>
          <w:rFonts w:ascii="Times New Roman" w:hAnsi="Times New Roman" w:eastAsia="方正小标宋_GBK"/>
          <w:color w:val="000000"/>
          <w:sz w:val="44"/>
          <w:szCs w:val="44"/>
        </w:rPr>
        <w:t>关于</w:t>
      </w:r>
      <w:r>
        <w:rPr>
          <w:rFonts w:hint="eastAsia" w:eastAsia="方正小标宋_GBK" w:cs="方正小标宋_GBK"/>
          <w:b w:val="0"/>
          <w:color w:val="000000"/>
          <w:sz w:val="44"/>
          <w:szCs w:val="44"/>
          <w:lang w:eastAsia="zh-CN"/>
        </w:rPr>
        <w:t>涪江重庆段航道整治工程</w:t>
      </w:r>
      <w:r>
        <w:rPr>
          <w:rFonts w:hint="eastAsia" w:ascii="Times New Roman" w:hAnsi="Times New Roman" w:eastAsia="方正小标宋_GBK" w:cs="方正小标宋_GBK"/>
          <w:b w:val="0"/>
          <w:color w:val="000000"/>
          <w:sz w:val="44"/>
          <w:szCs w:val="44"/>
          <w:lang w:eastAsia="zh-CN"/>
        </w:rPr>
        <w:t>水土保持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hint="eastAsia" w:ascii="Times New Roman" w:hAnsi="Times New Roman" w:eastAsia="方正小标宋_GBK" w:cs="方正小标宋_GBK"/>
          <w:b w:val="0"/>
          <w:color w:val="000000"/>
          <w:sz w:val="44"/>
          <w:szCs w:val="44"/>
          <w:lang w:eastAsia="zh-CN"/>
        </w:rPr>
        <w:t>方案</w:t>
      </w:r>
      <w:r>
        <w:rPr>
          <w:rFonts w:ascii="Times New Roman" w:hAnsi="Times New Roman" w:eastAsia="方正小标宋_GBK"/>
          <w:color w:val="000000"/>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重庆航运建设发展（集团）有限公司</w:t>
      </w:r>
      <w:r>
        <w:rPr>
          <w:rFonts w:ascii="Times New Roman" w:hAnsi="Times New Roman" w:eastAsia="方正仿宋_GBK"/>
          <w:color w:val="auto"/>
          <w:sz w:val="32"/>
          <w:szCs w:val="32"/>
        </w:rPr>
        <w:t>：</w:t>
      </w:r>
    </w:p>
    <w:p>
      <w:pPr>
        <w:snapToGrid w:val="0"/>
        <w:spacing w:line="594"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ascii="Times New Roman" w:hAnsi="Times New Roman" w:eastAsia="方正仿宋_GBK" w:cs="Times New Roman"/>
          <w:color w:val="auto"/>
          <w:sz w:val="32"/>
          <w:szCs w:val="32"/>
          <w:lang w:eastAsia="zh-CN"/>
        </w:rPr>
        <w:t>司</w:t>
      </w:r>
      <w:r>
        <w:rPr>
          <w:rFonts w:hint="default" w:ascii="Times New Roman" w:hAnsi="Times New Roman" w:eastAsia="方正仿宋_GBK" w:cs="Times New Roman"/>
          <w:color w:val="auto"/>
          <w:sz w:val="32"/>
          <w:szCs w:val="32"/>
          <w:lang w:eastAsia="zh-CN"/>
        </w:rPr>
        <w:t>提交的</w:t>
      </w:r>
      <w:r>
        <w:rPr>
          <w:rFonts w:hint="eastAsia" w:ascii="Times New Roman" w:hAnsi="Times New Roman" w:eastAsia="方正仿宋_GBK" w:cs="Times New Roman"/>
          <w:color w:val="auto"/>
          <w:sz w:val="32"/>
          <w:szCs w:val="32"/>
          <w:lang w:eastAsia="zh-CN"/>
        </w:rPr>
        <w:t>涪江重庆段航道整治工程水土保持方案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2210</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500117</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04</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01</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909799</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涪江重庆段航道整治工程水土保持方案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（三）同意水土流失防治责任范围界定，水土流失防治责任范围面积为59.51hm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合川区28.30hm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，铜梁区2.15hm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，潼南区29.06hm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（四）同意项目水土流失防治标准执等级行西南紫色土区建设类项目一级标准。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（五）同意水土流失防治目标。其中：水土流失治理度97%，土壤流失控制比1.0，渣土防护率94%，表土保护率92%，林草植被恢复率97%，林草覆盖率27%</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水</w:t>
      </w:r>
      <w:r>
        <w:rPr>
          <w:rFonts w:hint="eastAsia" w:ascii="Times New Roman" w:hAnsi="Times New Roman" w:eastAsia="方正仿宋_GBK" w:cs="Times New Roman"/>
          <w:color w:val="auto"/>
          <w:sz w:val="32"/>
          <w:szCs w:val="32"/>
          <w:lang w:eastAsia="zh-CN"/>
        </w:rPr>
        <w:t>土保持</w:t>
      </w:r>
      <w:r>
        <w:rPr>
          <w:rFonts w:hint="eastAsia" w:ascii="Times New Roman" w:hAnsi="Times New Roman" w:eastAsia="方正仿宋_GBK" w:cs="Times New Roman"/>
          <w:color w:val="auto"/>
          <w:sz w:val="32"/>
          <w:szCs w:val="32"/>
        </w:rPr>
        <w:t>方案工程静态总投资655.68</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万元，其中：主体已列445.80万元，方案新增209.88</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万元（其中：工程措施2.69万元，植物措施0.51万元，监测措施15.29万元，施工临时措施32.41万元，独立费用68.51万元，基本预备费7.16万元，水土保持补偿费83.31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（七）本项目的地点、规模如发生重大变化，或者水土保持方案实施过程中水土保持措施发生重大变更的，应按</w:t>
      </w:r>
      <w:r>
        <w:rPr>
          <w:rFonts w:hint="eastAsia" w:ascii="Times New Roman" w:hAnsi="Times New Roman" w:eastAsia="方正仿宋_GBK"/>
          <w:snapToGrid w:val="0"/>
          <w:color w:val="auto"/>
          <w:kern w:val="0"/>
          <w:sz w:val="32"/>
          <w:szCs w:val="32"/>
        </w:rPr>
        <w:t>照“</w:t>
      </w:r>
      <w:r>
        <w:rPr>
          <w:rFonts w:hint="eastAsia" w:ascii="Times New Roman" w:hAnsi="Times New Roman" w:eastAsia="方正仿宋_GBK" w:cs="Times New Roman"/>
          <w:snapToGrid w:val="0"/>
          <w:color w:val="auto"/>
          <w:kern w:val="0"/>
          <w:sz w:val="32"/>
          <w:szCs w:val="32"/>
          <w:lang w:eastAsia="zh-CN"/>
        </w:rPr>
        <w:t>水利部第</w:t>
      </w:r>
      <w:r>
        <w:rPr>
          <w:rFonts w:hint="eastAsia" w:ascii="Times New Roman" w:hAnsi="Times New Roman" w:eastAsia="方正仿宋_GBK" w:cs="Times New Roman"/>
          <w:snapToGrid w:val="0"/>
          <w:color w:val="auto"/>
          <w:kern w:val="0"/>
          <w:sz w:val="32"/>
          <w:szCs w:val="32"/>
          <w:lang w:val="en-US" w:eastAsia="zh-CN"/>
        </w:rPr>
        <w:t>53号令</w:t>
      </w:r>
      <w:r>
        <w:rPr>
          <w:rFonts w:hint="eastAsia" w:ascii="Times New Roman" w:hAnsi="Times New Roman" w:eastAsia="方正仿宋_GBK" w:cs="Times New Roman"/>
          <w:snapToGrid w:val="0"/>
          <w:color w:val="auto"/>
          <w:kern w:val="0"/>
          <w:sz w:val="32"/>
          <w:szCs w:val="32"/>
          <w:lang w:eastAsia="zh-CN"/>
        </w:rPr>
        <w:t>”规定办理。确需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w:t>
      </w:r>
      <w:r>
        <w:rPr>
          <w:rFonts w:hint="eastAsia" w:ascii="Times New Roman" w:hAnsi="Times New Roman" w:eastAsia="方正仿宋_GBK" w:cs="方正仿宋_GBK"/>
          <w:b w:val="0"/>
          <w:bCs w:val="0"/>
          <w:snapToGrid w:val="0"/>
          <w:color w:val="auto"/>
          <w:spacing w:val="0"/>
          <w:w w:val="100"/>
          <w:kern w:val="0"/>
          <w:sz w:val="32"/>
          <w:szCs w:val="32"/>
          <w:lang w:val="en-US" w:eastAsia="zh-CN"/>
        </w:rPr>
        <w:t>开工建设前</w:t>
      </w:r>
      <w:r>
        <w:rPr>
          <w:rFonts w:hint="eastAsia" w:ascii="Times New Roman" w:hAnsi="Times New Roman" w:eastAsia="方正仿宋_GBK"/>
          <w:snapToGrid w:val="0"/>
          <w:color w:val="auto"/>
          <w:kern w:val="0"/>
          <w:sz w:val="32"/>
          <w:szCs w:val="32"/>
          <w:lang w:val="en-US" w:eastAsia="zh-CN"/>
        </w:rPr>
        <w:t>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278" w:leftChars="228" w:right="0" w:hanging="640" w:hanging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涪江重庆段航道整治工程</w:t>
      </w:r>
      <w:r>
        <w:rPr>
          <w:rFonts w:hint="eastAsia" w:ascii="Times New Roman" w:hAnsi="Times New Roman" w:eastAsia="方正仿宋_GBK" w:cs="方正仿宋_GBK"/>
          <w:bCs/>
          <w:color w:val="auto"/>
          <w:spacing w:val="-11"/>
          <w:sz w:val="32"/>
          <w:szCs w:val="32"/>
        </w:rPr>
        <w:t>水土保持方案</w:t>
      </w:r>
      <w:r>
        <w:rPr>
          <w:rFonts w:hint="eastAsia" w:ascii="Times New Roman" w:hAnsi="Times New Roman" w:eastAsia="方正仿宋_GBK" w:cs="方正仿宋_GBK"/>
          <w:bCs/>
          <w:snapToGrid w:val="0"/>
          <w:color w:val="auto"/>
          <w:spacing w:val="-11"/>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2236" w:leftChars="570" w:right="0" w:hanging="640" w:hanging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涪江重庆段航道整治工程</w:t>
      </w:r>
      <w:r>
        <w:rPr>
          <w:rFonts w:hint="eastAsia" w:ascii="Times New Roman" w:hAnsi="Times New Roman" w:eastAsia="方正仿宋_GBK" w:cs="方正仿宋_GBK"/>
          <w:snapToGrid w:val="0"/>
          <w:color w:val="auto"/>
          <w:spacing w:val="-6"/>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eastAsia="方正仿宋_GBK"/>
          <w:color w:val="auto"/>
          <w:sz w:val="32"/>
          <w:szCs w:val="32"/>
          <w:lang w:val="en-US" w:eastAsia="zh-CN"/>
        </w:rPr>
        <w:t>5</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1</w:t>
      </w:r>
      <w:r>
        <w:rPr>
          <w:rFonts w:ascii="Times New Roman" w:hAnsi="Times New Roman" w:eastAsia="方正仿宋_GBK"/>
          <w:color w:val="auto"/>
          <w:sz w:val="32"/>
          <w:szCs w:val="32"/>
        </w:rPr>
        <w:t>月</w:t>
      </w:r>
      <w:r>
        <w:rPr>
          <w:rFonts w:hint="eastAsia" w:eastAsia="方正仿宋_GBK"/>
          <w:color w:val="auto"/>
          <w:sz w:val="32"/>
          <w:szCs w:val="32"/>
          <w:lang w:val="en-US" w:eastAsia="zh-CN"/>
        </w:rPr>
        <w:t>2</w:t>
      </w:r>
      <w:bookmarkStart w:id="0" w:name="_GoBack"/>
      <w:bookmarkEnd w:id="0"/>
      <w:r>
        <w:rPr>
          <w:rFonts w:hint="eastAsia" w:eastAsia="方正仿宋_GBK"/>
          <w:color w:val="auto"/>
          <w:sz w:val="32"/>
          <w:szCs w:val="32"/>
          <w:lang w:val="en-US" w:eastAsia="zh-CN"/>
        </w:rPr>
        <w:t>6</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（此件</w:t>
      </w:r>
      <w:r>
        <w:rPr>
          <w:rFonts w:hint="eastAsia" w:ascii="Times New Roman" w:hAnsi="Times New Roman" w:eastAsia="方正仿宋_GBK" w:cs="Times New Roman"/>
          <w:snapToGrid w:val="0"/>
          <w:color w:val="auto"/>
          <w:kern w:val="0"/>
          <w:sz w:val="32"/>
          <w:szCs w:val="32"/>
          <w:lang w:eastAsia="zh-CN"/>
        </w:rPr>
        <w:t>主动</w:t>
      </w:r>
      <w:r>
        <w:rPr>
          <w:rFonts w:ascii="Times New Roman" w:hAnsi="Times New Roman" w:eastAsia="方正仿宋_GBK" w:cs="Times New Roman"/>
          <w:snapToGrid w:val="0"/>
          <w:color w:val="auto"/>
          <w:kern w:val="0"/>
          <w:sz w:val="32"/>
          <w:szCs w:val="32"/>
        </w:rPr>
        <w:t>公开发布）</w:t>
      </w:r>
    </w:p>
    <w:p>
      <w:pPr>
        <w:ind w:firstLine="640" w:firstLineChars="200"/>
        <w:rPr>
          <w:color w:val="auto"/>
        </w:rPr>
      </w:pPr>
      <w:r>
        <w:rPr>
          <w:rFonts w:ascii="Times New Roman" w:hAnsi="Times New Roman" w:eastAsia="方正仿宋_GBK" w:cs="Times New Roman"/>
          <w:snapToGrid w:val="0"/>
          <w:color w:val="auto"/>
          <w:kern w:val="0"/>
          <w:sz w:val="32"/>
          <w:szCs w:val="32"/>
        </w:rPr>
        <w:t>（联系人：张</w:t>
      </w:r>
      <w:r>
        <w:rPr>
          <w:rFonts w:hint="eastAsia" w:ascii="Times New Roman" w:hAnsi="Times New Roman" w:eastAsia="方正仿宋_GBK" w:cs="Times New Roman"/>
          <w:snapToGrid w:val="0"/>
          <w:color w:val="auto"/>
          <w:kern w:val="0"/>
          <w:sz w:val="32"/>
          <w:szCs w:val="32"/>
        </w:rPr>
        <w:t>春才</w:t>
      </w:r>
      <w:r>
        <w:rPr>
          <w:rFonts w:ascii="Times New Roman" w:hAnsi="Times New Roman" w:eastAsia="方正仿宋_GBK" w:cs="Times New Roman"/>
          <w:snapToGrid w:val="0"/>
          <w:color w:val="auto"/>
          <w:kern w:val="0"/>
          <w:sz w:val="32"/>
          <w:szCs w:val="32"/>
        </w:rPr>
        <w:t>；联系电话：023</w:t>
      </w:r>
      <w:r>
        <w:rPr>
          <w:rFonts w:hint="eastAsia" w:eastAsia="方正仿宋_GBK" w:cs="Times New Roman"/>
          <w:snapToGrid w:val="0"/>
          <w:color w:val="auto"/>
          <w:kern w:val="0"/>
          <w:sz w:val="32"/>
          <w:szCs w:val="32"/>
          <w:lang w:eastAsia="zh-CN"/>
        </w:rPr>
        <w:t>—</w:t>
      </w:r>
      <w:r>
        <w:rPr>
          <w:rFonts w:ascii="Times New Roman" w:hAnsi="Times New Roman" w:eastAsia="方正仿宋_GBK" w:cs="Times New Roman"/>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eastAsia="方正小标宋_GBK" w:cs="方正小标宋_GBK"/>
          <w:bCs/>
          <w:color w:val="auto"/>
          <w:spacing w:val="0"/>
          <w:w w:val="100"/>
          <w:sz w:val="36"/>
          <w:szCs w:val="36"/>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Times New Roman" w:hAnsi="Times New Roman" w:eastAsia="方正黑体_GBK" w:cs="方正黑体_GBK"/>
          <w:b w:val="0"/>
          <w:color w:val="auto"/>
          <w:sz w:val="32"/>
          <w:szCs w:val="32"/>
        </w:rPr>
      </w:pPr>
      <w:r>
        <w:rPr>
          <w:rFonts w:hint="eastAsia" w:eastAsia="方正小标宋_GBK" w:cs="方正小标宋_GBK"/>
          <w:bCs/>
          <w:color w:val="auto"/>
          <w:spacing w:val="0"/>
          <w:w w:val="100"/>
          <w:sz w:val="36"/>
          <w:szCs w:val="36"/>
          <w:lang w:eastAsia="zh-CN"/>
        </w:rPr>
        <w:t>涪江重庆段航道整治工程</w:t>
      </w:r>
      <w:r>
        <w:rPr>
          <w:rFonts w:hint="eastAsia" w:ascii="Times New Roman" w:hAnsi="Times New Roman" w:eastAsia="方正小标宋_GBK" w:cs="方正小标宋_GBK"/>
          <w:bCs/>
          <w:color w:val="auto"/>
          <w:spacing w:val="0"/>
          <w:w w:val="100"/>
          <w:sz w:val="36"/>
          <w:szCs w:val="36"/>
        </w:rPr>
        <w:t>水土保持方案</w:t>
      </w:r>
      <w:r>
        <w:rPr>
          <w:rFonts w:hint="eastAsia" w:ascii="Times New Roman" w:hAnsi="Times New Roman" w:eastAsia="方正小标宋_GBK" w:cs="方正小标宋_GBK"/>
          <w:bCs/>
          <w:snapToGrid w:val="0"/>
          <w:color w:val="auto"/>
          <w:spacing w:val="0"/>
          <w:w w:val="100"/>
          <w:kern w:val="0"/>
          <w:sz w:val="36"/>
          <w:szCs w:val="36"/>
        </w:rPr>
        <w:t>特性表</w:t>
      </w:r>
    </w:p>
    <w:tbl>
      <w:tblPr>
        <w:tblStyle w:val="1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90"/>
        <w:gridCol w:w="866"/>
        <w:gridCol w:w="63"/>
        <w:gridCol w:w="586"/>
        <w:gridCol w:w="298"/>
        <w:gridCol w:w="75"/>
        <w:gridCol w:w="891"/>
        <w:gridCol w:w="514"/>
        <w:gridCol w:w="320"/>
        <w:gridCol w:w="127"/>
        <w:gridCol w:w="168"/>
        <w:gridCol w:w="362"/>
        <w:gridCol w:w="155"/>
        <w:gridCol w:w="210"/>
        <w:gridCol w:w="113"/>
        <w:gridCol w:w="288"/>
        <w:gridCol w:w="321"/>
        <w:gridCol w:w="30"/>
        <w:gridCol w:w="189"/>
        <w:gridCol w:w="103"/>
        <w:gridCol w:w="125"/>
        <w:gridCol w:w="342"/>
        <w:gridCol w:w="280"/>
        <w:gridCol w:w="666"/>
        <w:gridCol w:w="249"/>
        <w:gridCol w:w="137"/>
        <w:gridCol w:w="10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2" w:type="pct"/>
            <w:gridSpan w:val="4"/>
            <w:tcBorders>
              <w:tl2br w:val="nil"/>
              <w:tr2bl w:val="nil"/>
            </w:tcBorders>
            <w:vAlign w:val="center"/>
          </w:tcPr>
          <w:p>
            <w:pPr>
              <w:keepNext w:val="0"/>
              <w:keepLines w:val="0"/>
              <w:suppressLineNumbers w:val="0"/>
              <w:spacing w:before="0" w:beforeAutospacing="0" w:after="0" w:afterAutospacing="0"/>
              <w:ind w:left="0" w:right="0"/>
              <w:rPr>
                <w:rFonts w:ascii="Times New Roman" w:hAnsi="Times New Roman" w:eastAsia="仿宋_GB2312" w:cs="Times New Roman"/>
                <w:color w:val="auto"/>
                <w:kern w:val="0"/>
                <w:sz w:val="18"/>
                <w:szCs w:val="18"/>
              </w:rPr>
            </w:pPr>
            <w:r>
              <w:rPr>
                <w:rFonts w:ascii="Times New Roman" w:hAnsi="Times New Roman" w:eastAsia="方正黑体_GBK" w:cs="Times New Roman"/>
                <w:color w:val="FF0000"/>
                <w:sz w:val="32"/>
                <w:szCs w:val="32"/>
              </w:rPr>
              <w:br w:type="page"/>
            </w:r>
            <w:r>
              <w:rPr>
                <w:rFonts w:ascii="Times New Roman" w:hAnsi="Times New Roman" w:eastAsia="仿宋_GB2312" w:cs="Times New Roman"/>
                <w:color w:val="auto"/>
                <w:kern w:val="0"/>
                <w:sz w:val="18"/>
                <w:szCs w:val="18"/>
              </w:rPr>
              <w:t>项目名称</w:t>
            </w:r>
          </w:p>
        </w:tc>
        <w:tc>
          <w:tcPr>
            <w:tcW w:w="1523"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仿宋_GB2312" w:cs="Times New Roman"/>
                <w:color w:val="auto"/>
                <w:kern w:val="0"/>
                <w:sz w:val="18"/>
                <w:szCs w:val="18"/>
                <w:lang w:eastAsia="zh-CN"/>
              </w:rPr>
            </w:pPr>
            <w:r>
              <w:rPr>
                <w:rFonts w:hint="eastAsia" w:ascii="Times New Roman" w:hAnsi="Times New Roman" w:eastAsia="仿宋_GB2312" w:cs="Times New Roman"/>
                <w:color w:val="auto"/>
                <w:kern w:val="0"/>
                <w:sz w:val="18"/>
                <w:szCs w:val="18"/>
                <w:lang w:eastAsia="zh-CN"/>
              </w:rPr>
              <w:t>涪江重庆段航道整治工程</w:t>
            </w:r>
          </w:p>
        </w:tc>
        <w:tc>
          <w:tcPr>
            <w:tcW w:w="892"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流域管理机构</w:t>
            </w:r>
          </w:p>
        </w:tc>
        <w:tc>
          <w:tcPr>
            <w:tcW w:w="1690"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2"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涉及省（市、区）</w:t>
            </w:r>
          </w:p>
        </w:tc>
        <w:tc>
          <w:tcPr>
            <w:tcW w:w="479"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重庆市</w:t>
            </w:r>
          </w:p>
        </w:tc>
        <w:tc>
          <w:tcPr>
            <w:tcW w:w="802"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涉及地市或个数</w:t>
            </w:r>
          </w:p>
        </w:tc>
        <w:tc>
          <w:tcPr>
            <w:tcW w:w="242"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w:t>
            </w:r>
          </w:p>
        </w:tc>
        <w:tc>
          <w:tcPr>
            <w:tcW w:w="892"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涉及县或个数</w:t>
            </w:r>
          </w:p>
        </w:tc>
        <w:tc>
          <w:tcPr>
            <w:tcW w:w="1690"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合川区、铜梁区、</w:t>
            </w:r>
            <w:r>
              <w:rPr>
                <w:rFonts w:hint="eastAsia" w:ascii="Times New Roman" w:hAnsi="Times New Roman" w:eastAsia="仿宋_GB2312" w:cs="Times New Roman"/>
                <w:color w:val="auto"/>
                <w:kern w:val="0"/>
                <w:sz w:val="18"/>
                <w:szCs w:val="18"/>
                <w:lang w:val="en-US" w:eastAsia="zh-CN"/>
              </w:rPr>
              <w:t>潼南</w:t>
            </w:r>
            <w:r>
              <w:rPr>
                <w:rFonts w:ascii="Times New Roman" w:hAnsi="Times New Roman" w:eastAsia="仿宋_GB2312" w:cs="Times New Roman"/>
                <w:color w:val="auto"/>
                <w:kern w:val="0"/>
                <w:sz w:val="18"/>
                <w:szCs w:val="18"/>
              </w:rPr>
              <w:t>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88"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18"/>
                <w:szCs w:val="18"/>
              </w:rPr>
              <w:t>项目规模</w:t>
            </w:r>
          </w:p>
        </w:tc>
        <w:tc>
          <w:tcPr>
            <w:tcW w:w="2398" w:type="pct"/>
            <w:gridSpan w:val="1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firstLine="360" w:firstLineChars="200"/>
              <w:jc w:val="left"/>
              <w:rPr>
                <w:rFonts w:ascii="Times New Roman" w:hAnsi="Times New Roman" w:eastAsia="仿宋_GB2312" w:cs="Times New Roman"/>
                <w:color w:val="auto"/>
                <w:kern w:val="0"/>
                <w:sz w:val="21"/>
                <w:szCs w:val="21"/>
              </w:rPr>
            </w:pPr>
            <w:r>
              <w:rPr>
                <w:rFonts w:ascii="Times New Roman" w:hAnsi="Times New Roman" w:eastAsia="仿宋_GB2312" w:cs="Times New Roman"/>
                <w:color w:val="auto"/>
                <w:kern w:val="0"/>
                <w:sz w:val="18"/>
                <w:szCs w:val="18"/>
              </w:rPr>
              <w:t>按内河Ⅲ级标准，对涪江重庆段内（河口至三星枢纽坝下10km）126公里航道进行整治，设计航道尺度2.8m</w:t>
            </w:r>
            <w:r>
              <w:rPr>
                <w:rFonts w:hint="eastAsia" w:ascii="Times New Roman" w:hAnsi="Times New Roman" w:eastAsia="仿宋_GB2312" w:cs="Times New Roman"/>
                <w:color w:val="auto"/>
                <w:kern w:val="0"/>
                <w:sz w:val="18"/>
                <w:szCs w:val="18"/>
              </w:rPr>
              <w:t>×60m×480m</w:t>
            </w:r>
            <w:r>
              <w:rPr>
                <w:rFonts w:ascii="Times New Roman" w:hAnsi="Times New Roman" w:eastAsia="仿宋_GB2312" w:cs="Times New Roman"/>
                <w:color w:val="auto"/>
                <w:kern w:val="0"/>
                <w:sz w:val="18"/>
                <w:szCs w:val="18"/>
              </w:rPr>
              <w:t>，对双江枢纽坝下、中坝子滩、潼南枢纽坝下、埝塘湾、青岩子、二郎滩、鱼箭坝、磨盘滩、黄家坝、七星中坝，坐金滩等11处滩险以疏浚、清礁和筑坝等措施进行整治，对部分浅点进行零星疏浚，配布航标97座，建设安全标志牌2座，建设谭家桥、高楼航道维护基地及VHF通讯系统、AIS系统等。</w:t>
            </w:r>
          </w:p>
        </w:tc>
        <w:tc>
          <w:tcPr>
            <w:tcW w:w="521"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总投资</w:t>
            </w:r>
          </w:p>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（万元）</w:t>
            </w:r>
          </w:p>
        </w:tc>
        <w:tc>
          <w:tcPr>
            <w:tcW w:w="563"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仿宋_GB2312" w:cs="Times New Roman"/>
                <w:color w:val="auto"/>
                <w:kern w:val="0"/>
                <w:sz w:val="18"/>
                <w:szCs w:val="18"/>
                <w:lang w:eastAsia="zh-CN"/>
              </w:rPr>
            </w:pPr>
            <w:r>
              <w:rPr>
                <w:rFonts w:hint="eastAsia" w:ascii="Times New Roman" w:hAnsi="Times New Roman" w:eastAsia="仿宋_GB2312" w:cs="Times New Roman"/>
                <w:color w:val="auto"/>
                <w:kern w:val="0"/>
                <w:sz w:val="18"/>
                <w:szCs w:val="18"/>
                <w:lang w:eastAsia="zh-CN"/>
              </w:rPr>
              <w:t>31357.49</w:t>
            </w:r>
          </w:p>
        </w:tc>
        <w:tc>
          <w:tcPr>
            <w:tcW w:w="570"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土建投资</w:t>
            </w:r>
          </w:p>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（万元）</w:t>
            </w:r>
          </w:p>
        </w:tc>
        <w:tc>
          <w:tcPr>
            <w:tcW w:w="557" w:type="pc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仿宋_GB2312" w:cs="Times New Roman"/>
                <w:color w:val="auto"/>
                <w:kern w:val="0"/>
                <w:sz w:val="18"/>
                <w:szCs w:val="18"/>
                <w:lang w:eastAsia="zh-CN"/>
              </w:rPr>
            </w:pPr>
            <w:r>
              <w:rPr>
                <w:rFonts w:hint="eastAsia" w:ascii="Times New Roman" w:hAnsi="Times New Roman" w:eastAsia="仿宋_GB2312" w:cs="Times New Roman"/>
                <w:color w:val="auto"/>
                <w:kern w:val="0"/>
                <w:sz w:val="18"/>
                <w:szCs w:val="18"/>
                <w:lang w:eastAsia="zh-CN"/>
              </w:rPr>
              <w:t>16799.30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2"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动工时间</w:t>
            </w:r>
          </w:p>
        </w:tc>
        <w:tc>
          <w:tcPr>
            <w:tcW w:w="519"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140" w:leftChars="-50" w:right="-140" w:rightChars="-50"/>
              <w:jc w:val="center"/>
              <w:rPr>
                <w:rFonts w:hint="eastAsia" w:ascii="Times New Roman" w:hAnsi="Times New Roman" w:eastAsia="仿宋_GB2312" w:cs="Times New Roman"/>
                <w:color w:val="auto"/>
                <w:kern w:val="0"/>
                <w:sz w:val="18"/>
                <w:szCs w:val="18"/>
                <w:lang w:eastAsia="zh-CN"/>
              </w:rPr>
            </w:pPr>
            <w:r>
              <w:rPr>
                <w:rFonts w:hint="eastAsia" w:ascii="Times New Roman" w:hAnsi="Times New Roman" w:eastAsia="仿宋_GB2312" w:cs="Times New Roman"/>
                <w:color w:val="auto"/>
                <w:kern w:val="0"/>
                <w:sz w:val="18"/>
                <w:szCs w:val="18"/>
                <w:lang w:eastAsia="zh-CN"/>
              </w:rPr>
              <w:t>2025年</w:t>
            </w:r>
            <w:r>
              <w:rPr>
                <w:rFonts w:hint="eastAsia" w:ascii="Times New Roman" w:hAnsi="Times New Roman" w:eastAsia="仿宋_GB2312" w:cs="Times New Roman"/>
                <w:color w:val="auto"/>
                <w:kern w:val="0"/>
                <w:sz w:val="18"/>
                <w:szCs w:val="18"/>
                <w:lang w:val="en-US" w:eastAsia="zh-CN"/>
              </w:rPr>
              <w:t>1</w:t>
            </w:r>
            <w:r>
              <w:rPr>
                <w:rFonts w:hint="eastAsia" w:ascii="Times New Roman" w:hAnsi="Times New Roman" w:eastAsia="仿宋_GB2312" w:cs="Times New Roman"/>
                <w:color w:val="auto"/>
                <w:kern w:val="0"/>
                <w:sz w:val="18"/>
                <w:szCs w:val="18"/>
                <w:lang w:eastAsia="zh-CN"/>
              </w:rPr>
              <w:t>月</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完工时间</w:t>
            </w:r>
          </w:p>
        </w:tc>
        <w:tc>
          <w:tcPr>
            <w:tcW w:w="702"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2027年2月</w:t>
            </w:r>
          </w:p>
        </w:tc>
        <w:tc>
          <w:tcPr>
            <w:tcW w:w="753"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设计水平年</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2027年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2"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工程占地（hm</w:t>
            </w:r>
            <w:r>
              <w:rPr>
                <w:rFonts w:ascii="Times New Roman" w:hAnsi="Times New Roman" w:eastAsia="仿宋_GB2312" w:cs="Times New Roman"/>
                <w:color w:val="auto"/>
                <w:kern w:val="0"/>
                <w:sz w:val="18"/>
                <w:szCs w:val="18"/>
                <w:vertAlign w:val="superscript"/>
              </w:rPr>
              <w:t>2</w:t>
            </w:r>
            <w:r>
              <w:rPr>
                <w:rFonts w:ascii="Times New Roman" w:hAnsi="Times New Roman" w:eastAsia="仿宋_GB2312" w:cs="Times New Roman"/>
                <w:color w:val="auto"/>
                <w:kern w:val="0"/>
                <w:sz w:val="18"/>
                <w:szCs w:val="18"/>
              </w:rPr>
              <w:t>）</w:t>
            </w:r>
          </w:p>
        </w:tc>
        <w:tc>
          <w:tcPr>
            <w:tcW w:w="519"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59.51</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永久占地（hm</w:t>
            </w:r>
            <w:r>
              <w:rPr>
                <w:rFonts w:ascii="Times New Roman" w:hAnsi="Times New Roman" w:eastAsia="仿宋_GB2312" w:cs="Times New Roman"/>
                <w:color w:val="auto"/>
                <w:kern w:val="0"/>
                <w:sz w:val="18"/>
                <w:szCs w:val="18"/>
                <w:vertAlign w:val="superscript"/>
              </w:rPr>
              <w:t>2</w:t>
            </w:r>
            <w:r>
              <w:rPr>
                <w:rFonts w:ascii="Times New Roman" w:hAnsi="Times New Roman" w:eastAsia="仿宋_GB2312" w:cs="Times New Roman"/>
                <w:color w:val="auto"/>
                <w:kern w:val="0"/>
                <w:sz w:val="18"/>
                <w:szCs w:val="18"/>
              </w:rPr>
              <w:t>）</w:t>
            </w:r>
          </w:p>
        </w:tc>
        <w:tc>
          <w:tcPr>
            <w:tcW w:w="546"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0.20</w:t>
            </w:r>
          </w:p>
        </w:tc>
        <w:tc>
          <w:tcPr>
            <w:tcW w:w="909"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临时占地（hm</w:t>
            </w:r>
            <w:r>
              <w:rPr>
                <w:rFonts w:ascii="Times New Roman" w:hAnsi="Times New Roman" w:eastAsia="仿宋_GB2312" w:cs="Times New Roman"/>
                <w:color w:val="auto"/>
                <w:kern w:val="0"/>
                <w:sz w:val="18"/>
                <w:szCs w:val="18"/>
                <w:vertAlign w:val="superscript"/>
              </w:rPr>
              <w:t>2</w:t>
            </w:r>
            <w:r>
              <w:rPr>
                <w:rFonts w:ascii="Times New Roman" w:hAnsi="Times New Roman" w:eastAsia="仿宋_GB2312" w:cs="Times New Roman"/>
                <w:color w:val="auto"/>
                <w:kern w:val="0"/>
                <w:sz w:val="18"/>
                <w:szCs w:val="18"/>
              </w:rPr>
              <w:t>）</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59.31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土石方量（万m</w:t>
            </w:r>
            <w:r>
              <w:rPr>
                <w:rFonts w:ascii="Times New Roman" w:hAnsi="Times New Roman" w:eastAsia="仿宋_GB2312" w:cs="Times New Roman"/>
                <w:color w:val="auto"/>
                <w:kern w:val="0"/>
                <w:sz w:val="18"/>
                <w:szCs w:val="18"/>
                <w:vertAlign w:val="superscript"/>
              </w:rPr>
              <w:t>3</w:t>
            </w:r>
            <w:r>
              <w:rPr>
                <w:rFonts w:ascii="Times New Roman" w:hAnsi="Times New Roman" w:eastAsia="仿宋_GB2312" w:cs="Times New Roman"/>
                <w:color w:val="auto"/>
                <w:kern w:val="0"/>
                <w:sz w:val="18"/>
                <w:szCs w:val="18"/>
              </w:rPr>
              <w:t>）</w:t>
            </w:r>
          </w:p>
        </w:tc>
        <w:tc>
          <w:tcPr>
            <w:tcW w:w="761"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挖方</w:t>
            </w:r>
          </w:p>
        </w:tc>
        <w:tc>
          <w:tcPr>
            <w:tcW w:w="727"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填方</w:t>
            </w:r>
          </w:p>
        </w:tc>
        <w:tc>
          <w:tcPr>
            <w:tcW w:w="633"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利用方</w:t>
            </w:r>
          </w:p>
        </w:tc>
        <w:tc>
          <w:tcPr>
            <w:tcW w:w="69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借方</w:t>
            </w:r>
          </w:p>
        </w:tc>
        <w:tc>
          <w:tcPr>
            <w:tcW w:w="766"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761"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sz w:val="18"/>
                <w:szCs w:val="18"/>
                <w:lang w:val="en-US" w:eastAsia="zh-CN"/>
              </w:rPr>
              <w:t>97.85</w:t>
            </w:r>
          </w:p>
        </w:tc>
        <w:tc>
          <w:tcPr>
            <w:tcW w:w="727"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sz w:val="18"/>
                <w:szCs w:val="18"/>
                <w:lang w:val="en-US" w:eastAsia="zh-CN"/>
              </w:rPr>
              <w:t>1.85</w:t>
            </w:r>
          </w:p>
        </w:tc>
        <w:tc>
          <w:tcPr>
            <w:tcW w:w="633"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57.67</w:t>
            </w:r>
          </w:p>
        </w:tc>
        <w:tc>
          <w:tcPr>
            <w:tcW w:w="69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0</w:t>
            </w:r>
          </w:p>
        </w:tc>
        <w:tc>
          <w:tcPr>
            <w:tcW w:w="766"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38.33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重点防治区名称</w:t>
            </w:r>
          </w:p>
        </w:tc>
        <w:tc>
          <w:tcPr>
            <w:tcW w:w="3587" w:type="pct"/>
            <w:gridSpan w:val="21"/>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rPr>
              <w:t>涪江流域水土流失重点治理区、毗卢寺河流域水土流失重点治理区、鹭鸶溪河流域水土流失重点治理区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地貌类型</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剥蚀丘陵地貌</w:t>
            </w:r>
          </w:p>
        </w:tc>
        <w:tc>
          <w:tcPr>
            <w:tcW w:w="1456" w:type="pct"/>
            <w:gridSpan w:val="13"/>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水土保持区划</w:t>
            </w:r>
          </w:p>
        </w:tc>
        <w:tc>
          <w:tcPr>
            <w:tcW w:w="1127" w:type="pct"/>
            <w:gridSpan w:val="4"/>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土壤侵蚀类型</w:t>
            </w:r>
          </w:p>
        </w:tc>
        <w:tc>
          <w:tcPr>
            <w:tcW w:w="1004" w:type="pct"/>
            <w:gridSpan w:val="4"/>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水力侵蚀</w:t>
            </w:r>
          </w:p>
        </w:tc>
        <w:tc>
          <w:tcPr>
            <w:tcW w:w="1456" w:type="pct"/>
            <w:gridSpan w:val="13"/>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土壤侵蚀强度</w:t>
            </w:r>
          </w:p>
        </w:tc>
        <w:tc>
          <w:tcPr>
            <w:tcW w:w="1127" w:type="pct"/>
            <w:gridSpan w:val="4"/>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防治责任范围面积（hm</w:t>
            </w:r>
            <w:r>
              <w:rPr>
                <w:rFonts w:ascii="Times New Roman" w:hAnsi="Times New Roman" w:eastAsia="仿宋_GB2312" w:cs="Times New Roman"/>
                <w:color w:val="auto"/>
                <w:kern w:val="0"/>
                <w:sz w:val="18"/>
                <w:szCs w:val="18"/>
                <w:vertAlign w:val="superscript"/>
              </w:rPr>
              <w:t>2</w:t>
            </w:r>
            <w:r>
              <w:rPr>
                <w:rFonts w:ascii="Times New Roman" w:hAnsi="Times New Roman" w:eastAsia="仿宋_GB2312" w:cs="Times New Roman"/>
                <w:color w:val="auto"/>
                <w:kern w:val="0"/>
                <w:sz w:val="18"/>
                <w:szCs w:val="18"/>
              </w:rPr>
              <w:t>）</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59.51</w:t>
            </w:r>
          </w:p>
        </w:tc>
        <w:tc>
          <w:tcPr>
            <w:tcW w:w="1456" w:type="pct"/>
            <w:gridSpan w:val="1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容许土壤流失量〔t/（km</w:t>
            </w:r>
            <w:r>
              <w:rPr>
                <w:rFonts w:ascii="Times New Roman" w:hAnsi="Times New Roman" w:eastAsia="仿宋_GB2312" w:cs="Times New Roman"/>
                <w:color w:val="auto"/>
                <w:kern w:val="0"/>
                <w:sz w:val="18"/>
                <w:szCs w:val="18"/>
                <w:vertAlign w:val="superscript"/>
              </w:rPr>
              <w:t>2</w:t>
            </w:r>
            <w:r>
              <w:rPr>
                <w:rFonts w:ascii="Times New Roman" w:hAnsi="Times New Roman" w:eastAsia="仿宋_GB2312" w:cs="Times New Roman"/>
                <w:color w:val="auto"/>
                <w:kern w:val="0"/>
                <w:sz w:val="18"/>
                <w:szCs w:val="18"/>
              </w:rPr>
              <w:t>·a）〕</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水土流失预测总量（t）</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946</w:t>
            </w:r>
          </w:p>
        </w:tc>
        <w:tc>
          <w:tcPr>
            <w:tcW w:w="1456" w:type="pct"/>
            <w:gridSpan w:val="1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新增水土流失量（t）</w:t>
            </w:r>
          </w:p>
        </w:tc>
        <w:tc>
          <w:tcPr>
            <w:tcW w:w="1127"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12" w:type="pct"/>
            <w:gridSpan w:val="7"/>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水土流失防治标准执行等级</w:t>
            </w:r>
          </w:p>
        </w:tc>
        <w:tc>
          <w:tcPr>
            <w:tcW w:w="3587" w:type="pct"/>
            <w:gridSpan w:val="21"/>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指标</w:t>
            </w:r>
          </w:p>
        </w:tc>
        <w:tc>
          <w:tcPr>
            <w:tcW w:w="1180"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水土流失治理度（%）</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97</w:t>
            </w:r>
          </w:p>
        </w:tc>
        <w:tc>
          <w:tcPr>
            <w:tcW w:w="995"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土壤流失控制比</w:t>
            </w:r>
          </w:p>
        </w:tc>
        <w:tc>
          <w:tcPr>
            <w:tcW w:w="1588"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1180"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渣土防护率（%）</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94</w:t>
            </w:r>
          </w:p>
        </w:tc>
        <w:tc>
          <w:tcPr>
            <w:tcW w:w="995"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表土保护率（%）</w:t>
            </w:r>
          </w:p>
        </w:tc>
        <w:tc>
          <w:tcPr>
            <w:tcW w:w="1588"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1180" w:type="pct"/>
            <w:gridSpan w:val="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林草植被恢复率（%）</w:t>
            </w:r>
          </w:p>
        </w:tc>
        <w:tc>
          <w:tcPr>
            <w:tcW w:w="1004"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97</w:t>
            </w:r>
          </w:p>
        </w:tc>
        <w:tc>
          <w:tcPr>
            <w:tcW w:w="995" w:type="pct"/>
            <w:gridSpan w:val="9"/>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林草覆盖率（%）</w:t>
            </w:r>
          </w:p>
        </w:tc>
        <w:tc>
          <w:tcPr>
            <w:tcW w:w="1588"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hint="eastAsia" w:ascii="Times New Roman" w:hAnsi="Times New Roman" w:eastAsia="仿宋_GB2312" w:cs="Times New Roman"/>
                <w:color w:val="auto"/>
                <w:kern w:val="0"/>
                <w:sz w:val="18"/>
                <w:szCs w:val="18"/>
                <w:lang w:val="en-US" w:eastAsia="zh-CN"/>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restart"/>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防治措施及工程量</w:t>
            </w:r>
          </w:p>
        </w:tc>
        <w:tc>
          <w:tcPr>
            <w:tcW w:w="660"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分区</w:t>
            </w:r>
          </w:p>
        </w:tc>
        <w:tc>
          <w:tcPr>
            <w:tcW w:w="161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工程措施</w:t>
            </w:r>
          </w:p>
        </w:tc>
        <w:tc>
          <w:tcPr>
            <w:tcW w:w="1213" w:type="pct"/>
            <w:gridSpan w:val="11"/>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植物措施</w:t>
            </w:r>
          </w:p>
        </w:tc>
        <w:tc>
          <w:tcPr>
            <w:tcW w:w="1279"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660"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rPr>
                <w:rFonts w:hint="default" w:ascii="Times New Roman" w:hAnsi="Times New Roman" w:eastAsia="仿宋_GB2312" w:cs="Times New Roman"/>
                <w:color w:val="auto"/>
                <w:kern w:val="0"/>
                <w:sz w:val="18"/>
                <w:szCs w:val="18"/>
                <w:lang w:val="en-US"/>
              </w:rPr>
            </w:pPr>
            <w:r>
              <w:rPr>
                <w:rFonts w:hint="eastAsia" w:ascii="Times New Roman" w:hAnsi="Times New Roman" w:eastAsia="仿宋_GB2312" w:cs="Times New Roman"/>
                <w:color w:val="auto"/>
                <w:kern w:val="0"/>
                <w:sz w:val="18"/>
                <w:szCs w:val="18"/>
                <w:lang w:val="en-US" w:eastAsia="zh-CN"/>
              </w:rPr>
              <w:t>航道整治工程</w:t>
            </w:r>
            <w:r>
              <w:rPr>
                <w:rFonts w:hint="eastAsia" w:eastAsia="仿宋_GB2312" w:cs="Times New Roman"/>
                <w:color w:val="auto"/>
                <w:kern w:val="0"/>
                <w:sz w:val="18"/>
                <w:szCs w:val="18"/>
                <w:lang w:val="en-US" w:eastAsia="zh-CN"/>
              </w:rPr>
              <w:t>及</w:t>
            </w:r>
            <w:r>
              <w:rPr>
                <w:rFonts w:hint="eastAsia" w:ascii="Times New Roman" w:hAnsi="Times New Roman" w:eastAsia="仿宋_GB2312" w:cs="Times New Roman"/>
                <w:color w:val="auto"/>
                <w:kern w:val="0"/>
                <w:sz w:val="18"/>
                <w:szCs w:val="18"/>
                <w:lang w:val="en-US" w:eastAsia="zh-CN"/>
              </w:rPr>
              <w:t>疏浚清礁工程防治区</w:t>
            </w:r>
          </w:p>
        </w:tc>
        <w:tc>
          <w:tcPr>
            <w:tcW w:w="1614" w:type="pct"/>
            <w:gridSpan w:val="8"/>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center"/>
              <w:rPr>
                <w:rFonts w:hint="eastAsia" w:ascii="Times New Roman" w:hAnsi="Times New Roman" w:eastAsia="仿宋_GB2312" w:cs="Times New Roman"/>
                <w:color w:val="auto"/>
                <w:kern w:val="0"/>
                <w:sz w:val="18"/>
                <w:szCs w:val="18"/>
                <w:lang w:val="en-US" w:eastAsia="zh-CN" w:bidi="ar"/>
              </w:rPr>
            </w:pPr>
            <w:r>
              <w:rPr>
                <w:rFonts w:hint="eastAsia" w:ascii="Times New Roman" w:hAnsi="Times New Roman" w:eastAsia="仿宋_GB2312" w:cs="Times New Roman"/>
                <w:color w:val="auto"/>
                <w:kern w:val="0"/>
                <w:sz w:val="18"/>
                <w:szCs w:val="18"/>
                <w:lang w:val="en-US" w:eastAsia="zh-CN" w:bidi="ar"/>
              </w:rPr>
              <w:t>/</w:t>
            </w:r>
          </w:p>
        </w:tc>
        <w:tc>
          <w:tcPr>
            <w:tcW w:w="1213" w:type="pct"/>
            <w:gridSpan w:val="11"/>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center"/>
              <w:rPr>
                <w:rFonts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bidi="ar"/>
              </w:rPr>
              <w:t>/</w:t>
            </w:r>
          </w:p>
        </w:tc>
        <w:tc>
          <w:tcPr>
            <w:tcW w:w="1279" w:type="pct"/>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center"/>
              <w:textAlignment w:val="center"/>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kern w:val="0"/>
                <w:sz w:val="18"/>
                <w:szCs w:val="18"/>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660"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rPr>
                <w:rFonts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rPr>
              <w:t>航标工程防治区</w:t>
            </w:r>
          </w:p>
        </w:tc>
        <w:tc>
          <w:tcPr>
            <w:tcW w:w="1614" w:type="pct"/>
            <w:gridSpan w:val="8"/>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lang w:val="zh-CN"/>
              </w:rPr>
              <w:t>主体设计</w:t>
            </w:r>
            <w:r>
              <w:rPr>
                <w:rFonts w:ascii="Times New Roman" w:hAnsi="Times New Roman" w:eastAsia="仿宋_GB2312" w:cs="Times New Roman"/>
                <w:color w:val="auto"/>
                <w:sz w:val="18"/>
                <w:szCs w:val="18"/>
              </w:rPr>
              <w:t>：土地整治</w:t>
            </w:r>
            <w:r>
              <w:rPr>
                <w:rFonts w:hint="eastAsia" w:ascii="Times New Roman" w:hAnsi="Times New Roman" w:eastAsia="仿宋_GB2312" w:cs="Times New Roman"/>
                <w:color w:val="auto"/>
                <w:sz w:val="18"/>
                <w:szCs w:val="18"/>
                <w:lang w:val="en-US" w:eastAsia="zh-CN"/>
              </w:rPr>
              <w:t>0.12</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ascii="Times New Roman" w:hAnsi="Times New Roman" w:eastAsia="仿宋_GB2312" w:cs="Times New Roman"/>
                <w:color w:val="auto"/>
                <w:kern w:val="0"/>
                <w:sz w:val="18"/>
                <w:szCs w:val="18"/>
                <w:lang w:bidi="ar"/>
              </w:rPr>
            </w:pPr>
            <w:r>
              <w:rPr>
                <w:rFonts w:ascii="Times New Roman" w:hAnsi="Times New Roman" w:eastAsia="仿宋_GB2312" w:cs="Times New Roman"/>
                <w:color w:val="auto"/>
                <w:sz w:val="18"/>
                <w:szCs w:val="18"/>
                <w:lang w:val="zh-CN"/>
              </w:rPr>
              <w:t>方案新增</w:t>
            </w:r>
            <w:r>
              <w:rPr>
                <w:rFonts w:ascii="Times New Roman" w:hAnsi="Times New Roman" w:eastAsia="仿宋_GB2312" w:cs="Times New Roman"/>
                <w:color w:val="auto"/>
                <w:sz w:val="18"/>
                <w:szCs w:val="18"/>
              </w:rPr>
              <w:t>：</w:t>
            </w:r>
            <w:r>
              <w:rPr>
                <w:rFonts w:ascii="Times New Roman" w:hAnsi="Times New Roman" w:eastAsia="仿宋_GB2312" w:cs="Times New Roman"/>
                <w:color w:val="auto"/>
                <w:sz w:val="18"/>
                <w:szCs w:val="18"/>
                <w:lang w:val="zh-CN"/>
              </w:rPr>
              <w:t>表土剥离</w:t>
            </w:r>
            <w:r>
              <w:rPr>
                <w:rFonts w:hint="eastAsia" w:ascii="Times New Roman" w:hAnsi="Times New Roman" w:eastAsia="仿宋_GB2312" w:cs="Times New Roman"/>
                <w:color w:val="auto"/>
                <w:sz w:val="18"/>
                <w:szCs w:val="18"/>
                <w:lang w:val="en-US" w:eastAsia="zh-CN"/>
              </w:rPr>
              <w:t>0.05</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r>
              <w:rPr>
                <w:rFonts w:hint="eastAsia" w:ascii="Times New Roman" w:hAnsi="Times New Roman" w:eastAsia="仿宋_GB2312" w:cs="Times New Roman"/>
                <w:color w:val="auto"/>
                <w:sz w:val="18"/>
                <w:szCs w:val="18"/>
                <w:lang w:val="zh-CN"/>
              </w:rPr>
              <w:t>、</w:t>
            </w:r>
            <w:r>
              <w:rPr>
                <w:rFonts w:ascii="Times New Roman" w:hAnsi="Times New Roman" w:eastAsia="仿宋_GB2312" w:cs="Times New Roman"/>
                <w:color w:val="auto"/>
                <w:sz w:val="18"/>
                <w:szCs w:val="18"/>
                <w:lang w:val="zh-CN"/>
              </w:rPr>
              <w:t>表土回覆</w:t>
            </w:r>
            <w:r>
              <w:rPr>
                <w:rFonts w:hint="eastAsia" w:ascii="Times New Roman" w:hAnsi="Times New Roman" w:eastAsia="仿宋_GB2312" w:cs="Times New Roman"/>
                <w:color w:val="auto"/>
                <w:sz w:val="18"/>
                <w:szCs w:val="18"/>
                <w:lang w:val="en-US" w:eastAsia="zh-CN"/>
              </w:rPr>
              <w:t>0.05</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p>
        </w:tc>
        <w:tc>
          <w:tcPr>
            <w:tcW w:w="1213" w:type="pct"/>
            <w:gridSpan w:val="11"/>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lang w:val="zh-CN"/>
              </w:rPr>
              <w:t>主体设计</w:t>
            </w:r>
            <w:r>
              <w:rPr>
                <w:rFonts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栽植乔木100株</w:t>
            </w:r>
            <w:r>
              <w:rPr>
                <w:rFonts w:hint="eastAsia" w:ascii="Times New Roman" w:hAnsi="Times New Roman" w:eastAsia="仿宋_GB2312" w:cs="Times New Roman"/>
                <w:color w:val="auto"/>
                <w:sz w:val="18"/>
                <w:szCs w:val="18"/>
                <w:lang w:val="zh-CN"/>
              </w:rPr>
              <w:t>、</w:t>
            </w:r>
            <w:r>
              <w:rPr>
                <w:rFonts w:hint="eastAsia" w:ascii="Times New Roman" w:hAnsi="Times New Roman" w:eastAsia="仿宋_GB2312" w:cs="Times New Roman"/>
                <w:color w:val="auto"/>
                <w:sz w:val="18"/>
                <w:szCs w:val="18"/>
                <w:lang w:val="en-US" w:eastAsia="zh-CN"/>
              </w:rPr>
              <w:t>播撒草籽0.11</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textAlignment w:val="center"/>
              <w:rPr>
                <w:rFonts w:ascii="Times New Roman" w:hAnsi="Times New Roman" w:eastAsia="仿宋_GB2312" w:cs="Times New Roman"/>
                <w:color w:val="auto"/>
                <w:kern w:val="0"/>
                <w:sz w:val="18"/>
                <w:szCs w:val="18"/>
                <w:lang w:bidi="ar"/>
              </w:rPr>
            </w:pPr>
          </w:p>
        </w:tc>
        <w:tc>
          <w:tcPr>
            <w:tcW w:w="1279" w:type="pct"/>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textAlignment w:val="center"/>
              <w:rPr>
                <w:rFonts w:hint="default"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lang w:val="zh-CN"/>
              </w:rPr>
              <w:t>方案新增</w:t>
            </w:r>
            <w:r>
              <w:rPr>
                <w:rFonts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填土编织袋拦挡700</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textAlignment w:val="center"/>
              <w:rPr>
                <w:rFonts w:ascii="Times New Roman" w:hAnsi="Times New Roman" w:eastAsia="仿宋_GB2312" w:cs="Times New Roman"/>
                <w:color w:val="auto"/>
                <w:kern w:val="0"/>
                <w:sz w:val="18"/>
                <w:szCs w:val="18"/>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660"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rPr>
                <w:rFonts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rPr>
              <w:t>航道维护基地防治区</w:t>
            </w:r>
          </w:p>
        </w:tc>
        <w:tc>
          <w:tcPr>
            <w:tcW w:w="1614" w:type="pct"/>
            <w:gridSpan w:val="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主体已列：</w:t>
            </w:r>
            <w:r>
              <w:rPr>
                <w:rFonts w:ascii="Times New Roman" w:hAnsi="Times New Roman" w:eastAsia="仿宋_GB2312" w:cs="Times New Roman"/>
                <w:color w:val="auto"/>
                <w:sz w:val="18"/>
                <w:szCs w:val="18"/>
              </w:rPr>
              <w:t>土地整治</w:t>
            </w:r>
            <w:r>
              <w:rPr>
                <w:rFonts w:hint="eastAsia" w:ascii="Times New Roman" w:hAnsi="Times New Roman" w:eastAsia="仿宋_GB2312" w:cs="Times New Roman"/>
                <w:color w:val="auto"/>
                <w:sz w:val="18"/>
                <w:szCs w:val="18"/>
                <w:lang w:val="en-US" w:eastAsia="zh-CN"/>
              </w:rPr>
              <w:t>0.03</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排水沟136m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lang w:val="en-US" w:eastAsia="zh-CN" w:bidi="ar"/>
              </w:rPr>
            </w:pPr>
            <w:r>
              <w:rPr>
                <w:rFonts w:ascii="Times New Roman" w:hAnsi="Times New Roman" w:eastAsia="仿宋_GB2312" w:cs="Times New Roman"/>
                <w:color w:val="auto"/>
                <w:sz w:val="18"/>
                <w:szCs w:val="18"/>
                <w:lang w:val="zh-CN"/>
              </w:rPr>
              <w:t>方案新增</w:t>
            </w:r>
            <w:r>
              <w:rPr>
                <w:rFonts w:ascii="Times New Roman" w:hAnsi="Times New Roman" w:eastAsia="仿宋_GB2312" w:cs="Times New Roman"/>
                <w:color w:val="auto"/>
                <w:sz w:val="18"/>
                <w:szCs w:val="18"/>
              </w:rPr>
              <w:t>：</w:t>
            </w:r>
            <w:r>
              <w:rPr>
                <w:rFonts w:ascii="Times New Roman" w:hAnsi="Times New Roman" w:eastAsia="仿宋_GB2312" w:cs="Times New Roman"/>
                <w:color w:val="auto"/>
                <w:sz w:val="18"/>
                <w:szCs w:val="18"/>
                <w:lang w:val="zh-CN"/>
              </w:rPr>
              <w:t>表土剥离</w:t>
            </w:r>
            <w:r>
              <w:rPr>
                <w:rFonts w:hint="eastAsia" w:ascii="Times New Roman" w:hAnsi="Times New Roman" w:eastAsia="仿宋_GB2312" w:cs="Times New Roman"/>
                <w:color w:val="auto"/>
                <w:sz w:val="18"/>
                <w:szCs w:val="18"/>
                <w:lang w:val="en-US" w:eastAsia="zh-CN"/>
              </w:rPr>
              <w:t>0.03</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r>
              <w:rPr>
                <w:rFonts w:hint="eastAsia" w:ascii="Times New Roman" w:hAnsi="Times New Roman" w:eastAsia="仿宋_GB2312" w:cs="Times New Roman"/>
                <w:color w:val="auto"/>
                <w:sz w:val="18"/>
                <w:szCs w:val="18"/>
                <w:lang w:val="zh-CN"/>
              </w:rPr>
              <w:t>、</w:t>
            </w:r>
            <w:r>
              <w:rPr>
                <w:rFonts w:ascii="Times New Roman" w:hAnsi="Times New Roman" w:eastAsia="仿宋_GB2312" w:cs="Times New Roman"/>
                <w:color w:val="auto"/>
                <w:sz w:val="18"/>
                <w:szCs w:val="18"/>
                <w:lang w:val="zh-CN"/>
              </w:rPr>
              <w:t>表土回覆</w:t>
            </w:r>
            <w:r>
              <w:rPr>
                <w:rFonts w:hint="eastAsia" w:ascii="Times New Roman" w:hAnsi="Times New Roman" w:eastAsia="仿宋_GB2312" w:cs="Times New Roman"/>
                <w:color w:val="auto"/>
                <w:sz w:val="18"/>
                <w:szCs w:val="18"/>
                <w:lang w:val="en-US" w:eastAsia="zh-CN"/>
              </w:rPr>
              <w:t>0.02</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p>
        </w:tc>
        <w:tc>
          <w:tcPr>
            <w:tcW w:w="1213" w:type="pct"/>
            <w:gridSpan w:val="11"/>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textAlignment w:val="center"/>
              <w:rPr>
                <w:rFonts w:ascii="Times New Roman" w:hAnsi="Times New Roman" w:eastAsia="仿宋_GB2312" w:cs="Times New Roman"/>
                <w:color w:val="auto"/>
                <w:kern w:val="0"/>
                <w:sz w:val="18"/>
                <w:szCs w:val="18"/>
                <w:lang w:val="en-US" w:eastAsia="zh-CN" w:bidi="ar"/>
              </w:rPr>
            </w:pPr>
            <w:r>
              <w:rPr>
                <w:rFonts w:hint="eastAsia" w:ascii="Times New Roman" w:hAnsi="Times New Roman" w:eastAsia="仿宋_GB2312" w:cs="Times New Roman"/>
                <w:color w:val="auto"/>
                <w:sz w:val="18"/>
                <w:szCs w:val="18"/>
                <w:lang w:val="en-US" w:eastAsia="zh-CN"/>
              </w:rPr>
              <w:t>主体已列：植草皮277</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p>
        </w:tc>
        <w:tc>
          <w:tcPr>
            <w:tcW w:w="1279" w:type="pct"/>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textAlignment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lang w:val="zh-CN"/>
              </w:rPr>
              <w:t>方案新增：彩条布遮盖</w:t>
            </w:r>
            <w:r>
              <w:rPr>
                <w:rFonts w:hint="eastAsia" w:ascii="Times New Roman" w:hAnsi="Times New Roman" w:eastAsia="仿宋_GB2312" w:cs="Times New Roman"/>
                <w:color w:val="auto"/>
                <w:sz w:val="18"/>
                <w:szCs w:val="18"/>
                <w:lang w:val="en-US" w:eastAsia="zh-CN"/>
              </w:rPr>
              <w:t>100</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660"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rPr>
                <w:rFonts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rPr>
              <w:t>弃渣场防治区</w:t>
            </w:r>
          </w:p>
        </w:tc>
        <w:tc>
          <w:tcPr>
            <w:tcW w:w="1614" w:type="pct"/>
            <w:gridSpan w:val="8"/>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lang w:bidi="ar"/>
              </w:rPr>
            </w:pPr>
            <w:r>
              <w:rPr>
                <w:rFonts w:ascii="Times New Roman" w:hAnsi="Times New Roman" w:eastAsia="仿宋_GB2312" w:cs="Times New Roman"/>
                <w:color w:val="auto"/>
                <w:sz w:val="18"/>
                <w:szCs w:val="18"/>
                <w:lang w:val="zh-CN"/>
              </w:rPr>
              <w:t>主体设计</w:t>
            </w:r>
            <w:r>
              <w:rPr>
                <w:rFonts w:ascii="Times New Roman" w:hAnsi="Times New Roman" w:eastAsia="仿宋_GB2312" w:cs="Times New Roman"/>
                <w:color w:val="auto"/>
                <w:sz w:val="18"/>
                <w:szCs w:val="18"/>
              </w:rPr>
              <w:t>：</w:t>
            </w:r>
            <w:r>
              <w:rPr>
                <w:rFonts w:ascii="Times New Roman" w:hAnsi="Times New Roman" w:eastAsia="仿宋_GB2312" w:cs="Times New Roman"/>
                <w:color w:val="auto"/>
                <w:sz w:val="18"/>
                <w:szCs w:val="18"/>
                <w:lang w:val="zh-CN"/>
              </w:rPr>
              <w:t>表土剥离</w:t>
            </w:r>
            <w:r>
              <w:rPr>
                <w:rFonts w:hint="eastAsia" w:ascii="Times New Roman" w:hAnsi="Times New Roman" w:eastAsia="仿宋_GB2312" w:cs="Times New Roman"/>
                <w:color w:val="auto"/>
                <w:sz w:val="18"/>
                <w:szCs w:val="18"/>
                <w:lang w:val="en-US" w:eastAsia="zh-CN"/>
              </w:rPr>
              <w:t>1.23</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r>
              <w:rPr>
                <w:rFonts w:ascii="Times New Roman" w:hAnsi="Times New Roman" w:eastAsia="仿宋_GB2312" w:cs="Times New Roman"/>
                <w:color w:val="auto"/>
                <w:sz w:val="18"/>
                <w:szCs w:val="18"/>
                <w:lang w:val="zh-CN"/>
              </w:rPr>
              <w:t>，表土回覆</w:t>
            </w:r>
            <w:r>
              <w:rPr>
                <w:rFonts w:hint="eastAsia" w:ascii="Times New Roman" w:hAnsi="Times New Roman" w:eastAsia="仿宋_GB2312" w:cs="Times New Roman"/>
                <w:color w:val="auto"/>
                <w:sz w:val="18"/>
                <w:szCs w:val="18"/>
                <w:lang w:val="en-US" w:eastAsia="zh-CN"/>
              </w:rPr>
              <w:t>1.23</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r>
              <w:rPr>
                <w:rFonts w:hint="eastAsia" w:ascii="Times New Roman" w:hAnsi="Times New Roman" w:eastAsia="仿宋_GB2312" w:cs="Times New Roman"/>
                <w:color w:val="auto"/>
                <w:sz w:val="18"/>
                <w:szCs w:val="18"/>
                <w:lang w:val="zh-CN"/>
              </w:rPr>
              <w:t>、</w:t>
            </w:r>
            <w:r>
              <w:rPr>
                <w:rFonts w:ascii="Times New Roman" w:hAnsi="Times New Roman" w:eastAsia="仿宋_GB2312" w:cs="Times New Roman"/>
                <w:color w:val="auto"/>
                <w:sz w:val="18"/>
                <w:szCs w:val="18"/>
              </w:rPr>
              <w:t>土地整治</w:t>
            </w:r>
            <w:r>
              <w:rPr>
                <w:rFonts w:hint="eastAsia" w:ascii="Times New Roman" w:hAnsi="Times New Roman" w:eastAsia="仿宋_GB2312" w:cs="Times New Roman"/>
                <w:color w:val="auto"/>
                <w:sz w:val="18"/>
                <w:szCs w:val="18"/>
                <w:lang w:val="en-US" w:eastAsia="zh-CN"/>
              </w:rPr>
              <w:t>4.90</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截水沟1273m、排水沟783m、碎石盲沟465m，挡渣墙284m、沉砂池2口</w:t>
            </w:r>
          </w:p>
        </w:tc>
        <w:tc>
          <w:tcPr>
            <w:tcW w:w="1213" w:type="pct"/>
            <w:gridSpan w:val="11"/>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主体已列：</w:t>
            </w:r>
            <w:r>
              <w:rPr>
                <w:rFonts w:hint="eastAsia" w:ascii="Times New Roman" w:hAnsi="Times New Roman" w:eastAsia="仿宋_GB2312" w:cs="Times New Roman"/>
                <w:color w:val="auto"/>
                <w:sz w:val="18"/>
                <w:szCs w:val="18"/>
              </w:rPr>
              <w:t>三维网植草护坡</w:t>
            </w:r>
            <w:r>
              <w:rPr>
                <w:rFonts w:hint="eastAsia" w:ascii="Times New Roman" w:hAnsi="Times New Roman" w:eastAsia="仿宋_GB2312" w:cs="Times New Roman"/>
                <w:color w:val="auto"/>
                <w:sz w:val="18"/>
                <w:szCs w:val="18"/>
                <w:lang w:val="en-US" w:eastAsia="zh-CN"/>
              </w:rPr>
              <w:t>1.76</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栽植乔木1800株</w:t>
            </w:r>
            <w:r>
              <w:rPr>
                <w:rFonts w:hint="eastAsia" w:ascii="Times New Roman" w:hAnsi="Times New Roman" w:eastAsia="仿宋_GB2312" w:cs="Times New Roman"/>
                <w:color w:val="auto"/>
                <w:sz w:val="18"/>
                <w:szCs w:val="18"/>
                <w:lang w:val="zh-CN"/>
              </w:rPr>
              <w:t>、</w:t>
            </w:r>
            <w:r>
              <w:rPr>
                <w:rFonts w:hint="eastAsia" w:ascii="Times New Roman" w:hAnsi="Times New Roman" w:eastAsia="仿宋_GB2312" w:cs="Times New Roman"/>
                <w:color w:val="auto"/>
                <w:sz w:val="18"/>
                <w:szCs w:val="18"/>
                <w:lang w:val="en-US" w:eastAsia="zh-CN"/>
              </w:rPr>
              <w:t>播撒草籽1.62</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bCs/>
                <w:color w:val="auto"/>
                <w:kern w:val="0"/>
                <w:sz w:val="18"/>
                <w:szCs w:val="18"/>
                <w:lang w:bidi="en-US"/>
              </w:rPr>
            </w:pPr>
            <w:r>
              <w:rPr>
                <w:rFonts w:ascii="Times New Roman" w:hAnsi="Times New Roman" w:eastAsia="仿宋_GB2312" w:cs="Times New Roman"/>
                <w:color w:val="auto"/>
                <w:sz w:val="18"/>
                <w:szCs w:val="18"/>
                <w:lang w:val="zh-CN"/>
              </w:rPr>
              <w:t>方案新增</w:t>
            </w:r>
            <w:r>
              <w:rPr>
                <w:rFonts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播撒草籽0.45</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p>
        </w:tc>
        <w:tc>
          <w:tcPr>
            <w:tcW w:w="1279" w:type="pct"/>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default"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sz w:val="18"/>
                <w:szCs w:val="18"/>
                <w:lang w:val="zh-CN"/>
              </w:rPr>
              <w:t>方案新增：彩条布遮盖</w:t>
            </w:r>
            <w:r>
              <w:rPr>
                <w:rFonts w:hint="eastAsia" w:ascii="Times New Roman" w:hAnsi="Times New Roman" w:eastAsia="仿宋_GB2312" w:cs="Times New Roman"/>
                <w:color w:val="auto"/>
                <w:sz w:val="18"/>
                <w:szCs w:val="18"/>
                <w:lang w:val="en-US" w:eastAsia="zh-CN"/>
              </w:rPr>
              <w:t>45</w:t>
            </w:r>
            <w:r>
              <w:rPr>
                <w:rFonts w:hint="eastAsia" w:ascii="Times New Roman" w:hAnsi="Times New Roman" w:eastAsia="仿宋_GB2312" w:cs="Times New Roman"/>
                <w:color w:val="auto"/>
                <w:sz w:val="18"/>
                <w:szCs w:val="18"/>
              </w:rPr>
              <w:t>00</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val="zh-CN"/>
              </w:rPr>
              <w:t>、</w:t>
            </w:r>
            <w:r>
              <w:rPr>
                <w:rFonts w:hint="eastAsia" w:ascii="Times New Roman" w:hAnsi="Times New Roman" w:eastAsia="仿宋_GB2312" w:cs="Times New Roman"/>
                <w:color w:val="auto"/>
                <w:sz w:val="18"/>
                <w:szCs w:val="18"/>
                <w:lang w:val="en-US" w:eastAsia="zh-CN"/>
              </w:rPr>
              <w:t>填土编织袋拦挡380m</w:t>
            </w:r>
          </w:p>
          <w:p>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jc w:val="left"/>
              <w:textAlignment w:val="center"/>
              <w:rPr>
                <w:rFonts w:ascii="Times New Roman" w:hAnsi="Times New Roman" w:eastAsia="仿宋_GB2312" w:cs="Times New Roman"/>
                <w:color w:val="auto"/>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1" w:type="pct"/>
            <w:vMerge w:val="continue"/>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p>
        </w:tc>
        <w:tc>
          <w:tcPr>
            <w:tcW w:w="660" w:type="pct"/>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right="0"/>
              <w:jc w:val="left"/>
              <w:rPr>
                <w:rFonts w:ascii="Times New Roman" w:hAnsi="Times New Roman" w:eastAsia="仿宋_GB2312" w:cs="Times New Roman"/>
                <w:color w:val="auto"/>
                <w:kern w:val="0"/>
                <w:sz w:val="18"/>
                <w:szCs w:val="18"/>
              </w:rPr>
            </w:pPr>
            <w:r>
              <w:rPr>
                <w:rFonts w:hint="eastAsia" w:ascii="Times New Roman" w:hAnsi="Times New Roman" w:eastAsia="仿宋_GB2312" w:cs="Times New Roman"/>
                <w:color w:val="auto"/>
                <w:kern w:val="0"/>
                <w:sz w:val="18"/>
                <w:szCs w:val="18"/>
                <w:lang w:val="en-US" w:eastAsia="zh-CN"/>
              </w:rPr>
              <w:t>施工生产防治区</w:t>
            </w:r>
          </w:p>
        </w:tc>
        <w:tc>
          <w:tcPr>
            <w:tcW w:w="1614" w:type="pct"/>
            <w:gridSpan w:val="8"/>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color w:val="auto"/>
                <w:kern w:val="0"/>
                <w:sz w:val="18"/>
                <w:szCs w:val="18"/>
                <w:lang w:bidi="ar"/>
              </w:rPr>
            </w:pPr>
            <w:r>
              <w:rPr>
                <w:rFonts w:ascii="Times New Roman" w:hAnsi="Times New Roman" w:eastAsia="仿宋_GB2312" w:cs="Times New Roman"/>
                <w:color w:val="auto"/>
                <w:sz w:val="18"/>
                <w:szCs w:val="18"/>
                <w:lang w:val="zh-CN"/>
              </w:rPr>
              <w:t>方案新增</w:t>
            </w:r>
            <w:r>
              <w:rPr>
                <w:rFonts w:ascii="Times New Roman" w:hAnsi="Times New Roman" w:eastAsia="仿宋_GB2312" w:cs="Times New Roman"/>
                <w:color w:val="auto"/>
                <w:sz w:val="18"/>
                <w:szCs w:val="18"/>
              </w:rPr>
              <w:t>：</w:t>
            </w:r>
            <w:r>
              <w:rPr>
                <w:rFonts w:ascii="Times New Roman" w:hAnsi="Times New Roman" w:eastAsia="仿宋_GB2312" w:cs="Times New Roman"/>
                <w:color w:val="auto"/>
                <w:sz w:val="18"/>
                <w:szCs w:val="18"/>
                <w:lang w:val="zh-CN"/>
              </w:rPr>
              <w:t>表土剥离</w:t>
            </w:r>
            <w:r>
              <w:rPr>
                <w:rFonts w:hint="eastAsia" w:ascii="Times New Roman" w:hAnsi="Times New Roman" w:eastAsia="仿宋_GB2312" w:cs="Times New Roman"/>
                <w:color w:val="auto"/>
                <w:sz w:val="18"/>
                <w:szCs w:val="18"/>
                <w:lang w:val="en-US" w:eastAsia="zh-CN"/>
              </w:rPr>
              <w:t>0.02</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r>
              <w:rPr>
                <w:rFonts w:hint="eastAsia" w:ascii="Times New Roman" w:hAnsi="Times New Roman" w:eastAsia="仿宋_GB2312" w:cs="Times New Roman"/>
                <w:color w:val="auto"/>
                <w:sz w:val="18"/>
                <w:szCs w:val="18"/>
                <w:lang w:val="zh-CN"/>
              </w:rPr>
              <w:t>、</w:t>
            </w:r>
            <w:r>
              <w:rPr>
                <w:rFonts w:ascii="Times New Roman" w:hAnsi="Times New Roman" w:eastAsia="仿宋_GB2312" w:cs="Times New Roman"/>
                <w:color w:val="auto"/>
                <w:sz w:val="18"/>
                <w:szCs w:val="18"/>
                <w:lang w:val="zh-CN"/>
              </w:rPr>
              <w:t>表土回覆</w:t>
            </w:r>
            <w:r>
              <w:rPr>
                <w:rFonts w:hint="eastAsia" w:ascii="Times New Roman" w:hAnsi="Times New Roman" w:eastAsia="仿宋_GB2312" w:cs="Times New Roman"/>
                <w:color w:val="auto"/>
                <w:sz w:val="18"/>
                <w:szCs w:val="18"/>
                <w:lang w:val="en-US" w:eastAsia="zh-CN"/>
              </w:rPr>
              <w:t>0.03</w:t>
            </w:r>
            <w:r>
              <w:rPr>
                <w:rFonts w:ascii="Times New Roman" w:hAnsi="Times New Roman" w:eastAsia="仿宋_GB2312" w:cs="Times New Roman"/>
                <w:color w:val="auto"/>
                <w:sz w:val="18"/>
                <w:szCs w:val="18"/>
              </w:rPr>
              <w:t>万</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lang w:val="zh-CN"/>
              </w:rPr>
              <w:t>3</w:t>
            </w:r>
            <w:r>
              <w:rPr>
                <w:rFonts w:hint="eastAsia" w:ascii="Times New Roman" w:hAnsi="Times New Roman" w:eastAsia="仿宋_GB2312" w:cs="Times New Roman"/>
                <w:color w:val="auto"/>
                <w:sz w:val="18"/>
                <w:szCs w:val="18"/>
                <w:lang w:val="zh-CN"/>
              </w:rPr>
              <w:t>、</w:t>
            </w:r>
            <w:r>
              <w:rPr>
                <w:rFonts w:ascii="Times New Roman" w:hAnsi="Times New Roman" w:eastAsia="仿宋_GB2312" w:cs="Times New Roman"/>
                <w:color w:val="auto"/>
                <w:sz w:val="18"/>
                <w:szCs w:val="18"/>
              </w:rPr>
              <w:t>土地整治</w:t>
            </w:r>
            <w:r>
              <w:rPr>
                <w:rFonts w:hint="eastAsia" w:ascii="Times New Roman" w:hAnsi="Times New Roman" w:eastAsia="仿宋_GB2312" w:cs="Times New Roman"/>
                <w:color w:val="auto"/>
                <w:sz w:val="18"/>
                <w:szCs w:val="18"/>
                <w:lang w:val="en-US" w:eastAsia="zh-CN"/>
              </w:rPr>
              <w:t>0.08</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p>
        </w:tc>
        <w:tc>
          <w:tcPr>
            <w:tcW w:w="1213" w:type="pct"/>
            <w:gridSpan w:val="11"/>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bCs/>
                <w:color w:val="auto"/>
                <w:kern w:val="0"/>
                <w:sz w:val="18"/>
                <w:szCs w:val="18"/>
                <w:lang w:bidi="en-US"/>
              </w:rPr>
            </w:pPr>
            <w:r>
              <w:rPr>
                <w:rFonts w:ascii="Times New Roman" w:hAnsi="Times New Roman" w:eastAsia="仿宋_GB2312" w:cs="Times New Roman"/>
                <w:color w:val="auto"/>
                <w:sz w:val="18"/>
                <w:szCs w:val="18"/>
                <w:lang w:val="zh-CN"/>
              </w:rPr>
              <w:t>方案新增</w:t>
            </w:r>
            <w:r>
              <w:rPr>
                <w:rFonts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val="en-US" w:eastAsia="zh-CN"/>
              </w:rPr>
              <w:t>植草皮233</w:t>
            </w:r>
            <w:r>
              <w:rPr>
                <w:rFonts w:ascii="Times New Roman" w:hAnsi="Times New Roman" w:eastAsia="仿宋_GB2312" w:cs="Times New Roman"/>
                <w:color w:val="auto"/>
                <w:sz w:val="18"/>
                <w:szCs w:val="18"/>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eastAsia="zh-CN"/>
              </w:rPr>
              <w:t>、</w:t>
            </w:r>
            <w:r>
              <w:rPr>
                <w:rFonts w:hint="eastAsia" w:ascii="Times New Roman" w:hAnsi="Times New Roman" w:eastAsia="仿宋_GB2312" w:cs="Times New Roman"/>
                <w:color w:val="auto"/>
                <w:sz w:val="18"/>
                <w:szCs w:val="18"/>
                <w:lang w:val="en-US" w:eastAsia="zh-CN"/>
              </w:rPr>
              <w:t>栽植乔木22株</w:t>
            </w:r>
            <w:r>
              <w:rPr>
                <w:rFonts w:hint="eastAsia" w:ascii="Times New Roman" w:hAnsi="Times New Roman" w:eastAsia="仿宋_GB2312" w:cs="Times New Roman"/>
                <w:color w:val="auto"/>
                <w:sz w:val="18"/>
                <w:szCs w:val="18"/>
                <w:lang w:val="zh-CN"/>
              </w:rPr>
              <w:t>、</w:t>
            </w:r>
            <w:r>
              <w:rPr>
                <w:rFonts w:hint="eastAsia" w:ascii="Times New Roman" w:hAnsi="Times New Roman" w:eastAsia="仿宋_GB2312" w:cs="Times New Roman"/>
                <w:color w:val="auto"/>
                <w:sz w:val="18"/>
                <w:szCs w:val="18"/>
                <w:lang w:val="en-US" w:eastAsia="zh-CN"/>
              </w:rPr>
              <w:t>播撒草籽0.02</w:t>
            </w:r>
            <w:r>
              <w:rPr>
                <w:rFonts w:ascii="Times New Roman" w:hAnsi="Times New Roman" w:eastAsia="仿宋_GB2312" w:cs="Times New Roman"/>
                <w:color w:val="auto"/>
                <w:sz w:val="18"/>
                <w:szCs w:val="18"/>
              </w:rPr>
              <w:t>hm</w:t>
            </w:r>
            <w:r>
              <w:rPr>
                <w:rFonts w:ascii="Times New Roman" w:hAnsi="Times New Roman" w:eastAsia="仿宋_GB2312" w:cs="Times New Roman"/>
                <w:color w:val="auto"/>
                <w:sz w:val="18"/>
                <w:szCs w:val="18"/>
                <w:vertAlign w:val="superscript"/>
              </w:rPr>
              <w:t>2</w:t>
            </w:r>
          </w:p>
        </w:tc>
        <w:tc>
          <w:tcPr>
            <w:tcW w:w="1279" w:type="pct"/>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lang w:val="zh-CN"/>
              </w:rPr>
              <w:t>方案新增：彩条布遮盖</w:t>
            </w:r>
            <w:r>
              <w:rPr>
                <w:rFonts w:hint="eastAsia" w:ascii="Times New Roman" w:hAnsi="Times New Roman" w:eastAsia="仿宋_GB2312" w:cs="Times New Roman"/>
                <w:color w:val="auto"/>
                <w:sz w:val="18"/>
                <w:szCs w:val="18"/>
                <w:lang w:val="en-US" w:eastAsia="zh-CN"/>
              </w:rPr>
              <w:t>37</w:t>
            </w:r>
            <w:r>
              <w:rPr>
                <w:rFonts w:hint="eastAsia" w:ascii="Times New Roman" w:hAnsi="Times New Roman" w:eastAsia="仿宋_GB2312" w:cs="Times New Roman"/>
                <w:color w:val="auto"/>
                <w:sz w:val="18"/>
                <w:szCs w:val="18"/>
              </w:rPr>
              <w:t>00</w:t>
            </w:r>
            <w:r>
              <w:rPr>
                <w:rFonts w:ascii="Times New Roman" w:hAnsi="Times New Roman" w:eastAsia="仿宋_GB2312" w:cs="Times New Roman"/>
                <w:color w:val="auto"/>
                <w:sz w:val="18"/>
                <w:szCs w:val="18"/>
                <w:lang w:val="zh-CN"/>
              </w:rPr>
              <w:t>m</w:t>
            </w:r>
            <w:r>
              <w:rPr>
                <w:rFonts w:ascii="Times New Roman" w:hAnsi="Times New Roman" w:eastAsia="仿宋_GB2312" w:cs="Times New Roman"/>
                <w:color w:val="auto"/>
                <w:sz w:val="18"/>
                <w:szCs w:val="18"/>
                <w:vertAlign w:val="superscript"/>
              </w:rPr>
              <w:t>2</w:t>
            </w:r>
            <w:r>
              <w:rPr>
                <w:rFonts w:hint="eastAsia" w:ascii="Times New Roman" w:hAnsi="Times New Roman" w:eastAsia="仿宋_GB2312" w:cs="Times New Roman"/>
                <w:color w:val="auto"/>
                <w:sz w:val="18"/>
                <w:szCs w:val="18"/>
                <w:lang w:val="zh-CN"/>
              </w:rPr>
              <w:t>、</w:t>
            </w:r>
            <w:r>
              <w:rPr>
                <w:rFonts w:hint="eastAsia" w:ascii="Times New Roman" w:hAnsi="Times New Roman" w:eastAsia="仿宋_GB2312" w:cs="Times New Roman"/>
                <w:color w:val="auto"/>
                <w:sz w:val="18"/>
                <w:szCs w:val="18"/>
                <w:lang w:val="en-US" w:eastAsia="zh-CN"/>
              </w:rPr>
              <w:t>填土编织袋拦挡670m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2" w:type="pct"/>
            <w:gridSpan w:val="4"/>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投资（万元）</w:t>
            </w:r>
          </w:p>
        </w:tc>
        <w:tc>
          <w:tcPr>
            <w:tcW w:w="1614"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ascii="Times New Roman" w:hAnsi="Times New Roman" w:eastAsia="仿宋_GB2312" w:cs="Times New Roman"/>
                <w:color w:val="auto"/>
                <w:kern w:val="0"/>
                <w:sz w:val="18"/>
                <w:szCs w:val="18"/>
              </w:rPr>
              <w:t>主体设计：</w:t>
            </w:r>
            <w:r>
              <w:rPr>
                <w:rFonts w:hint="eastAsia" w:ascii="Times New Roman" w:hAnsi="Times New Roman" w:eastAsia="仿宋_GB2312" w:cs="Times New Roman"/>
                <w:color w:val="auto"/>
                <w:kern w:val="0"/>
                <w:sz w:val="18"/>
                <w:szCs w:val="18"/>
                <w:lang w:val="en-US" w:eastAsia="zh-CN"/>
              </w:rPr>
              <w:t>349.69</w:t>
            </w:r>
          </w:p>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ascii="Times New Roman" w:hAnsi="Times New Roman" w:eastAsia="仿宋_GB2312" w:cs="Times New Roman"/>
                <w:color w:val="auto"/>
                <w:kern w:val="0"/>
                <w:sz w:val="18"/>
                <w:szCs w:val="18"/>
              </w:rPr>
              <w:t>方案新增：</w:t>
            </w:r>
            <w:r>
              <w:rPr>
                <w:rFonts w:hint="eastAsia" w:ascii="Times New Roman" w:hAnsi="Times New Roman" w:eastAsia="仿宋_GB2312" w:cs="Times New Roman"/>
                <w:color w:val="auto"/>
                <w:kern w:val="0"/>
                <w:sz w:val="18"/>
                <w:szCs w:val="18"/>
                <w:lang w:val="en-US" w:eastAsia="zh-CN"/>
              </w:rPr>
              <w:t>2.69</w:t>
            </w:r>
          </w:p>
        </w:tc>
        <w:tc>
          <w:tcPr>
            <w:tcW w:w="1213" w:type="pct"/>
            <w:gridSpan w:val="11"/>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kern w:val="0"/>
                <w:sz w:val="18"/>
                <w:szCs w:val="18"/>
                <w:lang w:val="en-US" w:eastAsia="zh-CN"/>
              </w:rPr>
            </w:pPr>
            <w:r>
              <w:rPr>
                <w:rFonts w:ascii="Times New Roman" w:hAnsi="Times New Roman" w:eastAsia="仿宋_GB2312" w:cs="Times New Roman"/>
                <w:color w:val="auto"/>
                <w:kern w:val="0"/>
                <w:sz w:val="18"/>
                <w:szCs w:val="18"/>
              </w:rPr>
              <w:t>主体设计：</w:t>
            </w:r>
            <w:r>
              <w:rPr>
                <w:rFonts w:hint="eastAsia" w:ascii="Times New Roman" w:hAnsi="Times New Roman" w:eastAsia="仿宋_GB2312" w:cs="Times New Roman"/>
                <w:color w:val="auto"/>
                <w:kern w:val="0"/>
                <w:sz w:val="18"/>
                <w:szCs w:val="18"/>
                <w:lang w:val="en-US" w:eastAsia="zh-CN"/>
              </w:rPr>
              <w:t>96.11</w:t>
            </w:r>
          </w:p>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24"/>
                <w:lang w:val="en-US" w:eastAsia="zh-CN"/>
              </w:rPr>
            </w:pPr>
            <w:r>
              <w:rPr>
                <w:rFonts w:ascii="Times New Roman" w:hAnsi="Times New Roman" w:eastAsia="仿宋_GB2312" w:cs="Times New Roman"/>
                <w:color w:val="auto"/>
                <w:kern w:val="0"/>
                <w:sz w:val="18"/>
                <w:szCs w:val="18"/>
              </w:rPr>
              <w:t>方案新增：0</w:t>
            </w:r>
            <w:r>
              <w:rPr>
                <w:rFonts w:hint="eastAsia" w:ascii="Times New Roman" w:hAnsi="Times New Roman" w:eastAsia="仿宋_GB2312" w:cs="Times New Roman"/>
                <w:color w:val="auto"/>
                <w:kern w:val="0"/>
                <w:sz w:val="18"/>
                <w:szCs w:val="18"/>
                <w:lang w:val="en-US" w:eastAsia="zh-CN"/>
              </w:rPr>
              <w:t>.51</w:t>
            </w:r>
          </w:p>
        </w:tc>
        <w:tc>
          <w:tcPr>
            <w:tcW w:w="1279"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ascii="Times New Roman" w:hAnsi="Times New Roman" w:eastAsia="仿宋_GB2312" w:cs="Times New Roman"/>
                <w:color w:val="auto"/>
                <w:kern w:val="0"/>
                <w:sz w:val="18"/>
                <w:szCs w:val="18"/>
              </w:rPr>
              <w:t>方案新增：</w:t>
            </w:r>
            <w:r>
              <w:rPr>
                <w:rFonts w:hint="eastAsia" w:ascii="Times New Roman" w:hAnsi="Times New Roman" w:eastAsia="仿宋_GB2312" w:cs="Times New Roman"/>
                <w:color w:val="auto"/>
                <w:kern w:val="0"/>
                <w:sz w:val="18"/>
                <w:szCs w:val="18"/>
                <w:lang w:val="en-US" w:eastAsia="zh-CN"/>
              </w:rPr>
              <w:t>32.41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10"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水土保持总投资（万元）</w:t>
            </w:r>
          </w:p>
        </w:tc>
        <w:tc>
          <w:tcPr>
            <w:tcW w:w="2257" w:type="pct"/>
            <w:gridSpan w:val="16"/>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hint="eastAsia" w:ascii="Times New Roman" w:hAnsi="Times New Roman" w:eastAsia="仿宋_GB2312" w:cs="Times New Roman"/>
                <w:color w:val="auto"/>
                <w:kern w:val="0"/>
                <w:sz w:val="18"/>
                <w:szCs w:val="18"/>
                <w:lang w:val="en-US" w:eastAsia="zh-CN"/>
              </w:rPr>
              <w:t>655.68</w:t>
            </w:r>
            <w:r>
              <w:rPr>
                <w:rFonts w:ascii="Times New Roman" w:hAnsi="Times New Roman" w:eastAsia="仿宋_GB2312" w:cs="Times New Roman"/>
                <w:color w:val="auto"/>
                <w:kern w:val="0"/>
                <w:sz w:val="18"/>
                <w:szCs w:val="18"/>
              </w:rPr>
              <w:t>（方案新增</w:t>
            </w:r>
            <w:r>
              <w:rPr>
                <w:rFonts w:hint="eastAsia" w:ascii="Times New Roman" w:hAnsi="Times New Roman" w:eastAsia="仿宋_GB2312" w:cs="Times New Roman"/>
                <w:color w:val="auto"/>
                <w:kern w:val="0"/>
                <w:sz w:val="18"/>
                <w:szCs w:val="18"/>
                <w:lang w:val="en-US" w:eastAsia="zh-CN"/>
              </w:rPr>
              <w:t>209.88</w:t>
            </w:r>
            <w:r>
              <w:rPr>
                <w:rFonts w:ascii="Times New Roman" w:hAnsi="Times New Roman" w:eastAsia="仿宋_GB2312" w:cs="Times New Roman"/>
                <w:color w:val="auto"/>
                <w:kern w:val="0"/>
                <w:sz w:val="18"/>
                <w:szCs w:val="18"/>
              </w:rPr>
              <w:t>）</w:t>
            </w:r>
          </w:p>
        </w:tc>
        <w:tc>
          <w:tcPr>
            <w:tcW w:w="901"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独立费（万元）</w:t>
            </w:r>
          </w:p>
        </w:tc>
        <w:tc>
          <w:tcPr>
            <w:tcW w:w="631"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68.51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10"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监理费（万元）</w:t>
            </w:r>
          </w:p>
        </w:tc>
        <w:tc>
          <w:tcPr>
            <w:tcW w:w="685"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1.43</w:t>
            </w:r>
          </w:p>
        </w:tc>
        <w:tc>
          <w:tcPr>
            <w:tcW w:w="808"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监测费（万元）</w:t>
            </w:r>
          </w:p>
        </w:tc>
        <w:tc>
          <w:tcPr>
            <w:tcW w:w="763"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15.29</w:t>
            </w:r>
          </w:p>
        </w:tc>
        <w:tc>
          <w:tcPr>
            <w:tcW w:w="901" w:type="pct"/>
            <w:gridSpan w:val="5"/>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kern w:val="0"/>
                <w:sz w:val="18"/>
                <w:szCs w:val="18"/>
              </w:rPr>
              <w:t>补偿费（万元）</w:t>
            </w:r>
          </w:p>
        </w:tc>
        <w:tc>
          <w:tcPr>
            <w:tcW w:w="631" w:type="pct"/>
            <w:gridSpan w:val="2"/>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83.314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方案编制单位</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140" w:leftChars="-50" w:right="-140" w:rightChars="-5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重庆龙翰环保工程有限公司</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建设单位</w:t>
            </w:r>
          </w:p>
        </w:tc>
        <w:tc>
          <w:tcPr>
            <w:tcW w:w="1707" w:type="pct"/>
            <w:gridSpan w:val="10"/>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仿宋_GB2312" w:cs="Times New Roman"/>
                <w:color w:val="auto"/>
                <w:spacing w:val="-2"/>
                <w:sz w:val="18"/>
                <w:szCs w:val="18"/>
                <w:lang w:eastAsia="zh-CN"/>
              </w:rPr>
            </w:pPr>
            <w:r>
              <w:rPr>
                <w:rFonts w:hint="eastAsia" w:ascii="Times New Roman" w:hAnsi="Times New Roman" w:eastAsia="仿宋_GB2312" w:cs="Times New Roman"/>
                <w:color w:val="auto"/>
                <w:spacing w:val="-2"/>
                <w:sz w:val="18"/>
                <w:szCs w:val="18"/>
                <w:lang w:eastAsia="zh-CN"/>
              </w:rPr>
              <w:t>重庆航运建设发展（集团）有限公司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法定代表人</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王翼</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法定代表人</w:t>
            </w:r>
          </w:p>
        </w:tc>
        <w:tc>
          <w:tcPr>
            <w:tcW w:w="1707" w:type="pct"/>
            <w:gridSpan w:val="10"/>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廖劲松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地址</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kern w:val="0"/>
                <w:sz w:val="18"/>
                <w:szCs w:val="18"/>
              </w:rPr>
              <w:t>重庆市渝北区龙山一路5号扬子江商务中心23-2</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地址</w:t>
            </w:r>
          </w:p>
        </w:tc>
        <w:tc>
          <w:tcPr>
            <w:tcW w:w="1707" w:type="pct"/>
            <w:gridSpan w:val="10"/>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重庆市北部新区高新园星光大道76号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邮编</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401147</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邮编</w:t>
            </w:r>
          </w:p>
        </w:tc>
        <w:tc>
          <w:tcPr>
            <w:tcW w:w="1707" w:type="pct"/>
            <w:gridSpan w:val="10"/>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401122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联系人及电话</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黄晓/15</w:t>
            </w:r>
            <w:r>
              <w:rPr>
                <w:rFonts w:hint="eastAsia" w:eastAsia="仿宋_GB2312" w:cs="Times New Roman"/>
                <w:color w:val="auto"/>
                <w:sz w:val="18"/>
                <w:szCs w:val="18"/>
                <w:lang w:val="en-US" w:eastAsia="zh-CN"/>
              </w:rPr>
              <w:t>***</w:t>
            </w:r>
            <w:r>
              <w:rPr>
                <w:rFonts w:ascii="Times New Roman" w:hAnsi="Times New Roman" w:eastAsia="仿宋_GB2312" w:cs="Times New Roman"/>
                <w:color w:val="auto"/>
                <w:sz w:val="18"/>
                <w:szCs w:val="18"/>
              </w:rPr>
              <w:t>45</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联系人及电话</w:t>
            </w:r>
          </w:p>
        </w:tc>
        <w:tc>
          <w:tcPr>
            <w:tcW w:w="1707" w:type="pct"/>
            <w:gridSpan w:val="10"/>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邓海</w:t>
            </w:r>
            <w:r>
              <w:rPr>
                <w:rFonts w:ascii="Times New Roman" w:hAnsi="Times New Roman" w:eastAsia="仿宋_GB2312" w:cs="Times New Roman"/>
                <w:color w:val="auto"/>
                <w:sz w:val="18"/>
                <w:szCs w:val="18"/>
              </w:rPr>
              <w:t>/1</w:t>
            </w:r>
            <w:r>
              <w:rPr>
                <w:rFonts w:hint="eastAsia" w:ascii="Times New Roman" w:hAnsi="Times New Roman" w:eastAsia="仿宋_GB2312" w:cs="Times New Roman"/>
                <w:color w:val="auto"/>
                <w:sz w:val="18"/>
                <w:szCs w:val="18"/>
                <w:lang w:val="en-US" w:eastAsia="zh-CN"/>
              </w:rPr>
              <w:t>8</w:t>
            </w:r>
            <w:r>
              <w:rPr>
                <w:rFonts w:hint="eastAsia" w:eastAsia="仿宋_GB2312" w:cs="Times New Roman"/>
                <w:color w:val="auto"/>
                <w:sz w:val="18"/>
                <w:szCs w:val="18"/>
                <w:lang w:val="en-US" w:eastAsia="zh-CN"/>
              </w:rPr>
              <w:t>***</w:t>
            </w:r>
            <w:r>
              <w:rPr>
                <w:rFonts w:hint="eastAsia" w:ascii="Times New Roman" w:hAnsi="Times New Roman" w:eastAsia="仿宋_GB2312" w:cs="Times New Roman"/>
                <w:color w:val="auto"/>
                <w:sz w:val="18"/>
                <w:szCs w:val="18"/>
                <w:lang w:val="en-US" w:eastAsia="zh-CN"/>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传真</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023-67</w:t>
            </w:r>
            <w:r>
              <w:rPr>
                <w:rFonts w:hint="eastAsia" w:eastAsia="仿宋_GB2312" w:cs="Times New Roman"/>
                <w:color w:val="auto"/>
                <w:sz w:val="18"/>
                <w:szCs w:val="18"/>
                <w:lang w:val="en-US" w:eastAsia="zh-CN"/>
              </w:rPr>
              <w:t>***</w:t>
            </w:r>
            <w:r>
              <w:rPr>
                <w:rFonts w:ascii="Times New Roman" w:hAnsi="Times New Roman" w:eastAsia="仿宋_GB2312" w:cs="Times New Roman"/>
                <w:color w:val="auto"/>
                <w:sz w:val="18"/>
                <w:szCs w:val="18"/>
              </w:rPr>
              <w:t>11</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传真</w:t>
            </w:r>
          </w:p>
        </w:tc>
        <w:tc>
          <w:tcPr>
            <w:tcW w:w="1707" w:type="pct"/>
            <w:gridSpan w:val="10"/>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8" w:type="pct"/>
            <w:gridSpan w:val="3"/>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电子信箱</w:t>
            </w:r>
          </w:p>
        </w:tc>
        <w:tc>
          <w:tcPr>
            <w:tcW w:w="1489" w:type="pct"/>
            <w:gridSpan w:val="7"/>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37</w:t>
            </w:r>
            <w:r>
              <w:rPr>
                <w:rFonts w:hint="eastAsia" w:eastAsia="仿宋_GB2312" w:cs="Times New Roman"/>
                <w:color w:val="auto"/>
                <w:sz w:val="18"/>
                <w:szCs w:val="18"/>
                <w:lang w:val="en-US" w:eastAsia="zh-CN"/>
              </w:rPr>
              <w:t>***</w:t>
            </w:r>
            <w:r>
              <w:rPr>
                <w:rFonts w:ascii="Times New Roman" w:hAnsi="Times New Roman" w:eastAsia="仿宋_GB2312" w:cs="Times New Roman"/>
                <w:color w:val="auto"/>
                <w:sz w:val="18"/>
                <w:szCs w:val="18"/>
              </w:rPr>
              <w:t>21@qq.com</w:t>
            </w:r>
          </w:p>
        </w:tc>
        <w:tc>
          <w:tcPr>
            <w:tcW w:w="945" w:type="pct"/>
            <w:gridSpan w:val="8"/>
            <w:tcBorders>
              <w:tl2br w:val="nil"/>
              <w:tr2bl w:val="nil"/>
            </w:tcBorders>
            <w:vAlign w:val="center"/>
          </w:tcPr>
          <w:p>
            <w:pPr>
              <w:keepNext w:val="0"/>
              <w:keepLines w:val="0"/>
              <w:widowControl/>
              <w:suppressLineNumbers w:val="0"/>
              <w:adjustRightInd w:val="0"/>
              <w:spacing w:before="0" w:beforeAutospacing="0" w:after="0" w:afterAutospacing="0" w:line="240" w:lineRule="auto"/>
              <w:ind w:left="0" w:right="0"/>
              <w:jc w:val="center"/>
              <w:rPr>
                <w:rFonts w:ascii="Times New Roman" w:hAnsi="Times New Roman" w:eastAsia="仿宋_GB2312" w:cs="Times New Roman"/>
                <w:color w:val="auto"/>
                <w:kern w:val="0"/>
                <w:sz w:val="18"/>
                <w:szCs w:val="18"/>
              </w:rPr>
            </w:pPr>
            <w:r>
              <w:rPr>
                <w:rFonts w:ascii="Times New Roman" w:hAnsi="Times New Roman" w:eastAsia="仿宋_GB2312" w:cs="Times New Roman"/>
                <w:color w:val="auto"/>
                <w:kern w:val="0"/>
                <w:sz w:val="18"/>
                <w:szCs w:val="18"/>
              </w:rPr>
              <w:t>电子信箱</w:t>
            </w:r>
          </w:p>
        </w:tc>
        <w:tc>
          <w:tcPr>
            <w:tcW w:w="1707" w:type="pct"/>
            <w:gridSpan w:val="10"/>
            <w:tcBorders>
              <w:tl2br w:val="nil"/>
              <w:tr2bl w:val="nil"/>
            </w:tcBorders>
            <w:vAlign w:val="center"/>
          </w:tcPr>
          <w:p>
            <w:pPr>
              <w:keepNext w:val="0"/>
              <w:keepLines w:val="0"/>
              <w:widowControl/>
              <w:suppressLineNumbers w:val="0"/>
              <w:spacing w:before="0" w:beforeAutospacing="0" w:after="0" w:afterAutospacing="0" w:line="240" w:lineRule="auto"/>
              <w:ind w:left="0" w:right="0"/>
              <w:jc w:val="center"/>
              <w:rPr>
                <w:rFonts w:ascii="Times New Roman" w:hAnsi="Times New Roman" w:eastAsia="仿宋_GB2312" w:cs="Times New Roman"/>
                <w:color w:val="auto"/>
                <w:sz w:val="18"/>
                <w:szCs w:val="18"/>
              </w:rPr>
            </w:pPr>
            <w:r>
              <w:rPr>
                <w:rFonts w:ascii="Times New Roman" w:hAnsi="Times New Roman" w:eastAsia="仿宋_GB2312" w:cs="Times New Roman"/>
                <w:color w:val="auto"/>
                <w:sz w:val="18"/>
                <w:szCs w:val="18"/>
              </w:rPr>
              <w:t>/</w:t>
            </w:r>
          </w:p>
        </w:tc>
      </w:tr>
    </w:tbl>
    <w:p>
      <w:pPr>
        <w:rPr>
          <w:rFonts w:ascii="Times New Roman" w:hAnsi="Times New Roman" w:eastAsia="方正黑体_GBK" w:cs="Times New Roman"/>
          <w:color w:val="FF0000"/>
          <w:sz w:val="32"/>
          <w:szCs w:val="32"/>
        </w:rPr>
      </w:pPr>
    </w:p>
    <w:p>
      <w:pPr>
        <w:rPr>
          <w:rFonts w:ascii="Times New Roman" w:hAnsi="Times New Roman" w:eastAsia="方正黑体_GBK" w:cs="Times New Roman"/>
          <w:color w:val="FF0000"/>
          <w:sz w:val="32"/>
          <w:szCs w:val="32"/>
        </w:rPr>
      </w:pPr>
      <w:r>
        <w:rPr>
          <w:rFonts w:ascii="Times New Roman" w:hAnsi="Times New Roman" w:eastAsia="方正黑体_GBK" w:cs="Times New Roman"/>
          <w:color w:val="FF0000"/>
          <w:sz w:val="32"/>
          <w:szCs w:val="32"/>
        </w:rPr>
        <w:br w:type="page"/>
      </w:r>
    </w:p>
    <w:p>
      <w:pPr>
        <w:spacing w:line="594" w:lineRule="exact"/>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snapToGrid w:val="0"/>
        <w:spacing w:line="594" w:lineRule="exact"/>
        <w:jc w:val="center"/>
        <w:rPr>
          <w:rFonts w:hint="eastAsia" w:ascii="Times New Roman" w:hAnsi="Times New Roman" w:eastAsia="方正小标宋_GBK" w:cs="Times New Roman"/>
          <w:bCs/>
          <w:color w:val="auto"/>
          <w:sz w:val="44"/>
          <w:szCs w:val="44"/>
          <w:lang w:eastAsia="zh-CN"/>
        </w:rPr>
      </w:pPr>
    </w:p>
    <w:p>
      <w:pPr>
        <w:snapToGrid w:val="0"/>
        <w:spacing w:line="594" w:lineRule="exact"/>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bCs/>
          <w:color w:val="auto"/>
          <w:sz w:val="44"/>
          <w:szCs w:val="44"/>
          <w:lang w:eastAsia="zh-CN"/>
        </w:rPr>
        <w:t>涪江重庆段航道整治工程</w:t>
      </w:r>
      <w:r>
        <w:rPr>
          <w:rFonts w:ascii="Times New Roman" w:hAnsi="Times New Roman" w:eastAsia="方正小标宋_GBK" w:cs="Times New Roman"/>
          <w:color w:val="auto"/>
          <w:sz w:val="44"/>
          <w:szCs w:val="44"/>
        </w:rPr>
        <w:t>水土保持</w:t>
      </w:r>
    </w:p>
    <w:p>
      <w:pPr>
        <w:snapToGrid w:val="0"/>
        <w:spacing w:line="594"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方案报告书专家评审意见</w:t>
      </w:r>
    </w:p>
    <w:p>
      <w:pPr>
        <w:snapToGrid w:val="0"/>
        <w:spacing w:line="594" w:lineRule="exact"/>
        <w:ind w:firstLine="640" w:firstLineChars="200"/>
        <w:rPr>
          <w:rFonts w:hint="eastAsia" w:ascii="Times New Roman" w:hAnsi="Times New Roman" w:eastAsia="方正仿宋_GBK" w:cs="Times New Roman"/>
          <w:color w:val="auto"/>
          <w:sz w:val="32"/>
          <w:szCs w:val="32"/>
        </w:rPr>
      </w:pPr>
    </w:p>
    <w:p>
      <w:pPr>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2024年</w:t>
      </w:r>
      <w:r>
        <w:rPr>
          <w:rFonts w:hint="eastAsia" w:ascii="Times New Roman" w:hAnsi="Times New Roman" w:eastAsia="方正仿宋_GBK" w:cs="Times New Roman"/>
          <w:color w:val="auto"/>
          <w:sz w:val="32"/>
          <w:szCs w:val="32"/>
          <w:lang w:val="en-US" w:eastAsia="zh-CN"/>
        </w:rPr>
        <w:t>12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19</w:t>
      </w:r>
      <w:r>
        <w:rPr>
          <w:rFonts w:hint="eastAsia" w:ascii="Times New Roman" w:hAnsi="Times New Roman" w:eastAsia="方正仿宋_GBK" w:cs="Times New Roman"/>
          <w:color w:val="auto"/>
          <w:sz w:val="32"/>
          <w:szCs w:val="32"/>
        </w:rPr>
        <w:t>日，重庆市水利局组织召开了《</w:t>
      </w:r>
      <w:r>
        <w:rPr>
          <w:rFonts w:hint="eastAsia" w:ascii="Times New Roman" w:hAnsi="Times New Roman" w:eastAsia="方正仿宋_GBK" w:cs="Times New Roman"/>
          <w:color w:val="auto"/>
          <w:sz w:val="32"/>
          <w:szCs w:val="32"/>
          <w:lang w:eastAsia="zh-CN"/>
        </w:rPr>
        <w:t>涪江重庆段航道整治工程</w:t>
      </w:r>
      <w:r>
        <w:rPr>
          <w:rFonts w:hint="eastAsia" w:ascii="Times New Roman" w:hAnsi="Times New Roman" w:eastAsia="方正仿宋_GBK" w:cs="Times New Roman"/>
          <w:color w:val="auto"/>
          <w:sz w:val="32"/>
          <w:szCs w:val="32"/>
        </w:rPr>
        <w:t>水土保持方案报告书》（以下简称《水保方案》）专家评审会</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合川区水利局、铜梁区水利局、潼南区水利局、重庆航运建设发展（集团）有限公司（以下简称项目业主）、重庆龙翰环保工程有限公司（以下简称报告编制单位）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中铁长江交通设计集团有限公司（</w:t>
      </w:r>
      <w:r>
        <w:rPr>
          <w:rFonts w:hint="eastAsia" w:ascii="Times New Roman" w:hAnsi="Times New Roman" w:eastAsia="方正仿宋_GBK" w:cs="Times New Roman"/>
          <w:color w:val="auto"/>
          <w:sz w:val="32"/>
          <w:szCs w:val="32"/>
          <w:lang w:eastAsia="zh-CN"/>
        </w:rPr>
        <w:t>主体设计单位</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的代表及特邀专家参加了会议。会议成立了专家组，专家组成员会前详细审阅了《水保方案》，与会人员会上认真听取了报告编制单位的汇报，进行了深入讨论。根据“办水保〔2023〕177号”和“渝水〔2018〕267号”，专家组对《水保方案》进行了质量评分，质量评定等级合格。报告编制单位会后对《水保方案》进行了修改补充，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15</w:t>
      </w:r>
      <w:r>
        <w:rPr>
          <w:rFonts w:hint="eastAsia" w:ascii="Times New Roman" w:hAnsi="Times New Roman" w:eastAsia="方正仿宋_GBK" w:cs="Times New Roman"/>
          <w:color w:val="auto"/>
          <w:sz w:val="32"/>
          <w:szCs w:val="32"/>
        </w:rPr>
        <w:t>日，项目法人提交了修改完善后的《水保方案》。经专家组复核，形成专家评审意见如下</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方案编制依据的法律法规、部委规章、规范性文件、规范标准和技术文件及资料采用基本正确。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（三）同意水土流失防治责任范围界定，水土流失防治责任范围面积为59.51hm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合川区28.30hm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，铜梁区2.15hm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，潼南区29.06hm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（五）同意水土流失防治目标。其中：水土流失治理度97%，土壤流失控制比1.0，渣土防护率94%，表土保护率92%，林草植被恢复率97%，林草覆盖率27%</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项目概况阐述基本清楚。涪江重庆段航道整治工程位于涪江重庆段内（河口至三星枢纽坝下10km</w:t>
      </w:r>
      <w:r>
        <w:rPr>
          <w:rFonts w:hint="eastAsia" w:ascii="Times New Roman" w:hAnsi="Times New Roman" w:eastAsia="方正仿宋_GBK" w:cs="Times New Roman"/>
          <w:color w:val="auto"/>
          <w:sz w:val="32"/>
          <w:szCs w:val="32"/>
          <w:lang w:eastAsia="zh-CN"/>
        </w:rPr>
        <w:t>，下同</w:t>
      </w:r>
      <w:r>
        <w:rPr>
          <w:rFonts w:hint="eastAsia" w:ascii="Times New Roman" w:hAnsi="Times New Roman" w:eastAsia="方正仿宋_GBK" w:cs="Times New Roman"/>
          <w:color w:val="auto"/>
          <w:sz w:val="32"/>
          <w:szCs w:val="32"/>
        </w:rPr>
        <w:t>），涉及重庆市潼南区、铜梁区、合川区</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个区县。本项目为新建建设类项目，建设内容为：按内河Ⅲ级标准，对涪江重庆段内126km航道进行整治，设计航道尺度2.8m×60m×480m（水深×航宽×弯曲半径），通航保证率98%；对双江枢纽坝下、中坝子、潼南枢纽坝下、埝塘湾、青岩子、二郎滩、鱼箭坝、磨盘滩、黄家坝、七星中坝、坐金滩等11处滩险以疏浚、清礁和筑坝等措施进行整治，对部分浅点进行零星疏浚，配布航标97座（岸标40座，浮标57座），建设安全标志牌2座，建设谭家桥、高楼航道维护基地及VHF通讯系统、AIS系统等。项目施工组织设置弃渣场2座，主要用于堆放疏浚工程不能综合利用的弃方；设置施工临时便道2处，共计0.48km，作为渣场的进场道路；设置施工生产区7处，包括维护基地2处、临时上岸点5处。</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本项目占地面积59.51hm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永久占地0.20hm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，临时占地59.31hm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。本工程总挖方97.85万m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（含表土剥离1.33万m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），总填方1.85万m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（含表土回覆1.33万m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），利用方57.67万m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（由合川区水利局牵头，会同综合利用单位</w:t>
      </w:r>
      <w:r>
        <w:rPr>
          <w:rFonts w:hint="eastAsia" w:ascii="Times New Roman" w:hAnsi="Times New Roman" w:eastAsia="方正仿宋_GBK" w:cs="Times New Roman"/>
          <w:color w:val="auto"/>
          <w:sz w:val="32"/>
          <w:szCs w:val="32"/>
          <w:lang w:eastAsia="zh-CN"/>
        </w:rPr>
        <w:t>合川</w:t>
      </w:r>
      <w:r>
        <w:rPr>
          <w:rFonts w:hint="eastAsia" w:ascii="Times New Roman" w:hAnsi="Times New Roman" w:eastAsia="方正仿宋_GBK" w:cs="Times New Roman"/>
          <w:color w:val="auto"/>
          <w:sz w:val="32"/>
          <w:szCs w:val="32"/>
        </w:rPr>
        <w:t>区农投（集团）公司负责本项目疏浚砂综合利用工作），经综合利用后，无法利用的弃方约38.33万m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，运至2处弃渣场堆存处理。</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工程计划2025年1月开工，2027年2月完工，总工期26个月。工程建设总投资31357.49万元，其中土建投资为16799.30万元。</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项目杨柳湾弃渣场处两户民房因不满足安全距离，由本项目总包方（重庆市水利港航建设集团有限公司）采取货币一次性补偿的方案对其进行拆迁补偿，因两处民房现已无人居住，无需另行安置，具体的搬迁工作由当地政府实施。</w:t>
      </w:r>
    </w:p>
    <w:p>
      <w:pPr>
        <w:snapToGrid w:val="0"/>
        <w:spacing w:line="594" w:lineRule="exact"/>
        <w:ind w:firstLine="640" w:firstLineChars="200"/>
        <w:rPr>
          <w:rFonts w:ascii="Times New Roman" w:hAnsi="Times New Roman" w:eastAsia="方正仿宋_GBK" w:cs="Times New Roman"/>
          <w:bCs/>
          <w:color w:val="FF0000"/>
          <w:sz w:val="32"/>
          <w:szCs w:val="32"/>
        </w:rPr>
      </w:pPr>
      <w:r>
        <w:rPr>
          <w:rFonts w:hint="eastAsia" w:ascii="Times New Roman" w:hAnsi="Times New Roman" w:eastAsia="方正仿宋_GBK" w:cs="Times New Roman"/>
          <w:color w:val="auto"/>
          <w:sz w:val="32"/>
          <w:szCs w:val="32"/>
        </w:rPr>
        <w:t>（二）项目区自然概况阐述较为清楚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对主体工程选线的水土保持评价。项目选址（线）涉及国家级水土流失重点治理区和重庆市水土流失重点治理区，且无法避让，水土保持方案已执行水土流失防治最高标准（一级标准），符合法律法规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（三）基本同意对弃渣场选址的分析与评价。</w:t>
      </w:r>
      <w:r>
        <w:rPr>
          <w:rFonts w:hint="eastAsia" w:ascii="Times New Roman" w:hAnsi="Times New Roman" w:eastAsia="方正仿宋_GBK" w:cs="Times New Roman"/>
          <w:color w:val="auto"/>
          <w:sz w:val="32"/>
          <w:szCs w:val="32"/>
          <w:lang w:eastAsia="zh-CN"/>
        </w:rPr>
        <w:t>项目布设</w:t>
      </w:r>
      <w:r>
        <w:rPr>
          <w:rFonts w:hint="eastAsia" w:ascii="Times New Roman" w:hAnsi="Times New Roman" w:eastAsia="方正仿宋_GBK" w:cs="Times New Roman"/>
          <w:color w:val="auto"/>
          <w:sz w:val="32"/>
          <w:szCs w:val="32"/>
          <w:lang w:val="en-US" w:eastAsia="zh-CN"/>
        </w:rPr>
        <w:t>2处4级弃渣场。</w:t>
      </w:r>
      <w:r>
        <w:rPr>
          <w:rFonts w:hint="eastAsia" w:ascii="Times New Roman" w:hAnsi="Times New Roman" w:eastAsia="方正仿宋_GBK" w:cs="Times New Roman"/>
          <w:color w:val="auto"/>
          <w:sz w:val="32"/>
          <w:szCs w:val="32"/>
        </w:rPr>
        <w:t>弃渣场在选址过程中</w:t>
      </w:r>
      <w:r>
        <w:rPr>
          <w:rFonts w:hint="eastAsia" w:ascii="Times New Roman" w:hAnsi="Times New Roman" w:eastAsia="方正仿宋_GBK" w:cs="Times New Roman"/>
          <w:color w:val="auto"/>
          <w:sz w:val="32"/>
          <w:szCs w:val="32"/>
          <w:lang w:eastAsia="zh-CN"/>
        </w:rPr>
        <w:t>取得</w:t>
      </w:r>
      <w:r>
        <w:rPr>
          <w:rFonts w:hint="eastAsia" w:ascii="Times New Roman" w:hAnsi="Times New Roman" w:eastAsia="方正仿宋_GBK" w:cs="Times New Roman"/>
          <w:color w:val="auto"/>
          <w:sz w:val="32"/>
          <w:szCs w:val="32"/>
        </w:rPr>
        <w:t>了潼南区及合川区规</w:t>
      </w:r>
      <w:r>
        <w:rPr>
          <w:rFonts w:hint="eastAsia" w:ascii="Times New Roman" w:hAnsi="Times New Roman" w:eastAsia="方正仿宋_GBK" w:cs="Times New Roman"/>
          <w:color w:val="auto"/>
          <w:sz w:val="32"/>
          <w:szCs w:val="32"/>
          <w:lang w:eastAsia="zh-CN"/>
        </w:rPr>
        <w:t>划自然资源</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生态环境</w:t>
      </w:r>
      <w:r>
        <w:rPr>
          <w:rFonts w:hint="eastAsia" w:ascii="Times New Roman" w:hAnsi="Times New Roman" w:eastAsia="方正仿宋_GBK" w:cs="Times New Roman"/>
          <w:color w:val="auto"/>
          <w:sz w:val="32"/>
          <w:szCs w:val="32"/>
        </w:rPr>
        <w:t>、林业、水利等部门和地方乡镇的同意。弃渣场选址避开了对基础设施、工业企业等有重大影响的区域，也避开了河道和建成水库管理范围，对弃渣场处下方不满足安全距离的两户民房（现状无人居住）进行</w:t>
      </w:r>
      <w:r>
        <w:rPr>
          <w:rFonts w:hint="eastAsia" w:ascii="Times New Roman" w:hAnsi="Times New Roman" w:eastAsia="方正仿宋_GBK" w:cs="Times New Roman"/>
          <w:color w:val="auto"/>
          <w:sz w:val="32"/>
          <w:szCs w:val="32"/>
          <w:lang w:eastAsia="zh-CN"/>
        </w:rPr>
        <w:t>了</w:t>
      </w:r>
      <w:r>
        <w:rPr>
          <w:rFonts w:hint="eastAsia" w:ascii="Times New Roman" w:hAnsi="Times New Roman" w:eastAsia="方正仿宋_GBK" w:cs="Times New Roman"/>
          <w:color w:val="auto"/>
          <w:sz w:val="32"/>
          <w:szCs w:val="32"/>
        </w:rPr>
        <w:t>拆迁补偿，选址符合水土保持法律法规及《生产建设项目水土保持技术标准》（GB50433-2018）的规定与要求。</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（四）同意主体工程设计中水土保持措施界定</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基本同意对项目水土流失现状及影响分析。</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（二）基本同意工程扰动地表面积共计59.51hm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；损毁植被面积共计4.03hm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（三）基本同意工程建设可能造成的水土流失总量为9</w:t>
      </w:r>
      <w:r>
        <w:rPr>
          <w:rFonts w:hint="eastAsia"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rPr>
        <w:t>t，新增流失量7</w:t>
      </w:r>
      <w:r>
        <w:rPr>
          <w:rFonts w:hint="eastAsia" w:ascii="Times New Roman" w:hAnsi="Times New Roman" w:eastAsia="方正仿宋_GBK" w:cs="Times New Roman"/>
          <w:color w:val="auto"/>
          <w:sz w:val="32"/>
          <w:szCs w:val="32"/>
          <w:lang w:val="en-US" w:eastAsia="zh-CN"/>
        </w:rPr>
        <w:t>00</w:t>
      </w:r>
      <w:r>
        <w:rPr>
          <w:rFonts w:hint="eastAsia" w:ascii="Times New Roman" w:hAnsi="Times New Roman" w:eastAsia="方正仿宋_GBK" w:cs="Times New Roman"/>
          <w:color w:val="auto"/>
          <w:sz w:val="32"/>
          <w:szCs w:val="32"/>
        </w:rPr>
        <w:t>t。</w:t>
      </w:r>
    </w:p>
    <w:p>
      <w:pPr>
        <w:snapToGrid w:val="0"/>
        <w:spacing w:line="594" w:lineRule="exact"/>
        <w:ind w:firstLine="640" w:firstLineChars="200"/>
        <w:rPr>
          <w:rFonts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rPr>
        <w:t>（四）基本同意水土流失的危害性分析</w:t>
      </w:r>
      <w:r>
        <w:rPr>
          <w:rFonts w:hint="eastAsia" w:ascii="Times New Roman" w:hAnsi="Times New Roman" w:eastAsia="方正仿宋_GBK" w:cs="Times New Roman"/>
          <w:color w:val="auto"/>
          <w:sz w:val="32"/>
          <w:szCs w:val="32"/>
          <w:lang w:val="en-US" w:eastAsia="zh-CN"/>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rPr>
        <w:t>基本同意项目</w:t>
      </w:r>
      <w:r>
        <w:rPr>
          <w:rFonts w:hint="eastAsia" w:ascii="Times New Roman" w:hAnsi="Times New Roman" w:eastAsia="方正仿宋_GBK" w:cs="Times New Roman"/>
          <w:bCs/>
          <w:color w:val="auto"/>
          <w:sz w:val="32"/>
          <w:szCs w:val="32"/>
          <w:lang w:eastAsia="zh-CN"/>
        </w:rPr>
        <w:t>水土流失防治分区</w:t>
      </w:r>
      <w:r>
        <w:rPr>
          <w:rFonts w:hint="eastAsia" w:ascii="Times New Roman" w:hAnsi="Times New Roman" w:eastAsia="方正仿宋_GBK" w:cs="Times New Roman"/>
          <w:bCs/>
          <w:color w:val="auto"/>
          <w:sz w:val="32"/>
          <w:szCs w:val="32"/>
        </w:rPr>
        <w:t>划分为</w:t>
      </w:r>
      <w:r>
        <w:rPr>
          <w:rFonts w:hint="eastAsia" w:ascii="Times New Roman" w:hAnsi="Times New Roman" w:eastAsia="方正仿宋_GBK" w:cs="Times New Roman"/>
          <w:bCs/>
          <w:color w:val="auto"/>
          <w:sz w:val="32"/>
          <w:szCs w:val="32"/>
          <w:lang w:eastAsia="zh-CN"/>
        </w:rPr>
        <w:t>航道</w:t>
      </w:r>
      <w:r>
        <w:rPr>
          <w:rFonts w:hint="eastAsia" w:ascii="Times New Roman" w:hAnsi="Times New Roman" w:eastAsia="方正仿宋_GBK" w:cs="Times New Roman"/>
          <w:bCs/>
          <w:color w:val="auto"/>
          <w:sz w:val="32"/>
          <w:szCs w:val="32"/>
        </w:rPr>
        <w:t>整治工程及疏浚清礁工程、航标工程</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航道维护基地、弃渣场、施工生产区5个一级防治区。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（二）基本同意由主体工程设计的水土保持措施和方案新增的水土保持措施所组成的水土流失防治措施体系。</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（三）基本同意各防治区防治措施布局及水土保持措施典型设计。</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航道整治工程及疏浚清礁工程防治区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本项目航道整治工程及疏浚清礁工程主要为水下作业，通过选择对河流底质扰动较小的挖泥船，有效的减少了悬浮物产生量。施工前应与附近自来水厂充分沟通，施工过程中密切关注取水水质，视情况在取水口周围设置防污帘以及采取增加水质净化投药量及沉淀时间等应急措施。泥驳运输过程中，泥舱不能过于装满，避免溢舱泥浆对航行过程中的水污染。这些措施实施后，可有效控制水污染，满足水土保持要求，不再另行布设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航标工程防治区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期，对岸标及维标道路占地范围内的耕地和林草地进行表土剥离，剥离表土采用编织土袋装填，堆放在岸标临时施工场地内。施工后期，岸标基础部分及维标道路已硬化，需对岸标的临时用地区域进行土地整治并回填表土，占用耕地的进行复耕、占用林草地的恢复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3</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航道维护基地防治区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施工前，对航道维护基地防治区占地范围内林草地进行表土剥离，堆放于施工生产区内，周边采取填土编织袋拦挡，土体表面用彩条布覆盖。施工过程中，按照</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永临结合</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原则，在永久排水沟位置开挖临时排水沟，接入周边排水沟道；边坡形成后，修建C20永久砼排水沟，以拦截上坡面的来水</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对高楼基地边坡1:2进行放坡，并采取临时遮盖措施。施工后期，对高楼基地边坡绿化区域及谭家桥基地地牛临时占地区域进行土地整治并回填表土后</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种植草皮。</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4</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弃渣场防治区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堆渣前，对占地范围内表土进行剥离，并将剥离的表土就近堆放在本弃渣堆场内不影响堆渣处，并设置临时拦挡、临时遮盖及播撒草籽等防护措施；在弃渣场堆放边坡坡脚修建挡渣墙，在渣场底部布设碎石盲沟。堆渣过程中，按照</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永临结合</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原则，在永久截水沟位置开挖临时截水沟，接入周边排水沟道；弃渣场</w:t>
      </w:r>
      <w:r>
        <w:rPr>
          <w:rFonts w:hint="eastAsia" w:ascii="Times New Roman" w:hAnsi="Times New Roman" w:eastAsia="方正仿宋_GBK" w:cs="Times New Roman"/>
          <w:bCs/>
          <w:color w:val="auto"/>
          <w:sz w:val="32"/>
          <w:szCs w:val="32"/>
          <w:lang w:eastAsia="zh-CN"/>
        </w:rPr>
        <w:t>要</w:t>
      </w:r>
      <w:r>
        <w:rPr>
          <w:rFonts w:hint="eastAsia" w:ascii="Times New Roman" w:hAnsi="Times New Roman" w:eastAsia="方正仿宋_GBK" w:cs="Times New Roman"/>
          <w:bCs/>
          <w:color w:val="auto"/>
          <w:sz w:val="32"/>
          <w:szCs w:val="32"/>
        </w:rPr>
        <w:t>按照自下而上依次放坡堆放，并逐级压实，堆渣坡比1:2.5，在边坡相应堆渣高程修建马道；结合施工进度分时段布设三维网植草护坡措施。堆渣完成后，在弃渣场外边缘修建C20砼永久截水沟和沉</w:t>
      </w:r>
      <w:r>
        <w:rPr>
          <w:rFonts w:hint="eastAsia" w:ascii="Times New Roman" w:hAnsi="Times New Roman" w:eastAsia="方正仿宋_GBK" w:cs="Times New Roman"/>
          <w:bCs/>
          <w:color w:val="auto"/>
          <w:sz w:val="32"/>
          <w:szCs w:val="32"/>
          <w:lang w:eastAsia="zh-CN"/>
        </w:rPr>
        <w:t>沙</w:t>
      </w:r>
      <w:r>
        <w:rPr>
          <w:rFonts w:hint="eastAsia" w:ascii="Times New Roman" w:hAnsi="Times New Roman" w:eastAsia="方正仿宋_GBK" w:cs="Times New Roman"/>
          <w:bCs/>
          <w:color w:val="auto"/>
          <w:sz w:val="32"/>
          <w:szCs w:val="32"/>
        </w:rPr>
        <w:t>池，在堆渣平台上布设C20砼永久排水沟；对弃渣场堆渣平台和边坡进行表土回覆及土地整治，结合弃渣场原占地类型进行植树种草或复耕。</w:t>
      </w:r>
    </w:p>
    <w:p>
      <w:pPr>
        <w:snapToGrid w:val="0"/>
        <w:spacing w:line="560" w:lineRule="exact"/>
        <w:ind w:firstLine="640" w:firstLineChars="200"/>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rPr>
        <w:t>5</w:t>
      </w:r>
      <w:r>
        <w:rPr>
          <w:rFonts w:hint="eastAsia"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rPr>
        <w:t>施工生产区</w:t>
      </w:r>
      <w:r>
        <w:rPr>
          <w:rFonts w:hint="eastAsia" w:ascii="Times New Roman" w:hAnsi="Times New Roman" w:eastAsia="方正仿宋_GBK" w:cs="Times New Roman"/>
          <w:bCs/>
          <w:color w:val="auto"/>
          <w:sz w:val="32"/>
          <w:szCs w:val="32"/>
          <w:lang w:eastAsia="zh-CN"/>
        </w:rPr>
        <w:t>防治区</w:t>
      </w:r>
    </w:p>
    <w:p>
      <w:pPr>
        <w:snapToGrid w:val="0"/>
        <w:spacing w:line="560" w:lineRule="exact"/>
        <w:ind w:firstLine="640" w:firstLineChars="200"/>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eastAsia="zh-CN"/>
        </w:rPr>
        <w:t>项目布设</w:t>
      </w:r>
      <w:r>
        <w:rPr>
          <w:rFonts w:hint="eastAsia" w:ascii="Times New Roman" w:hAnsi="Times New Roman" w:eastAsia="方正仿宋_GBK" w:cs="Times New Roman"/>
          <w:bCs/>
          <w:color w:val="auto"/>
          <w:sz w:val="32"/>
          <w:szCs w:val="32"/>
          <w:lang w:val="en-US" w:eastAsia="zh-CN"/>
        </w:rPr>
        <w:t>2处</w:t>
      </w:r>
      <w:r>
        <w:rPr>
          <w:rFonts w:hint="eastAsia" w:ascii="Times New Roman" w:hAnsi="Times New Roman" w:eastAsia="方正仿宋_GBK" w:cs="Times New Roman"/>
          <w:bCs/>
          <w:color w:val="auto"/>
          <w:sz w:val="32"/>
          <w:szCs w:val="32"/>
        </w:rPr>
        <w:t>施工生产区</w:t>
      </w:r>
      <w:r>
        <w:rPr>
          <w:rFonts w:hint="eastAsia" w:ascii="Times New Roman" w:hAnsi="Times New Roman" w:eastAsia="方正仿宋_GBK" w:cs="Times New Roman"/>
          <w:bCs/>
          <w:color w:val="auto"/>
          <w:sz w:val="32"/>
          <w:szCs w:val="32"/>
          <w:lang w:eastAsia="zh-CN"/>
        </w:rPr>
        <w:t>和</w:t>
      </w:r>
      <w:r>
        <w:rPr>
          <w:rFonts w:hint="eastAsia" w:ascii="Times New Roman" w:hAnsi="Times New Roman" w:eastAsia="方正仿宋_GBK" w:cs="Times New Roman"/>
          <w:bCs/>
          <w:color w:val="auto"/>
          <w:sz w:val="32"/>
          <w:szCs w:val="32"/>
          <w:lang w:val="en-US" w:eastAsia="zh-CN"/>
        </w:rPr>
        <w:t>5个临时上岸点。</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w:t>
      </w:r>
      <w:r>
        <w:rPr>
          <w:rFonts w:hint="eastAsia" w:ascii="Times New Roman" w:hAnsi="Times New Roman" w:eastAsia="方正仿宋_GBK" w:cs="Times New Roman"/>
          <w:bCs/>
          <w:color w:val="auto"/>
          <w:sz w:val="32"/>
          <w:szCs w:val="32"/>
          <w:vertAlign w:val="superscript"/>
        </w:rPr>
        <w:t>#</w:t>
      </w:r>
      <w:r>
        <w:rPr>
          <w:rFonts w:hint="eastAsia" w:ascii="Times New Roman" w:hAnsi="Times New Roman" w:eastAsia="方正仿宋_GBK" w:cs="Times New Roman"/>
          <w:bCs/>
          <w:color w:val="auto"/>
          <w:sz w:val="32"/>
          <w:szCs w:val="32"/>
        </w:rPr>
        <w:t>、2</w:t>
      </w:r>
      <w:r>
        <w:rPr>
          <w:rFonts w:hint="eastAsia" w:ascii="Times New Roman" w:hAnsi="Times New Roman" w:eastAsia="方正仿宋_GBK" w:cs="Times New Roman"/>
          <w:bCs/>
          <w:color w:val="auto"/>
          <w:sz w:val="32"/>
          <w:szCs w:val="32"/>
          <w:vertAlign w:val="superscript"/>
        </w:rPr>
        <w:t>#</w:t>
      </w:r>
      <w:r>
        <w:rPr>
          <w:rFonts w:hint="eastAsia" w:ascii="Times New Roman" w:hAnsi="Times New Roman" w:eastAsia="方正仿宋_GBK" w:cs="Times New Roman"/>
          <w:bCs/>
          <w:color w:val="auto"/>
          <w:sz w:val="32"/>
          <w:szCs w:val="32"/>
        </w:rPr>
        <w:t>施工生产区位于航道维护基地，施工前，需剥离扰动区域表土，剥离表土临时堆放在生产区内一角，并采用编织袋拦挡及防雨布进行临时防护。施工后期，对占用迹地进行表土回覆及土地整治，然后结合施工生产原占地类型进行植树种草或复耕。</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5个临时上岸点除了1</w:t>
      </w:r>
      <w:r>
        <w:rPr>
          <w:rFonts w:hint="eastAsia" w:ascii="Times New Roman" w:hAnsi="Times New Roman" w:eastAsia="方正仿宋_GBK" w:cs="Times New Roman"/>
          <w:bCs/>
          <w:color w:val="auto"/>
          <w:sz w:val="32"/>
          <w:szCs w:val="32"/>
          <w:vertAlign w:val="superscript"/>
        </w:rPr>
        <w:t>#</w:t>
      </w:r>
      <w:r>
        <w:rPr>
          <w:rFonts w:hint="eastAsia" w:ascii="Times New Roman" w:hAnsi="Times New Roman" w:eastAsia="方正仿宋_GBK" w:cs="Times New Roman"/>
          <w:bCs/>
          <w:color w:val="auto"/>
          <w:sz w:val="32"/>
          <w:szCs w:val="32"/>
        </w:rPr>
        <w:t>上岸点为裸地外，其他均为现有码头，施工前可对1</w:t>
      </w:r>
      <w:r>
        <w:rPr>
          <w:rFonts w:hint="eastAsia" w:ascii="Times New Roman" w:hAnsi="Times New Roman" w:eastAsia="方正仿宋_GBK" w:cs="Times New Roman"/>
          <w:bCs/>
          <w:color w:val="auto"/>
          <w:sz w:val="32"/>
          <w:szCs w:val="32"/>
          <w:vertAlign w:val="superscript"/>
        </w:rPr>
        <w:t>#</w:t>
      </w:r>
      <w:r>
        <w:rPr>
          <w:rFonts w:hint="eastAsia" w:ascii="Times New Roman" w:hAnsi="Times New Roman" w:eastAsia="方正仿宋_GBK" w:cs="Times New Roman"/>
          <w:bCs/>
          <w:color w:val="auto"/>
          <w:sz w:val="32"/>
          <w:szCs w:val="32"/>
        </w:rPr>
        <w:t>上岸点下铺防雨布，防止泥沙下渗。施工过程中，对上岸的临时砂石料采用防雨布进行临时遮盖，周边设置临时拦挡。</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sz w:val="32"/>
          <w:szCs w:val="32"/>
        </w:rPr>
        <w:t>（四）</w:t>
      </w:r>
      <w:r>
        <w:rPr>
          <w:rFonts w:hint="eastAsia" w:ascii="Times New Roman" w:hAnsi="Times New Roman" w:eastAsia="方正仿宋_GBK" w:cs="Times New Roman"/>
          <w:bCs/>
          <w:color w:val="auto"/>
          <w:sz w:val="32"/>
          <w:szCs w:val="32"/>
          <w:lang w:eastAsia="zh-CN"/>
        </w:rPr>
        <w:t>基本同意</w:t>
      </w:r>
      <w:r>
        <w:rPr>
          <w:rFonts w:hint="eastAsia" w:ascii="Times New Roman" w:hAnsi="Times New Roman" w:eastAsia="方正仿宋_GBK" w:cs="Times New Roman"/>
          <w:bCs/>
          <w:color w:val="auto"/>
          <w:sz w:val="32"/>
          <w:szCs w:val="32"/>
        </w:rPr>
        <w:t>水土保持施工组织</w:t>
      </w:r>
      <w:r>
        <w:rPr>
          <w:rFonts w:hint="eastAsia" w:ascii="Times New Roman" w:hAnsi="Times New Roman" w:eastAsia="方正仿宋_GBK" w:cs="Times New Roman"/>
          <w:bCs/>
          <w:color w:val="auto"/>
          <w:sz w:val="32"/>
          <w:szCs w:val="32"/>
          <w:lang w:eastAsia="zh-CN"/>
        </w:rPr>
        <w:t>设计及施工时间安排</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基本同意水土保持监测方案</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投资估算编制依据正确，费用及定额选择基本合理，编制深度基本满足规范要求。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w:t>
      </w:r>
      <w:r>
        <w:rPr>
          <w:rFonts w:hint="eastAsia" w:ascii="Times New Roman" w:hAnsi="Times New Roman" w:eastAsia="方正仿宋_GBK" w:cs="Times New Roman"/>
          <w:color w:val="auto"/>
          <w:sz w:val="32"/>
          <w:szCs w:val="32"/>
          <w:lang w:eastAsia="zh-CN"/>
        </w:rPr>
        <w:t>经审核，</w:t>
      </w:r>
      <w:r>
        <w:rPr>
          <w:rFonts w:hint="eastAsia" w:ascii="Times New Roman" w:hAnsi="Times New Roman" w:eastAsia="方正仿宋_GBK" w:cs="Times New Roman"/>
          <w:color w:val="auto"/>
          <w:sz w:val="32"/>
          <w:szCs w:val="32"/>
        </w:rPr>
        <w:t>水</w:t>
      </w:r>
      <w:r>
        <w:rPr>
          <w:rFonts w:hint="eastAsia" w:ascii="Times New Roman" w:hAnsi="Times New Roman" w:eastAsia="方正仿宋_GBK" w:cs="Times New Roman"/>
          <w:color w:val="auto"/>
          <w:sz w:val="32"/>
          <w:szCs w:val="32"/>
          <w:lang w:eastAsia="zh-CN"/>
        </w:rPr>
        <w:t>土保持</w:t>
      </w:r>
      <w:r>
        <w:rPr>
          <w:rFonts w:hint="eastAsia" w:ascii="Times New Roman" w:hAnsi="Times New Roman" w:eastAsia="方正仿宋_GBK" w:cs="Times New Roman"/>
          <w:color w:val="auto"/>
          <w:sz w:val="32"/>
          <w:szCs w:val="32"/>
        </w:rPr>
        <w:t>方案工程静态总投资655.68万元，其中：主体已列445.80万元，方案新增209.88万元（其中：工程措施2.69万元，植物措施0.51万元，监测措施15.29万元，施工临时措施32.41万元，独立费用68.51万元，基本预备费7.16万元，水土保持补偿费83.31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万元）。</w:t>
      </w:r>
    </w:p>
    <w:p>
      <w:pPr>
        <w:snapToGrid w:val="0"/>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（三）效益分析方法基本正确，分析结果基本合理</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基本同意组织管理、后续设计、水土保持监测、水土保持监理、水土保持施工、水土保持设施验收等保障措施和要求。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sz w:val="32"/>
          <w:szCs w:val="32"/>
        </w:rPr>
        <w:t>九、其他</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项目法人应加强施工组织，优化施工工艺，减少土石方开挖填筑、地表扰动及植被破坏，严禁乱挖乱堆乱放，严禁向河道弃渣，弃渣必须运至指定地点集中堆放，并加强弃渣的减量化和资源化利用，严格控制工程建设中水土流失</w:t>
      </w:r>
      <w:r>
        <w:rPr>
          <w:rFonts w:hint="eastAsia" w:ascii="Times New Roman" w:hAnsi="Times New Roman" w:eastAsia="方正仿宋_GBK" w:cs="Times New Roman"/>
          <w:color w:val="auto"/>
          <w:sz w:val="32"/>
          <w:szCs w:val="32"/>
        </w:rPr>
        <w:t>。</w:t>
      </w:r>
    </w:p>
    <w:p>
      <w:pPr>
        <w:snapToGrid w:val="0"/>
        <w:spacing w:line="560" w:lineRule="exact"/>
        <w:ind w:left="1598" w:leftChars="228" w:hanging="960" w:hangingChars="300"/>
        <w:rPr>
          <w:rFonts w:hint="eastAsia" w:ascii="Times New Roman" w:hAnsi="Times New Roman" w:eastAsia="方正仿宋_GBK" w:cs="Times New Roman"/>
          <w:color w:val="auto"/>
          <w:sz w:val="32"/>
          <w:szCs w:val="32"/>
        </w:rPr>
      </w:pPr>
    </w:p>
    <w:p>
      <w:pPr>
        <w:snapToGrid w:val="0"/>
        <w:spacing w:line="560" w:lineRule="exact"/>
        <w:ind w:left="1598" w:leftChars="228" w:hanging="960" w:hangingChars="300"/>
        <w:rPr>
          <w:rFonts w:hint="eastAsia" w:ascii="Times New Roman" w:hAnsi="Times New Roman" w:eastAsia="方正仿宋_GBK" w:cs="Times New Roman"/>
          <w:color w:val="auto"/>
          <w:sz w:val="32"/>
          <w:szCs w:val="32"/>
        </w:rPr>
      </w:pPr>
    </w:p>
    <w:p>
      <w:pPr>
        <w:snapToGrid w:val="0"/>
        <w:spacing w:line="560" w:lineRule="exact"/>
        <w:ind w:left="1598" w:leftChars="228" w:hanging="960" w:hangingChars="300"/>
        <w:rPr>
          <w:rFonts w:hint="eastAsia" w:ascii="Times New Roman" w:hAnsi="Times New Roman" w:eastAsia="方正仿宋_GBK" w:cs="Times New Roman"/>
          <w:color w:val="auto"/>
          <w:sz w:val="32"/>
          <w:szCs w:val="32"/>
        </w:rPr>
      </w:pPr>
    </w:p>
    <w:p>
      <w:pPr>
        <w:snapToGrid w:val="0"/>
        <w:spacing w:line="560" w:lineRule="exact"/>
        <w:ind w:left="1598" w:leftChars="228" w:hanging="960" w:hangingChars="300"/>
        <w:rPr>
          <w:rFonts w:hint="eastAsia" w:ascii="Times New Roman" w:hAnsi="Times New Roman" w:eastAsia="方正仿宋_GBK" w:cs="Times New Roman"/>
          <w:color w:val="auto"/>
          <w:sz w:val="32"/>
          <w:szCs w:val="32"/>
        </w:rPr>
      </w:pPr>
    </w:p>
    <w:p>
      <w:pPr>
        <w:snapToGrid w:val="0"/>
        <w:spacing w:line="560" w:lineRule="exact"/>
        <w:ind w:left="1598" w:leftChars="228" w:hanging="960" w:hanging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涪江重庆段航道整治工程</w:t>
      </w:r>
      <w:r>
        <w:rPr>
          <w:rFonts w:hint="eastAsia" w:ascii="Times New Roman" w:hAnsi="Times New Roman" w:eastAsia="方正仿宋_GBK" w:cs="Times New Roman"/>
          <w:color w:val="auto"/>
          <w:sz w:val="32"/>
          <w:szCs w:val="32"/>
        </w:rPr>
        <w:t>水土保持方案投资估算审核表</w:t>
      </w:r>
      <w:r>
        <w:rPr>
          <w:rFonts w:ascii="Times New Roman" w:hAnsi="Times New Roman" w:eastAsia="方正仿宋_GBK" w:cs="Times New Roman"/>
          <w:color w:val="auto"/>
          <w:sz w:val="32"/>
          <w:szCs w:val="32"/>
        </w:rPr>
        <w:t xml:space="preserve">                   </w:t>
      </w:r>
    </w:p>
    <w:p>
      <w:pPr>
        <w:snapToGrid w:val="0"/>
        <w:spacing w:line="594" w:lineRule="exact"/>
        <w:ind w:firstLine="640" w:firstLineChars="200"/>
        <w:jc w:val="lef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                  </w:t>
      </w:r>
    </w:p>
    <w:p>
      <w:pPr>
        <w:snapToGrid w:val="0"/>
        <w:spacing w:line="594" w:lineRule="exact"/>
        <w:ind w:firstLine="560" w:firstLineChars="200"/>
        <w:jc w:val="left"/>
        <w:rPr>
          <w:rFonts w:ascii="Times New Roman" w:hAnsi="Times New Roman" w:eastAsia="方正仿宋_GBK" w:cs="Times New Roman"/>
          <w:color w:val="auto"/>
          <w:sz w:val="32"/>
          <w:szCs w:val="32"/>
        </w:rPr>
      </w:pPr>
      <w:r>
        <w:rPr>
          <w:rFonts w:ascii="Times New Roman" w:hAnsi="Times New Roman" w:eastAsia="宋体" w:cs="Times New Roman"/>
          <w:color w:val="auto"/>
        </w:rPr>
        <w:drawing>
          <wp:anchor distT="0" distB="0" distL="114300" distR="114300" simplePos="0" relativeHeight="251659264" behindDoc="1" locked="0" layoutInCell="1" allowOverlap="1">
            <wp:simplePos x="0" y="0"/>
            <wp:positionH relativeFrom="column">
              <wp:posOffset>4453255</wp:posOffset>
            </wp:positionH>
            <wp:positionV relativeFrom="paragraph">
              <wp:posOffset>239395</wp:posOffset>
            </wp:positionV>
            <wp:extent cx="1304925" cy="457200"/>
            <wp:effectExtent l="0" t="0" r="571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304925" cy="457200"/>
                    </a:xfrm>
                    <a:prstGeom prst="rect">
                      <a:avLst/>
                    </a:prstGeom>
                    <a:noFill/>
                    <a:ln>
                      <a:noFill/>
                    </a:ln>
                  </pic:spPr>
                </pic:pic>
              </a:graphicData>
            </a:graphic>
          </wp:anchor>
        </w:drawing>
      </w:r>
    </w:p>
    <w:p>
      <w:pPr>
        <w:snapToGrid w:val="0"/>
        <w:spacing w:line="240" w:lineRule="auto"/>
        <w:ind w:firstLine="4800" w:firstLineChars="1500"/>
        <w:jc w:val="left"/>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 xml:space="preserve"> 专家组组长：</w:t>
      </w:r>
    </w:p>
    <w:p>
      <w:pPr>
        <w:snapToGrid w:val="0"/>
        <w:spacing w:line="594" w:lineRule="exact"/>
        <w:ind w:firstLine="5120" w:firstLineChars="1600"/>
        <w:rPr>
          <w:rFonts w:eastAsia="方正仿宋_GBK"/>
          <w:color w:val="auto"/>
          <w:sz w:val="32"/>
          <w:szCs w:val="32"/>
        </w:rPr>
        <w:sectPr>
          <w:footerReference r:id="rId3" w:type="default"/>
          <w:pgSz w:w="11906" w:h="16838"/>
          <w:pgMar w:top="1985" w:right="1446" w:bottom="1684" w:left="1446" w:header="851" w:footer="1474"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19</w:t>
      </w:r>
      <w:r>
        <w:rPr>
          <w:rFonts w:ascii="Times New Roman" w:hAnsi="Times New Roman" w:eastAsia="方正仿宋_GBK" w:cs="Times New Roman"/>
          <w:color w:val="auto"/>
          <w:sz w:val="32"/>
          <w:szCs w:val="32"/>
        </w:rPr>
        <w:t>日</w:t>
      </w:r>
    </w:p>
    <w:p>
      <w:pPr>
        <w:snapToGrid w:val="0"/>
        <w:spacing w:line="594" w:lineRule="exact"/>
        <w:jc w:val="left"/>
        <w:rPr>
          <w:rFonts w:ascii="Times New Roman" w:hAnsi="Times New Roman" w:eastAsia="方正黑体_GBK" w:cs="Times New Roman"/>
          <w:color w:val="auto"/>
          <w:w w:val="90"/>
          <w:sz w:val="32"/>
          <w:szCs w:val="32"/>
        </w:rPr>
      </w:pPr>
      <w:r>
        <w:rPr>
          <w:rFonts w:ascii="Times New Roman" w:hAnsi="Times New Roman" w:eastAsia="方正黑体_GBK" w:cs="Times New Roman"/>
          <w:color w:val="auto"/>
          <w:w w:val="90"/>
          <w:sz w:val="32"/>
          <w:szCs w:val="32"/>
        </w:rPr>
        <w:t>附件</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ascii="Times New Roman" w:hAnsi="Times New Roman" w:eastAsia="方正小标宋_GBK" w:cs="Times New Roman"/>
          <w:color w:val="auto"/>
          <w:spacing w:val="0"/>
          <w:w w:val="100"/>
          <w:sz w:val="36"/>
          <w:szCs w:val="36"/>
        </w:rPr>
      </w:pPr>
      <w:r>
        <w:rPr>
          <w:rFonts w:hint="eastAsia" w:ascii="Times New Roman" w:hAnsi="Times New Roman" w:eastAsia="方正小标宋_GBK" w:cs="Times New Roman"/>
          <w:color w:val="auto"/>
          <w:spacing w:val="0"/>
          <w:w w:val="100"/>
          <w:sz w:val="36"/>
          <w:szCs w:val="36"/>
          <w:lang w:eastAsia="zh-CN"/>
        </w:rPr>
        <w:t>涪江重庆段航道整治工程</w:t>
      </w:r>
      <w:r>
        <w:rPr>
          <w:rFonts w:ascii="Times New Roman" w:hAnsi="Times New Roman" w:eastAsia="方正小标宋_GBK" w:cs="Times New Roman"/>
          <w:color w:val="auto"/>
          <w:spacing w:val="0"/>
          <w:w w:val="100"/>
          <w:sz w:val="36"/>
          <w:szCs w:val="36"/>
        </w:rPr>
        <w:t>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7"/>
        <w:tblW w:w="5248" w:type="pct"/>
        <w:tblInd w:w="0" w:type="dxa"/>
        <w:tblLayout w:type="fixed"/>
        <w:tblCellMar>
          <w:top w:w="0" w:type="dxa"/>
          <w:left w:w="0" w:type="dxa"/>
          <w:bottom w:w="0" w:type="dxa"/>
          <w:right w:w="0" w:type="dxa"/>
        </w:tblCellMar>
      </w:tblPr>
      <w:tblGrid>
        <w:gridCol w:w="568"/>
        <w:gridCol w:w="3240"/>
        <w:gridCol w:w="1716"/>
        <w:gridCol w:w="1452"/>
        <w:gridCol w:w="1390"/>
        <w:gridCol w:w="1128"/>
      </w:tblGrid>
      <w:tr>
        <w:tblPrEx>
          <w:tblCellMar>
            <w:top w:w="0" w:type="dxa"/>
            <w:left w:w="0" w:type="dxa"/>
            <w:bottom w:w="0" w:type="dxa"/>
            <w:right w:w="0" w:type="dxa"/>
          </w:tblCellMar>
        </w:tblPrEx>
        <w:trPr>
          <w:trHeight w:val="329" w:hRule="exact"/>
          <w:tblHeader/>
        </w:trPr>
        <w:tc>
          <w:tcPr>
            <w:tcW w:w="299" w:type="pct"/>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706" w:type="pct"/>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工程或费用名称</w:t>
            </w:r>
          </w:p>
        </w:tc>
        <w:tc>
          <w:tcPr>
            <w:tcW w:w="24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审核投资</w:t>
            </w:r>
          </w:p>
        </w:tc>
        <w:tc>
          <w:tcPr>
            <w:tcW w:w="59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备注</w:t>
            </w:r>
          </w:p>
        </w:tc>
      </w:tr>
      <w:tr>
        <w:tblPrEx>
          <w:tblCellMar>
            <w:top w:w="0" w:type="dxa"/>
            <w:left w:w="0" w:type="dxa"/>
            <w:bottom w:w="0" w:type="dxa"/>
            <w:right w:w="0" w:type="dxa"/>
          </w:tblCellMar>
        </w:tblPrEx>
        <w:trPr>
          <w:trHeight w:val="329" w:hRule="exact"/>
          <w:tblHeader/>
        </w:trPr>
        <w:tc>
          <w:tcPr>
            <w:tcW w:w="299"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06" w:type="pct"/>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方案新增</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主体已列</w:t>
            </w:r>
          </w:p>
        </w:tc>
        <w:tc>
          <w:tcPr>
            <w:tcW w:w="73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合计</w:t>
            </w:r>
          </w:p>
        </w:tc>
        <w:tc>
          <w:tcPr>
            <w:tcW w:w="59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第一部分：工程措施</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2.69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349.69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 xml:space="preserve">352.38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航标工程防治区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1.34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0.01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1.35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航道维护基地防治区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0.75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2.51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3.26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弃渣场防治区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347.17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347.17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施工生产区防治区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0.60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0.60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第二部分：植物措施</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0.51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96.11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 xml:space="preserve">96.62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航标工程防治区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0.43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0.43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航道维护基地防治区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0.09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0.09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弃渣场防治区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0.35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95.59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95.94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施工生产区防治区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0.16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0.16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第三部分：监测措施</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15.29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 xml:space="preserve">15.29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土建设施</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0.00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0.00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设备及安装工程</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2.10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2.10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观测运行费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13.19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13.19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第四部分：施工临时措施</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32.41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 xml:space="preserve">32.41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航标工程防治区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11.48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11.48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航道维护基地防治区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0.04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0.04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弃渣场防治区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8.21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8.21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施工生产区防治区</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12.62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12.62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仿宋_GB2312"/>
                <w:color w:val="000000"/>
                <w:sz w:val="21"/>
                <w:szCs w:val="21"/>
              </w:rPr>
            </w:pPr>
            <w:r>
              <w:rPr>
                <w:rFonts w:ascii="仿宋_GB2312" w:hAnsi="宋体" w:eastAsia="仿宋_GB2312" w:cs="仿宋_GB2312"/>
                <w:color w:val="000000"/>
                <w:kern w:val="0"/>
                <w:sz w:val="21"/>
                <w:szCs w:val="21"/>
                <w:lang w:bidi="ar"/>
              </w:rPr>
              <w:t>其他临时工程</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0.06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0.06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第五部分：独立费用</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68.51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 xml:space="preserve">68.51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一</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 xml:space="preserve">技术咨询费 </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 xml:space="preserve">65.55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0"/>
                <w:sz w:val="21"/>
                <w:szCs w:val="21"/>
                <w:lang w:bidi="ar"/>
              </w:rPr>
              <w:t xml:space="preserve">65.55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水土保持方案编制费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40.35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40.35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科研勘测设计费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10.28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10.28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水土保持设施竣工验收技术评估费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14.92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14.92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二</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工程管理费</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bidi="ar"/>
              </w:rPr>
              <w:t xml:space="preserve">2.96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0"/>
                <w:sz w:val="21"/>
                <w:szCs w:val="21"/>
                <w:lang w:bidi="ar"/>
              </w:rPr>
              <w:t xml:space="preserve">2.96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建设管理费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1.02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1.02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工程建设监理费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1.43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1.43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招标代理服务费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 xml:space="preserve">0.51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 xml:space="preserve">0.51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一至五部分合计</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119.41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445.80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 xml:space="preserve">565.21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基本预备费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 xml:space="preserve">7.16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kern w:val="0"/>
                <w:sz w:val="21"/>
                <w:szCs w:val="21"/>
                <w:lang w:bidi="ar"/>
              </w:rPr>
              <w:t xml:space="preserve">7.16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水土保持补偿费</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83.31</w:t>
            </w:r>
            <w:r>
              <w:rPr>
                <w:rFonts w:hint="default" w:ascii="Times New Roman" w:hAnsi="Times New Roman" w:eastAsia="宋体" w:cs="Times New Roman"/>
                <w:b/>
                <w:bCs/>
                <w:color w:val="000000"/>
                <w:kern w:val="0"/>
                <w:sz w:val="21"/>
                <w:szCs w:val="21"/>
                <w:lang w:val="en-US" w:eastAsia="zh-CN" w:bidi="ar"/>
              </w:rPr>
              <w:t>4</w:t>
            </w:r>
            <w:r>
              <w:rPr>
                <w:rFonts w:hint="default" w:ascii="Times New Roman" w:hAnsi="Times New Roman" w:eastAsia="宋体" w:cs="Times New Roman"/>
                <w:b/>
                <w:bCs/>
                <w:color w:val="000000"/>
                <w:kern w:val="0"/>
                <w:sz w:val="21"/>
                <w:szCs w:val="21"/>
                <w:lang w:bidi="ar"/>
              </w:rPr>
              <w:t xml:space="preserve"> </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rPr>
            </w:pP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kern w:val="0"/>
                <w:sz w:val="21"/>
                <w:szCs w:val="21"/>
                <w:lang w:bidi="ar"/>
              </w:rPr>
              <w:t>83.31</w:t>
            </w:r>
            <w:r>
              <w:rPr>
                <w:rFonts w:hint="default" w:ascii="Times New Roman" w:hAnsi="Times New Roman" w:eastAsia="宋体" w:cs="Times New Roman"/>
                <w:b/>
                <w:bCs/>
                <w:color w:val="000000"/>
                <w:kern w:val="0"/>
                <w:sz w:val="21"/>
                <w:szCs w:val="21"/>
                <w:lang w:val="en-US" w:eastAsia="zh-CN" w:bidi="ar"/>
              </w:rPr>
              <w:t>4</w:t>
            </w:r>
            <w:r>
              <w:rPr>
                <w:rFonts w:hint="default" w:ascii="Times New Roman" w:hAnsi="Times New Roman" w:eastAsia="宋体" w:cs="Times New Roman"/>
                <w:b/>
                <w:bCs/>
                <w:color w:val="000000"/>
                <w:kern w:val="0"/>
                <w:sz w:val="21"/>
                <w:szCs w:val="21"/>
                <w:lang w:bidi="ar"/>
              </w:rPr>
              <w:t xml:space="preserve"> </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1"/>
                <w:szCs w:val="21"/>
              </w:rPr>
            </w:pPr>
          </w:p>
        </w:tc>
      </w:tr>
      <w:tr>
        <w:tblPrEx>
          <w:tblCellMar>
            <w:top w:w="0" w:type="dxa"/>
            <w:left w:w="0" w:type="dxa"/>
            <w:bottom w:w="0" w:type="dxa"/>
            <w:right w:w="0" w:type="dxa"/>
          </w:tblCellMar>
        </w:tblPrEx>
        <w:trPr>
          <w:trHeight w:val="329" w:hRule="exact"/>
        </w:trPr>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rPr>
            </w:pPr>
          </w:p>
          <w:p>
            <w:pPr>
              <w:keepNext w:val="0"/>
              <w:keepLines w:val="0"/>
              <w:suppressLineNumbers w:val="0"/>
              <w:bidi w:val="0"/>
              <w:spacing w:before="0" w:beforeAutospacing="0" w:after="0" w:afterAutospacing="0"/>
              <w:ind w:left="0" w:right="0"/>
              <w:jc w:val="left"/>
              <w:rPr>
                <w:rFonts w:hint="eastAsia" w:ascii="Times New Roman" w:hAnsi="Times New Roman" w:eastAsia="宋体" w:cs="Times New Roman"/>
                <w:kern w:val="2"/>
                <w:sz w:val="28"/>
                <w:szCs w:val="24"/>
                <w:lang w:val="en-US" w:eastAsia="zh-CN" w:bidi="ar-SA"/>
              </w:rPr>
            </w:pPr>
          </w:p>
        </w:tc>
        <w:tc>
          <w:tcPr>
            <w:tcW w:w="17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水土保持方案静态总投资</w:t>
            </w:r>
          </w:p>
        </w:tc>
        <w:tc>
          <w:tcPr>
            <w:tcW w:w="9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209.88</w:t>
            </w:r>
          </w:p>
        </w:tc>
        <w:tc>
          <w:tcPr>
            <w:tcW w:w="76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lang w:bidi="ar"/>
              </w:rPr>
              <w:t xml:space="preserve">445.80 </w:t>
            </w:r>
          </w:p>
        </w:tc>
        <w:tc>
          <w:tcPr>
            <w:tcW w:w="7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kern w:val="0"/>
                <w:sz w:val="21"/>
                <w:szCs w:val="21"/>
                <w:lang w:bidi="ar"/>
              </w:rPr>
              <w:t>655.68</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sz w:val="21"/>
                <w:szCs w:val="21"/>
              </w:rPr>
            </w:pPr>
          </w:p>
        </w:tc>
      </w:tr>
    </w:tbl>
    <w:p>
      <w:pPr>
        <w:widowControl/>
        <w:jc w:val="both"/>
        <w:rPr>
          <w:rFonts w:hint="eastAsia" w:ascii="宋体" w:hAnsi="宋体" w:eastAsia="宋体" w:cs="Times New Roman"/>
          <w:color w:val="FF0000"/>
          <w:kern w:val="0"/>
          <w:sz w:val="21"/>
          <w:szCs w:val="21"/>
        </w:rPr>
      </w:pPr>
    </w:p>
    <w:p>
      <w:pPr>
        <w:pStyle w:val="4"/>
        <w:rPr>
          <w:rFonts w:hint="eastAsia"/>
          <w:color w:val="FF0000"/>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wis721 BT">
    <w:altName w:val="Segoe Script"/>
    <w:panose1 w:val="020B05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4"/>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EF96D0F"/>
    <w:rsid w:val="0F736B0C"/>
    <w:rsid w:val="0F77A613"/>
    <w:rsid w:val="0F7830AF"/>
    <w:rsid w:val="0FEB31A3"/>
    <w:rsid w:val="10C6291E"/>
    <w:rsid w:val="12207CB7"/>
    <w:rsid w:val="136638AB"/>
    <w:rsid w:val="13763A43"/>
    <w:rsid w:val="14706153"/>
    <w:rsid w:val="15D50686"/>
    <w:rsid w:val="17AD1515"/>
    <w:rsid w:val="191F2D4F"/>
    <w:rsid w:val="19E63E0C"/>
    <w:rsid w:val="1AA11BA9"/>
    <w:rsid w:val="1C690C00"/>
    <w:rsid w:val="1D2C5FE8"/>
    <w:rsid w:val="1DFB7D1C"/>
    <w:rsid w:val="1E69485B"/>
    <w:rsid w:val="1E9C00A0"/>
    <w:rsid w:val="1EDFEA3E"/>
    <w:rsid w:val="1F3B6715"/>
    <w:rsid w:val="1F5CA05E"/>
    <w:rsid w:val="1F6F63CD"/>
    <w:rsid w:val="1FFD4D5A"/>
    <w:rsid w:val="219C1C67"/>
    <w:rsid w:val="21A73E45"/>
    <w:rsid w:val="220F0EDB"/>
    <w:rsid w:val="23CC7B8D"/>
    <w:rsid w:val="23EFEF15"/>
    <w:rsid w:val="24432410"/>
    <w:rsid w:val="24D523AF"/>
    <w:rsid w:val="2571113E"/>
    <w:rsid w:val="25C83420"/>
    <w:rsid w:val="261F1106"/>
    <w:rsid w:val="275C69CE"/>
    <w:rsid w:val="290A7315"/>
    <w:rsid w:val="29C10E64"/>
    <w:rsid w:val="2A341411"/>
    <w:rsid w:val="2B1706DC"/>
    <w:rsid w:val="2B17EBFE"/>
    <w:rsid w:val="2C005C0A"/>
    <w:rsid w:val="2CBE2431"/>
    <w:rsid w:val="2ECB239C"/>
    <w:rsid w:val="2FEB4B9F"/>
    <w:rsid w:val="2FEB6799"/>
    <w:rsid w:val="2FFE4EF1"/>
    <w:rsid w:val="30914434"/>
    <w:rsid w:val="31D921A4"/>
    <w:rsid w:val="32BF7018"/>
    <w:rsid w:val="33AFCDDC"/>
    <w:rsid w:val="34581908"/>
    <w:rsid w:val="35020712"/>
    <w:rsid w:val="35065A3A"/>
    <w:rsid w:val="35D5328C"/>
    <w:rsid w:val="370D16B3"/>
    <w:rsid w:val="37C51145"/>
    <w:rsid w:val="37D34713"/>
    <w:rsid w:val="37DD75F0"/>
    <w:rsid w:val="37FFA73D"/>
    <w:rsid w:val="386510FC"/>
    <w:rsid w:val="39BA7744"/>
    <w:rsid w:val="3AB853C8"/>
    <w:rsid w:val="3B9F2014"/>
    <w:rsid w:val="3BA26649"/>
    <w:rsid w:val="3BEB2DD8"/>
    <w:rsid w:val="3BEFAF9D"/>
    <w:rsid w:val="3C9A35A3"/>
    <w:rsid w:val="3D7F5882"/>
    <w:rsid w:val="3DBB3E02"/>
    <w:rsid w:val="3DD030B8"/>
    <w:rsid w:val="3DD7C212"/>
    <w:rsid w:val="3DDE5100"/>
    <w:rsid w:val="3E63500C"/>
    <w:rsid w:val="3E81138A"/>
    <w:rsid w:val="3EE58A66"/>
    <w:rsid w:val="3EFE8C2A"/>
    <w:rsid w:val="3F7F5A6A"/>
    <w:rsid w:val="3F7F6E9A"/>
    <w:rsid w:val="3FA43F19"/>
    <w:rsid w:val="3FAF3D9E"/>
    <w:rsid w:val="3FBF6162"/>
    <w:rsid w:val="3FDF6E79"/>
    <w:rsid w:val="3FFB0F51"/>
    <w:rsid w:val="3FFDC959"/>
    <w:rsid w:val="3FFF6CE3"/>
    <w:rsid w:val="41285076"/>
    <w:rsid w:val="42AD5BED"/>
    <w:rsid w:val="43396CC2"/>
    <w:rsid w:val="43723646"/>
    <w:rsid w:val="439D17F4"/>
    <w:rsid w:val="46BF18E1"/>
    <w:rsid w:val="46E66BFD"/>
    <w:rsid w:val="473E4D14"/>
    <w:rsid w:val="47FCCC74"/>
    <w:rsid w:val="489A0AE6"/>
    <w:rsid w:val="4A9317A2"/>
    <w:rsid w:val="4B4D65A7"/>
    <w:rsid w:val="4D2370E7"/>
    <w:rsid w:val="4DECC0FF"/>
    <w:rsid w:val="4E7647D3"/>
    <w:rsid w:val="4E8C447A"/>
    <w:rsid w:val="4F502494"/>
    <w:rsid w:val="4FBEF9B5"/>
    <w:rsid w:val="4FC55E23"/>
    <w:rsid w:val="509A7964"/>
    <w:rsid w:val="53D72F5A"/>
    <w:rsid w:val="53FDACB5"/>
    <w:rsid w:val="54510FE5"/>
    <w:rsid w:val="55FFF0DB"/>
    <w:rsid w:val="56020BB4"/>
    <w:rsid w:val="571E02A3"/>
    <w:rsid w:val="57EB1FC0"/>
    <w:rsid w:val="57FD7E1B"/>
    <w:rsid w:val="584843AC"/>
    <w:rsid w:val="5A7E2231"/>
    <w:rsid w:val="5ABF87E8"/>
    <w:rsid w:val="5ADF6823"/>
    <w:rsid w:val="5B175D16"/>
    <w:rsid w:val="5B1A0782"/>
    <w:rsid w:val="5C624A97"/>
    <w:rsid w:val="5DDA3951"/>
    <w:rsid w:val="5E5AF9EE"/>
    <w:rsid w:val="5F7DCD7F"/>
    <w:rsid w:val="5FA95F49"/>
    <w:rsid w:val="5FBF8763"/>
    <w:rsid w:val="5FD602F2"/>
    <w:rsid w:val="5FEF0E87"/>
    <w:rsid w:val="61CB412D"/>
    <w:rsid w:val="61E274FB"/>
    <w:rsid w:val="63270190"/>
    <w:rsid w:val="63C07097"/>
    <w:rsid w:val="63F6BC28"/>
    <w:rsid w:val="654340E7"/>
    <w:rsid w:val="65B78F37"/>
    <w:rsid w:val="664F3B20"/>
    <w:rsid w:val="66FB30EF"/>
    <w:rsid w:val="675B5FBD"/>
    <w:rsid w:val="6788382C"/>
    <w:rsid w:val="67B7FD39"/>
    <w:rsid w:val="67BED0C3"/>
    <w:rsid w:val="6826391B"/>
    <w:rsid w:val="6867608D"/>
    <w:rsid w:val="68EF42C4"/>
    <w:rsid w:val="6A7FB000"/>
    <w:rsid w:val="6A956400"/>
    <w:rsid w:val="6ABF5399"/>
    <w:rsid w:val="6B570234"/>
    <w:rsid w:val="6B6E072A"/>
    <w:rsid w:val="6BBB6541"/>
    <w:rsid w:val="6BFFAED1"/>
    <w:rsid w:val="6C67536A"/>
    <w:rsid w:val="6D4D31CC"/>
    <w:rsid w:val="6E504A7B"/>
    <w:rsid w:val="6EE97FA0"/>
    <w:rsid w:val="6EFE9375"/>
    <w:rsid w:val="6F5A0D30"/>
    <w:rsid w:val="6F5A677D"/>
    <w:rsid w:val="6F9F2C42"/>
    <w:rsid w:val="6FBF2035"/>
    <w:rsid w:val="6FDB23B1"/>
    <w:rsid w:val="6FDF0059"/>
    <w:rsid w:val="6FE6DE43"/>
    <w:rsid w:val="6FFF2707"/>
    <w:rsid w:val="700A63FA"/>
    <w:rsid w:val="71180D83"/>
    <w:rsid w:val="71F95C1E"/>
    <w:rsid w:val="72836946"/>
    <w:rsid w:val="728B5B6F"/>
    <w:rsid w:val="72C3149E"/>
    <w:rsid w:val="73661CF5"/>
    <w:rsid w:val="73AC6CAF"/>
    <w:rsid w:val="73B332DB"/>
    <w:rsid w:val="73DC4B44"/>
    <w:rsid w:val="73EFE563"/>
    <w:rsid w:val="73F8977C"/>
    <w:rsid w:val="743E4BED"/>
    <w:rsid w:val="744A0831"/>
    <w:rsid w:val="746DE58C"/>
    <w:rsid w:val="75DFB322"/>
    <w:rsid w:val="75FF1D72"/>
    <w:rsid w:val="76862FBE"/>
    <w:rsid w:val="76AE5741"/>
    <w:rsid w:val="76F61301"/>
    <w:rsid w:val="77052688"/>
    <w:rsid w:val="774E327C"/>
    <w:rsid w:val="779656C4"/>
    <w:rsid w:val="779FFD24"/>
    <w:rsid w:val="77BE3158"/>
    <w:rsid w:val="77D116E6"/>
    <w:rsid w:val="77F6D61D"/>
    <w:rsid w:val="77FC9062"/>
    <w:rsid w:val="788619C9"/>
    <w:rsid w:val="78D4654C"/>
    <w:rsid w:val="78FFEB54"/>
    <w:rsid w:val="797DEB38"/>
    <w:rsid w:val="79AE4707"/>
    <w:rsid w:val="79FB2F4E"/>
    <w:rsid w:val="7AFB0652"/>
    <w:rsid w:val="7B56DDA2"/>
    <w:rsid w:val="7B5C206A"/>
    <w:rsid w:val="7B5F60E6"/>
    <w:rsid w:val="7BDD098F"/>
    <w:rsid w:val="7BEBF7D2"/>
    <w:rsid w:val="7BED9257"/>
    <w:rsid w:val="7BF66A1A"/>
    <w:rsid w:val="7BF7DAD7"/>
    <w:rsid w:val="7CAF6D1A"/>
    <w:rsid w:val="7CB461A6"/>
    <w:rsid w:val="7CDEF532"/>
    <w:rsid w:val="7CDF640F"/>
    <w:rsid w:val="7CFF4FA0"/>
    <w:rsid w:val="7D7563CA"/>
    <w:rsid w:val="7DAF588E"/>
    <w:rsid w:val="7DCD83D6"/>
    <w:rsid w:val="7DDFD50E"/>
    <w:rsid w:val="7DFB8B7B"/>
    <w:rsid w:val="7DFDC076"/>
    <w:rsid w:val="7DFF30FE"/>
    <w:rsid w:val="7DFF3440"/>
    <w:rsid w:val="7DFFABE6"/>
    <w:rsid w:val="7E6FEE09"/>
    <w:rsid w:val="7EBCA161"/>
    <w:rsid w:val="7EBF0104"/>
    <w:rsid w:val="7EE6928F"/>
    <w:rsid w:val="7EEAEF59"/>
    <w:rsid w:val="7EF7C809"/>
    <w:rsid w:val="7EF7EA39"/>
    <w:rsid w:val="7EFB34CC"/>
    <w:rsid w:val="7EFDE791"/>
    <w:rsid w:val="7F2F2086"/>
    <w:rsid w:val="7F3BAD2F"/>
    <w:rsid w:val="7F7583FE"/>
    <w:rsid w:val="7F7FAD39"/>
    <w:rsid w:val="7FBB89BF"/>
    <w:rsid w:val="7FBE84CD"/>
    <w:rsid w:val="7FBF3A79"/>
    <w:rsid w:val="7FBFA7FC"/>
    <w:rsid w:val="7FCDA010"/>
    <w:rsid w:val="7FCDF859"/>
    <w:rsid w:val="7FDF2A49"/>
    <w:rsid w:val="7FEB8333"/>
    <w:rsid w:val="7FEE59B6"/>
    <w:rsid w:val="7FEEDE92"/>
    <w:rsid w:val="7FEF2E99"/>
    <w:rsid w:val="7FEFABF9"/>
    <w:rsid w:val="7FEFED4F"/>
    <w:rsid w:val="7FF2B72A"/>
    <w:rsid w:val="7FF878E2"/>
    <w:rsid w:val="7FFAE9C3"/>
    <w:rsid w:val="7FFB35A7"/>
    <w:rsid w:val="7FFD9F55"/>
    <w:rsid w:val="97C778E7"/>
    <w:rsid w:val="9BDF6923"/>
    <w:rsid w:val="9D5E0256"/>
    <w:rsid w:val="9DFF8143"/>
    <w:rsid w:val="9E5BE52E"/>
    <w:rsid w:val="9EB5F665"/>
    <w:rsid w:val="9EDFA34A"/>
    <w:rsid w:val="9F7FDC93"/>
    <w:rsid w:val="9F8E2DAF"/>
    <w:rsid w:val="9FC5E453"/>
    <w:rsid w:val="A0FCA599"/>
    <w:rsid w:val="A4A9E009"/>
    <w:rsid w:val="AB83EC8B"/>
    <w:rsid w:val="ADF3AF6A"/>
    <w:rsid w:val="AEDCFD40"/>
    <w:rsid w:val="AF3FC071"/>
    <w:rsid w:val="B0FFBD46"/>
    <w:rsid w:val="B23BFF8E"/>
    <w:rsid w:val="B5C121B5"/>
    <w:rsid w:val="B5DE0672"/>
    <w:rsid w:val="B5EE9E49"/>
    <w:rsid w:val="B5F7B175"/>
    <w:rsid w:val="B6F74856"/>
    <w:rsid w:val="B77E9286"/>
    <w:rsid w:val="B97F7191"/>
    <w:rsid w:val="BBFF5877"/>
    <w:rsid w:val="BBFF66F1"/>
    <w:rsid w:val="BCCF1D1D"/>
    <w:rsid w:val="BD7CAE0B"/>
    <w:rsid w:val="BDFBD4BA"/>
    <w:rsid w:val="BDFEA223"/>
    <w:rsid w:val="BDFF872F"/>
    <w:rsid w:val="BEBB3247"/>
    <w:rsid w:val="BED55916"/>
    <w:rsid w:val="BEE745B6"/>
    <w:rsid w:val="BEF9CC09"/>
    <w:rsid w:val="BF6E9522"/>
    <w:rsid w:val="BF7EBBB9"/>
    <w:rsid w:val="BFD5F831"/>
    <w:rsid w:val="BFDF0CA2"/>
    <w:rsid w:val="BFF597B2"/>
    <w:rsid w:val="BFF7D093"/>
    <w:rsid w:val="BFFD2A76"/>
    <w:rsid w:val="BFFE1C57"/>
    <w:rsid w:val="C71E8209"/>
    <w:rsid w:val="C9FF30A8"/>
    <w:rsid w:val="CA7DE5C7"/>
    <w:rsid w:val="CB760CF4"/>
    <w:rsid w:val="CFDEA72F"/>
    <w:rsid w:val="D3A73838"/>
    <w:rsid w:val="D6F795FC"/>
    <w:rsid w:val="D6FD671B"/>
    <w:rsid w:val="D77D9EAB"/>
    <w:rsid w:val="D7D7DDCC"/>
    <w:rsid w:val="D8DCEDE1"/>
    <w:rsid w:val="DAFBCEB0"/>
    <w:rsid w:val="DB726C3A"/>
    <w:rsid w:val="DB7EC993"/>
    <w:rsid w:val="DBF76714"/>
    <w:rsid w:val="DDA208C1"/>
    <w:rsid w:val="DE76A371"/>
    <w:rsid w:val="DEF75473"/>
    <w:rsid w:val="DF6A0073"/>
    <w:rsid w:val="DF780174"/>
    <w:rsid w:val="DFCBC77F"/>
    <w:rsid w:val="DFD77326"/>
    <w:rsid w:val="DFDD30F9"/>
    <w:rsid w:val="DFF5A64B"/>
    <w:rsid w:val="DFFDF19D"/>
    <w:rsid w:val="DFFF810B"/>
    <w:rsid w:val="DFFFB97E"/>
    <w:rsid w:val="E3DFABFC"/>
    <w:rsid w:val="E7E2616F"/>
    <w:rsid w:val="E7FF481B"/>
    <w:rsid w:val="E97FB2C3"/>
    <w:rsid w:val="E9FE7779"/>
    <w:rsid w:val="EABFCD06"/>
    <w:rsid w:val="EAD5273E"/>
    <w:rsid w:val="EAD788B5"/>
    <w:rsid w:val="EAFB0206"/>
    <w:rsid w:val="EBF27717"/>
    <w:rsid w:val="EBFAE54A"/>
    <w:rsid w:val="ED7CB6BF"/>
    <w:rsid w:val="EDE91E18"/>
    <w:rsid w:val="EE369E02"/>
    <w:rsid w:val="EEBFB84F"/>
    <w:rsid w:val="EF779F32"/>
    <w:rsid w:val="EF9EF7A3"/>
    <w:rsid w:val="EFBBA1E8"/>
    <w:rsid w:val="EFEFCEF3"/>
    <w:rsid w:val="EFFD85C2"/>
    <w:rsid w:val="EFFE7920"/>
    <w:rsid w:val="EFFF2025"/>
    <w:rsid w:val="EFFF494D"/>
    <w:rsid w:val="F277D181"/>
    <w:rsid w:val="F3EDF549"/>
    <w:rsid w:val="F4C9127B"/>
    <w:rsid w:val="F4D581AD"/>
    <w:rsid w:val="F4E309F0"/>
    <w:rsid w:val="F5ED2ECC"/>
    <w:rsid w:val="F67188B8"/>
    <w:rsid w:val="F6FC2EBA"/>
    <w:rsid w:val="F6FD84FB"/>
    <w:rsid w:val="F71C4126"/>
    <w:rsid w:val="F72F39FB"/>
    <w:rsid w:val="F73DF6FB"/>
    <w:rsid w:val="F77BA6A3"/>
    <w:rsid w:val="F77F1B90"/>
    <w:rsid w:val="F79F3089"/>
    <w:rsid w:val="F7FF3781"/>
    <w:rsid w:val="F8AF765D"/>
    <w:rsid w:val="F9631D36"/>
    <w:rsid w:val="F9AFB6F0"/>
    <w:rsid w:val="F9F9C2D3"/>
    <w:rsid w:val="FA576F15"/>
    <w:rsid w:val="FA7BB5FD"/>
    <w:rsid w:val="FADC04E4"/>
    <w:rsid w:val="FAEFED88"/>
    <w:rsid w:val="FB6E0296"/>
    <w:rsid w:val="FB7A16F7"/>
    <w:rsid w:val="FBAD5CE8"/>
    <w:rsid w:val="FBBD53BA"/>
    <w:rsid w:val="FBDF2122"/>
    <w:rsid w:val="FBEE1844"/>
    <w:rsid w:val="FBEF2C87"/>
    <w:rsid w:val="FBF76626"/>
    <w:rsid w:val="FBF79CC0"/>
    <w:rsid w:val="FBFF379E"/>
    <w:rsid w:val="FCCBB202"/>
    <w:rsid w:val="FCDB6888"/>
    <w:rsid w:val="FD589B48"/>
    <w:rsid w:val="FDB7B2E3"/>
    <w:rsid w:val="FDBFC382"/>
    <w:rsid w:val="FDBFFB3F"/>
    <w:rsid w:val="FDC86040"/>
    <w:rsid w:val="FDDF8538"/>
    <w:rsid w:val="FDEDFE4B"/>
    <w:rsid w:val="FDEE69C7"/>
    <w:rsid w:val="FDF51AF1"/>
    <w:rsid w:val="FDF531D4"/>
    <w:rsid w:val="FDFF507C"/>
    <w:rsid w:val="FE692C48"/>
    <w:rsid w:val="FE7E1D15"/>
    <w:rsid w:val="FEAFC777"/>
    <w:rsid w:val="FEC7CF0B"/>
    <w:rsid w:val="FECC11A6"/>
    <w:rsid w:val="FF18DFEE"/>
    <w:rsid w:val="FF5EF1C1"/>
    <w:rsid w:val="FF7ACDEB"/>
    <w:rsid w:val="FF7DB9F7"/>
    <w:rsid w:val="FFBF5332"/>
    <w:rsid w:val="FFCF68DB"/>
    <w:rsid w:val="FFDB4941"/>
    <w:rsid w:val="FFDB89D3"/>
    <w:rsid w:val="FFEF0BE6"/>
    <w:rsid w:val="FFFF8395"/>
    <w:rsid w:val="FFFF88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authorities"/>
    <w:basedOn w:val="1"/>
    <w:next w:val="1"/>
    <w:qFormat/>
    <w:uiPriority w:val="0"/>
    <w:pPr>
      <w:ind w:left="420" w:leftChars="200"/>
    </w:pPr>
    <w:rPr>
      <w:sz w:val="21"/>
      <w:szCs w:val="24"/>
    </w:rPr>
  </w:style>
  <w:style w:type="paragraph" w:styleId="7">
    <w:name w:val="Normal Indent"/>
    <w:basedOn w:val="1"/>
    <w:next w:val="1"/>
    <w:link w:val="23"/>
    <w:qFormat/>
    <w:uiPriority w:val="0"/>
    <w:pPr>
      <w:ind w:firstLine="420"/>
    </w:pPr>
    <w:rPr>
      <w:rFonts w:ascii="宋体"/>
      <w:szCs w:val="20"/>
    </w:rPr>
  </w:style>
  <w:style w:type="paragraph" w:styleId="8">
    <w:name w:val="Document Map"/>
    <w:basedOn w:val="1"/>
    <w:link w:val="24"/>
    <w:qFormat/>
    <w:uiPriority w:val="0"/>
    <w:pPr>
      <w:shd w:val="clear" w:color="auto" w:fill="000080"/>
    </w:pPr>
  </w:style>
  <w:style w:type="paragraph" w:styleId="9">
    <w:name w:val="annotation text"/>
    <w:basedOn w:val="1"/>
    <w:link w:val="25"/>
    <w:qFormat/>
    <w:uiPriority w:val="0"/>
    <w:pPr>
      <w:widowControl/>
      <w:jc w:val="left"/>
    </w:pPr>
    <w:rPr>
      <w:rFonts w:ascii="宋体" w:hAnsi="宋体" w:cs="宋体"/>
      <w:kern w:val="0"/>
      <w:sz w:val="24"/>
    </w:rPr>
  </w:style>
  <w:style w:type="paragraph" w:styleId="10">
    <w:name w:val="Body Text"/>
    <w:basedOn w:val="1"/>
    <w:next w:val="1"/>
    <w:link w:val="26"/>
    <w:qFormat/>
    <w:uiPriority w:val="0"/>
    <w:pPr>
      <w:spacing w:after="120" w:afterLines="0"/>
    </w:pPr>
    <w:rPr>
      <w:sz w:val="21"/>
    </w:rPr>
  </w:style>
  <w:style w:type="paragraph" w:styleId="11">
    <w:name w:val="Body Text Indent"/>
    <w:basedOn w:val="1"/>
    <w:semiHidden/>
    <w:unhideWhenUsed/>
    <w:qFormat/>
    <w:uiPriority w:val="99"/>
    <w:pPr>
      <w:spacing w:after="120"/>
      <w:ind w:left="420" w:leftChars="200"/>
    </w:pPr>
  </w:style>
  <w:style w:type="paragraph" w:styleId="12">
    <w:name w:val="Body Text Indent 2"/>
    <w:basedOn w:val="1"/>
    <w:qFormat/>
    <w:uiPriority w:val="0"/>
    <w:pPr>
      <w:spacing w:after="120" w:afterLines="0" w:line="480" w:lineRule="auto"/>
      <w:ind w:left="420" w:leftChars="200"/>
    </w:pPr>
    <w:rPr>
      <w:sz w:val="21"/>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annotation subject"/>
    <w:basedOn w:val="9"/>
    <w:next w:val="9"/>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4"/>
    <w:qFormat/>
    <w:uiPriority w:val="0"/>
    <w:rPr>
      <w:rFonts w:ascii="宋体" w:hAnsi="宋体" w:eastAsia="宋体"/>
      <w:b/>
      <w:kern w:val="2"/>
      <w:sz w:val="24"/>
      <w:lang w:val="en-US" w:eastAsia="zh-CN" w:bidi="ar-SA"/>
    </w:rPr>
  </w:style>
  <w:style w:type="character" w:customStyle="1" w:styleId="23">
    <w:name w:val="正文缩进 字符"/>
    <w:link w:val="7"/>
    <w:qFormat/>
    <w:uiPriority w:val="0"/>
    <w:rPr>
      <w:rFonts w:ascii="宋体" w:eastAsia="宋体"/>
      <w:kern w:val="2"/>
      <w:sz w:val="28"/>
      <w:lang w:val="en-US" w:eastAsia="zh-CN" w:bidi="ar-SA"/>
    </w:rPr>
  </w:style>
  <w:style w:type="character" w:customStyle="1" w:styleId="24">
    <w:name w:val="文档结构图 字符"/>
    <w:link w:val="8"/>
    <w:qFormat/>
    <w:uiPriority w:val="0"/>
    <w:rPr>
      <w:rFonts w:eastAsia="宋体"/>
      <w:kern w:val="2"/>
      <w:sz w:val="28"/>
      <w:szCs w:val="24"/>
      <w:lang w:val="en-US" w:eastAsia="zh-CN" w:bidi="ar-SA"/>
    </w:rPr>
  </w:style>
  <w:style w:type="character" w:customStyle="1" w:styleId="25">
    <w:name w:val="批注文字 字符"/>
    <w:link w:val="9"/>
    <w:qFormat/>
    <w:uiPriority w:val="0"/>
    <w:rPr>
      <w:rFonts w:ascii="宋体" w:hAnsi="宋体" w:eastAsia="宋体" w:cs="宋体"/>
      <w:sz w:val="24"/>
      <w:szCs w:val="24"/>
      <w:lang w:val="en-US" w:eastAsia="zh-CN" w:bidi="ar-SA"/>
    </w:rPr>
  </w:style>
  <w:style w:type="character" w:customStyle="1" w:styleId="26">
    <w:name w:val="正文文本 字符"/>
    <w:link w:val="10"/>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5"/>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character" w:customStyle="1" w:styleId="83">
    <w:name w:val="正文啊 Char"/>
    <w:link w:val="84"/>
    <w:qFormat/>
    <w:uiPriority w:val="0"/>
    <w:rPr>
      <w:rFonts w:ascii="仿宋_GB2312" w:eastAsia="仿宋_GB2312"/>
      <w:kern w:val="0"/>
      <w:sz w:val="28"/>
      <w:szCs w:val="22"/>
      <w:lang w:val="en-US" w:eastAsia="zh-CN" w:bidi="ar-SA"/>
    </w:rPr>
  </w:style>
  <w:style w:type="paragraph" w:customStyle="1" w:styleId="84">
    <w:name w:val="正文啊"/>
    <w:link w:val="83"/>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paragraph" w:customStyle="1" w:styleId="85">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86">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1032</Words>
  <Characters>5886</Characters>
  <Lines>49</Lines>
  <Paragraphs>13</Paragraphs>
  <TotalTime>1</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2021-07-26T03:38:00Z</dcterms:created>
  <dc:creator>张艺馨</dc:creator>
  <cp:lastModifiedBy>Administrator</cp:lastModifiedBy>
  <cp:lastPrinted>2022-11-14T19:20:00Z</cp:lastPrinted>
  <dcterms:modified xsi:type="dcterms:W3CDTF">2025-02-05T03:23:48Z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B69D179690974895BF91370F7CF3E62E</vt:lpwstr>
  </property>
</Properties>
</file>