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olors1.xml" ContentType="application/vnd.ms-office.chartcolorstyle+xml"/>
  <Override PartName="/word/charts/style1.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方正小标宋_GBK" w:eastAsia="方正小标宋_GBK"/>
          <w:b/>
          <w:bCs/>
          <w:sz w:val="48"/>
          <w:szCs w:val="48"/>
        </w:rPr>
      </w:pPr>
      <w:r>
        <w:rPr>
          <w:rFonts w:hint="eastAsia" w:ascii="方正小标宋_GBK" w:eastAsia="方正小标宋_GBK"/>
          <w:b/>
          <w:bCs/>
          <w:sz w:val="48"/>
          <w:szCs w:val="48"/>
        </w:rPr>
        <w:t>重庆市水利安全生产风险管控</w:t>
      </w:r>
    </w:p>
    <w:p>
      <w:pPr>
        <w:jc w:val="center"/>
        <w:rPr>
          <w:rFonts w:ascii="方正小标宋_GBK" w:eastAsia="方正小标宋_GBK"/>
          <w:b/>
          <w:bCs/>
          <w:sz w:val="48"/>
          <w:szCs w:val="48"/>
        </w:rPr>
      </w:pPr>
      <w:r>
        <w:rPr>
          <w:rFonts w:hint="eastAsia" w:ascii="方正小标宋_GBK" w:eastAsia="方正小标宋_GBK"/>
          <w:b/>
          <w:bCs/>
          <w:sz w:val="48"/>
          <w:szCs w:val="48"/>
        </w:rPr>
        <w:t>“六项机制”实施细则</w:t>
      </w:r>
    </w:p>
    <w:p>
      <w:pPr>
        <w:jc w:val="center"/>
        <w:rPr>
          <w:rFonts w:ascii="方正小标宋_GBK" w:eastAsia="方正小标宋_GBK"/>
          <w:b/>
          <w:bCs/>
          <w:sz w:val="48"/>
          <w:szCs w:val="48"/>
        </w:rPr>
      </w:pPr>
    </w:p>
    <w:p>
      <w:pPr>
        <w:jc w:val="center"/>
      </w:pPr>
    </w:p>
    <w:p/>
    <w:p>
      <w:pPr>
        <w:rPr>
          <w:rFonts w:ascii="方正小标宋_GBK" w:eastAsia="方正小标宋_GBK"/>
          <w:b/>
          <w:bCs/>
          <w:sz w:val="44"/>
          <w:szCs w:val="44"/>
        </w:rPr>
      </w:pPr>
    </w:p>
    <w:p>
      <w:pPr>
        <w:rPr>
          <w:rFonts w:ascii="方正小标宋_GBK" w:eastAsia="方正小标宋_GBK"/>
          <w:b/>
          <w:bCs/>
          <w:sz w:val="44"/>
          <w:szCs w:val="44"/>
        </w:rPr>
      </w:pPr>
    </w:p>
    <w:p>
      <w:pPr>
        <w:rPr>
          <w:rFonts w:ascii="方正小标宋_GBK" w:eastAsia="方正小标宋_GBK"/>
          <w:b/>
          <w:bCs/>
          <w:sz w:val="44"/>
          <w:szCs w:val="44"/>
        </w:rPr>
      </w:pPr>
    </w:p>
    <w:p>
      <w:pPr>
        <w:rPr>
          <w:rFonts w:ascii="方正小标宋_GBK" w:eastAsia="方正小标宋_GBK"/>
          <w:b/>
          <w:bCs/>
          <w:sz w:val="44"/>
          <w:szCs w:val="44"/>
        </w:rPr>
      </w:pPr>
    </w:p>
    <w:p>
      <w:pPr>
        <w:rPr>
          <w:rFonts w:ascii="方正小标宋_GBK" w:eastAsia="方正小标宋_GBK"/>
          <w:b/>
          <w:bCs/>
          <w:sz w:val="44"/>
          <w:szCs w:val="44"/>
        </w:rPr>
      </w:pPr>
    </w:p>
    <w:p>
      <w:pPr>
        <w:rPr>
          <w:rFonts w:ascii="方正小标宋_GBK" w:eastAsia="方正小标宋_GBK"/>
          <w:b/>
          <w:bCs/>
          <w:sz w:val="44"/>
          <w:szCs w:val="44"/>
        </w:rPr>
      </w:pPr>
    </w:p>
    <w:p>
      <w:pPr>
        <w:rPr>
          <w:rFonts w:ascii="方正小标宋_GBK" w:eastAsia="方正小标宋_GBK"/>
          <w:b/>
          <w:bCs/>
          <w:sz w:val="44"/>
          <w:szCs w:val="44"/>
        </w:rPr>
      </w:pPr>
    </w:p>
    <w:p>
      <w:pPr>
        <w:rPr>
          <w:rFonts w:ascii="方正小标宋_GBK" w:eastAsia="方正小标宋_GBK"/>
          <w:b/>
          <w:bCs/>
          <w:sz w:val="44"/>
          <w:szCs w:val="44"/>
        </w:rPr>
      </w:pPr>
    </w:p>
    <w:p>
      <w:pPr>
        <w:jc w:val="center"/>
        <w:rPr>
          <w:rFonts w:ascii="方正小标宋_GBK" w:eastAsia="方正小标宋_GBK"/>
          <w:b/>
          <w:bCs/>
          <w:sz w:val="44"/>
          <w:szCs w:val="44"/>
        </w:rPr>
      </w:pPr>
      <w:r>
        <w:rPr>
          <w:rFonts w:hint="eastAsia" w:ascii="方正小标宋_GBK" w:eastAsia="方正小标宋_GBK"/>
          <w:b/>
          <w:bCs/>
          <w:sz w:val="44"/>
          <w:szCs w:val="44"/>
        </w:rPr>
        <w:t>重庆市水利局</w:t>
      </w:r>
    </w:p>
    <w:p>
      <w:pPr>
        <w:jc w:val="center"/>
        <w:rPr>
          <w:rFonts w:ascii="方正小标宋_GBK" w:eastAsia="方正小标宋_GBK"/>
          <w:b/>
          <w:bCs/>
          <w:sz w:val="44"/>
          <w:szCs w:val="44"/>
        </w:rPr>
        <w:sectPr>
          <w:footerReference r:id="rId3" w:type="default"/>
          <w:pgSz w:w="11906" w:h="16838"/>
          <w:pgMar w:top="1440" w:right="1797" w:bottom="1440" w:left="1797" w:header="851" w:footer="992" w:gutter="0"/>
          <w:cols w:space="425" w:num="1"/>
          <w:docGrid w:type="lines" w:linePitch="312" w:charSpace="0"/>
        </w:sectPr>
      </w:pPr>
      <w:r>
        <w:rPr>
          <w:rFonts w:hint="eastAsia" w:ascii="方正小标宋_GBK" w:eastAsia="方正小标宋_GBK"/>
          <w:b/>
          <w:bCs/>
          <w:sz w:val="44"/>
          <w:szCs w:val="44"/>
        </w:rPr>
        <w:t>2</w:t>
      </w:r>
      <w:r>
        <w:rPr>
          <w:rFonts w:ascii="方正小标宋_GBK" w:eastAsia="方正小标宋_GBK"/>
          <w:b/>
          <w:bCs/>
          <w:sz w:val="44"/>
          <w:szCs w:val="44"/>
        </w:rPr>
        <w:t>022</w:t>
      </w:r>
      <w:r>
        <w:rPr>
          <w:rFonts w:hint="eastAsia" w:ascii="方正小标宋_GBK" w:eastAsia="方正小标宋_GBK"/>
          <w:b/>
          <w:bCs/>
          <w:sz w:val="44"/>
          <w:szCs w:val="44"/>
        </w:rPr>
        <w:t>年1</w:t>
      </w:r>
      <w:r>
        <w:rPr>
          <w:rFonts w:ascii="方正小标宋_GBK" w:eastAsia="方正小标宋_GBK"/>
          <w:b/>
          <w:bCs/>
          <w:sz w:val="44"/>
          <w:szCs w:val="44"/>
        </w:rPr>
        <w:t>1</w:t>
      </w:r>
      <w:r>
        <w:rPr>
          <w:rFonts w:hint="eastAsia" w:ascii="方正小标宋_GBK" w:eastAsia="方正小标宋_GBK"/>
          <w:b/>
          <w:bCs/>
          <w:sz w:val="44"/>
          <w:szCs w:val="44"/>
        </w:rPr>
        <w:t>月</w:t>
      </w:r>
    </w:p>
    <w:p>
      <w:pPr>
        <w:jc w:val="center"/>
        <w:rPr>
          <w:rFonts w:ascii="方正小标宋_GBK" w:eastAsia="方正小标宋_GBK"/>
          <w:b/>
          <w:bCs/>
          <w:sz w:val="44"/>
          <w:szCs w:val="44"/>
        </w:rPr>
      </w:pPr>
      <w:r>
        <w:rPr>
          <w:rFonts w:hint="eastAsia" w:ascii="方正小标宋_GBK" w:eastAsia="方正小标宋_GBK"/>
          <w:b/>
          <w:bCs/>
          <w:sz w:val="44"/>
          <w:szCs w:val="44"/>
        </w:rPr>
        <w:t>目     录</w:t>
      </w:r>
    </w:p>
    <w:p>
      <w:pPr>
        <w:spacing w:line="300" w:lineRule="exact"/>
        <w:rPr>
          <w:b/>
          <w:bCs/>
        </w:rPr>
      </w:pPr>
    </w:p>
    <w:p>
      <w:pPr>
        <w:pStyle w:val="23"/>
        <w:tabs>
          <w:tab w:val="right" w:leader="dot" w:pos="8302"/>
        </w:tabs>
        <w:spacing w:line="300" w:lineRule="exact"/>
        <w:rPr>
          <w:rFonts w:hAnsiTheme="minorHAnsi" w:cstheme="minorBidi"/>
          <w:kern w:val="2"/>
          <w:sz w:val="24"/>
          <w:szCs w:val="24"/>
        </w:rPr>
      </w:pPr>
      <w:r>
        <w:rPr>
          <w:rFonts w:hint="eastAsia" w:hAnsiTheme="minorEastAsia"/>
          <w:b/>
          <w:bCs/>
          <w:sz w:val="24"/>
          <w:szCs w:val="24"/>
        </w:rPr>
        <w:fldChar w:fldCharType="begin"/>
      </w:r>
      <w:r>
        <w:rPr>
          <w:rFonts w:hint="eastAsia" w:hAnsiTheme="minorEastAsia"/>
          <w:b/>
          <w:bCs/>
          <w:sz w:val="24"/>
          <w:szCs w:val="24"/>
        </w:rPr>
        <w:instrText xml:space="preserve"> TOC \o "1-2" \h \z \u </w:instrText>
      </w:r>
      <w:r>
        <w:rPr>
          <w:rFonts w:hint="eastAsia" w:hAnsiTheme="minorEastAsia"/>
          <w:b/>
          <w:bCs/>
          <w:sz w:val="24"/>
          <w:szCs w:val="24"/>
        </w:rPr>
        <w:fldChar w:fldCharType="separate"/>
      </w:r>
      <w:r>
        <w:fldChar w:fldCharType="begin"/>
      </w:r>
      <w:r>
        <w:instrText xml:space="preserve"> HYPERLINK \l "_Toc119336532" </w:instrText>
      </w:r>
      <w:r>
        <w:fldChar w:fldCharType="separate"/>
      </w:r>
      <w:r>
        <w:rPr>
          <w:rStyle w:val="39"/>
          <w:rFonts w:hint="eastAsia" w:hAnsi="黑体"/>
          <w:b/>
          <w:bCs/>
          <w:sz w:val="24"/>
          <w:szCs w:val="24"/>
        </w:rPr>
        <w:t>1 总则</w:t>
      </w:r>
      <w:r>
        <w:rPr>
          <w:rFonts w:hint="eastAsia"/>
          <w:sz w:val="24"/>
          <w:szCs w:val="24"/>
        </w:rPr>
        <w:tab/>
      </w:r>
      <w:r>
        <w:rPr>
          <w:rFonts w:hint="eastAsia"/>
          <w:sz w:val="24"/>
          <w:szCs w:val="24"/>
        </w:rPr>
        <w:fldChar w:fldCharType="begin"/>
      </w:r>
      <w:r>
        <w:rPr>
          <w:rFonts w:hint="eastAsia"/>
          <w:sz w:val="24"/>
          <w:szCs w:val="24"/>
        </w:rPr>
        <w:instrText xml:space="preserve"> PAGEREF _Toc119336532 \h </w:instrText>
      </w:r>
      <w:r>
        <w:rPr>
          <w:rFonts w:hint="eastAsia"/>
          <w:sz w:val="24"/>
          <w:szCs w:val="24"/>
        </w:rPr>
        <w:fldChar w:fldCharType="separate"/>
      </w:r>
      <w:r>
        <w:rPr>
          <w:sz w:val="24"/>
          <w:szCs w:val="24"/>
        </w:rPr>
        <w:t>1</w:t>
      </w:r>
      <w:r>
        <w:rPr>
          <w:rFonts w:hint="eastAsia"/>
          <w:sz w:val="24"/>
          <w:szCs w:val="24"/>
        </w:rPr>
        <w:fldChar w:fldCharType="end"/>
      </w:r>
      <w:r>
        <w:rPr>
          <w:rFonts w:hint="eastAsia"/>
          <w:sz w:val="24"/>
          <w:szCs w:val="24"/>
        </w:rPr>
        <w:fldChar w:fldCharType="end"/>
      </w:r>
    </w:p>
    <w:p>
      <w:pPr>
        <w:pStyle w:val="23"/>
        <w:tabs>
          <w:tab w:val="right" w:leader="dot" w:pos="8302"/>
        </w:tabs>
        <w:spacing w:line="300" w:lineRule="exact"/>
        <w:rPr>
          <w:rFonts w:hAnsiTheme="minorHAnsi" w:cstheme="minorBidi"/>
          <w:kern w:val="2"/>
          <w:sz w:val="24"/>
          <w:szCs w:val="24"/>
        </w:rPr>
      </w:pPr>
      <w:r>
        <w:fldChar w:fldCharType="begin"/>
      </w:r>
      <w:r>
        <w:instrText xml:space="preserve"> HYPERLINK \l "_Toc119336533" </w:instrText>
      </w:r>
      <w:r>
        <w:fldChar w:fldCharType="separate"/>
      </w:r>
      <w:r>
        <w:rPr>
          <w:rStyle w:val="39"/>
          <w:rFonts w:hint="eastAsia" w:hAnsi="黑体"/>
          <w:b/>
          <w:bCs/>
          <w:sz w:val="24"/>
          <w:szCs w:val="24"/>
        </w:rPr>
        <w:t>2 风险查找</w:t>
      </w:r>
      <w:r>
        <w:rPr>
          <w:rFonts w:hint="eastAsia"/>
          <w:sz w:val="24"/>
          <w:szCs w:val="24"/>
        </w:rPr>
        <w:tab/>
      </w:r>
      <w:r>
        <w:rPr>
          <w:rFonts w:hint="eastAsia"/>
          <w:sz w:val="24"/>
          <w:szCs w:val="24"/>
        </w:rPr>
        <w:fldChar w:fldCharType="begin"/>
      </w:r>
      <w:r>
        <w:rPr>
          <w:rFonts w:hint="eastAsia"/>
          <w:sz w:val="24"/>
          <w:szCs w:val="24"/>
        </w:rPr>
        <w:instrText xml:space="preserve"> PAGEREF _Toc119336533 \h </w:instrText>
      </w:r>
      <w:r>
        <w:rPr>
          <w:rFonts w:hint="eastAsia"/>
          <w:sz w:val="24"/>
          <w:szCs w:val="24"/>
        </w:rPr>
        <w:fldChar w:fldCharType="separate"/>
      </w:r>
      <w:r>
        <w:rPr>
          <w:sz w:val="24"/>
          <w:szCs w:val="24"/>
        </w:rPr>
        <w:t>2</w:t>
      </w:r>
      <w:r>
        <w:rPr>
          <w:rFonts w:hint="eastAsia"/>
          <w:sz w:val="24"/>
          <w:szCs w:val="24"/>
        </w:rPr>
        <w:fldChar w:fldCharType="end"/>
      </w:r>
      <w:r>
        <w:rPr>
          <w:rFonts w:hint="eastAsia"/>
          <w:sz w:val="24"/>
          <w:szCs w:val="24"/>
        </w:rPr>
        <w:fldChar w:fldCharType="end"/>
      </w:r>
    </w:p>
    <w:p>
      <w:pPr>
        <w:pStyle w:val="28"/>
        <w:tabs>
          <w:tab w:val="right" w:leader="dot" w:pos="8302"/>
        </w:tabs>
        <w:spacing w:line="300" w:lineRule="exact"/>
        <w:ind w:left="640"/>
        <w:rPr>
          <w:rFonts w:hAnsiTheme="minorHAnsi" w:cstheme="minorBidi"/>
          <w:kern w:val="2"/>
          <w:sz w:val="24"/>
          <w:szCs w:val="24"/>
        </w:rPr>
      </w:pPr>
      <w:r>
        <w:fldChar w:fldCharType="begin"/>
      </w:r>
      <w:r>
        <w:instrText xml:space="preserve"> HYPERLINK \l "_Toc119336534" </w:instrText>
      </w:r>
      <w:r>
        <w:fldChar w:fldCharType="separate"/>
      </w:r>
      <w:r>
        <w:rPr>
          <w:rStyle w:val="39"/>
          <w:rFonts w:hint="eastAsia" w:hAnsi="黑体"/>
          <w:sz w:val="24"/>
          <w:szCs w:val="24"/>
        </w:rPr>
        <w:t>2.1 主要依据</w:t>
      </w:r>
      <w:r>
        <w:rPr>
          <w:rFonts w:hint="eastAsia"/>
          <w:sz w:val="24"/>
          <w:szCs w:val="24"/>
        </w:rPr>
        <w:tab/>
      </w:r>
      <w:r>
        <w:rPr>
          <w:rFonts w:hint="eastAsia"/>
          <w:sz w:val="24"/>
          <w:szCs w:val="24"/>
        </w:rPr>
        <w:fldChar w:fldCharType="begin"/>
      </w:r>
      <w:r>
        <w:rPr>
          <w:rFonts w:hint="eastAsia"/>
          <w:sz w:val="24"/>
          <w:szCs w:val="24"/>
        </w:rPr>
        <w:instrText xml:space="preserve"> PAGEREF _Toc119336534 \h </w:instrText>
      </w:r>
      <w:r>
        <w:rPr>
          <w:rFonts w:hint="eastAsia"/>
          <w:sz w:val="24"/>
          <w:szCs w:val="24"/>
        </w:rPr>
        <w:fldChar w:fldCharType="separate"/>
      </w:r>
      <w:r>
        <w:rPr>
          <w:sz w:val="24"/>
          <w:szCs w:val="24"/>
        </w:rPr>
        <w:t>2</w:t>
      </w:r>
      <w:r>
        <w:rPr>
          <w:rFonts w:hint="eastAsia"/>
          <w:sz w:val="24"/>
          <w:szCs w:val="24"/>
        </w:rPr>
        <w:fldChar w:fldCharType="end"/>
      </w:r>
      <w:r>
        <w:rPr>
          <w:rFonts w:hint="eastAsia"/>
          <w:sz w:val="24"/>
          <w:szCs w:val="24"/>
        </w:rPr>
        <w:fldChar w:fldCharType="end"/>
      </w:r>
    </w:p>
    <w:p>
      <w:pPr>
        <w:pStyle w:val="28"/>
        <w:tabs>
          <w:tab w:val="right" w:leader="dot" w:pos="8302"/>
        </w:tabs>
        <w:spacing w:line="300" w:lineRule="exact"/>
        <w:ind w:left="640"/>
        <w:rPr>
          <w:rFonts w:hAnsiTheme="minorHAnsi" w:cstheme="minorBidi"/>
          <w:kern w:val="2"/>
          <w:sz w:val="24"/>
          <w:szCs w:val="24"/>
        </w:rPr>
      </w:pPr>
      <w:r>
        <w:fldChar w:fldCharType="begin"/>
      </w:r>
      <w:r>
        <w:instrText xml:space="preserve"> HYPERLINK \l "_Toc119336535" </w:instrText>
      </w:r>
      <w:r>
        <w:fldChar w:fldCharType="separate"/>
      </w:r>
      <w:r>
        <w:rPr>
          <w:rStyle w:val="39"/>
          <w:rFonts w:hint="eastAsia" w:hAnsi="黑体"/>
          <w:sz w:val="24"/>
          <w:szCs w:val="24"/>
        </w:rPr>
        <w:t>2.2 术语定义</w:t>
      </w:r>
      <w:r>
        <w:rPr>
          <w:rFonts w:hint="eastAsia"/>
          <w:sz w:val="24"/>
          <w:szCs w:val="24"/>
        </w:rPr>
        <w:tab/>
      </w:r>
      <w:r>
        <w:rPr>
          <w:rFonts w:hint="eastAsia"/>
          <w:sz w:val="24"/>
          <w:szCs w:val="24"/>
        </w:rPr>
        <w:fldChar w:fldCharType="begin"/>
      </w:r>
      <w:r>
        <w:rPr>
          <w:rFonts w:hint="eastAsia"/>
          <w:sz w:val="24"/>
          <w:szCs w:val="24"/>
        </w:rPr>
        <w:instrText xml:space="preserve"> PAGEREF _Toc119336535 \h </w:instrText>
      </w:r>
      <w:r>
        <w:rPr>
          <w:rFonts w:hint="eastAsia"/>
          <w:sz w:val="24"/>
          <w:szCs w:val="24"/>
        </w:rPr>
        <w:fldChar w:fldCharType="separate"/>
      </w:r>
      <w:r>
        <w:rPr>
          <w:sz w:val="24"/>
          <w:szCs w:val="24"/>
        </w:rPr>
        <w:t>3</w:t>
      </w:r>
      <w:r>
        <w:rPr>
          <w:rFonts w:hint="eastAsia"/>
          <w:sz w:val="24"/>
          <w:szCs w:val="24"/>
        </w:rPr>
        <w:fldChar w:fldCharType="end"/>
      </w:r>
      <w:r>
        <w:rPr>
          <w:rFonts w:hint="eastAsia"/>
          <w:sz w:val="24"/>
          <w:szCs w:val="24"/>
        </w:rPr>
        <w:fldChar w:fldCharType="end"/>
      </w:r>
    </w:p>
    <w:p>
      <w:pPr>
        <w:pStyle w:val="28"/>
        <w:tabs>
          <w:tab w:val="right" w:leader="dot" w:pos="8302"/>
        </w:tabs>
        <w:spacing w:line="300" w:lineRule="exact"/>
        <w:ind w:left="640"/>
        <w:rPr>
          <w:rFonts w:hAnsiTheme="minorHAnsi" w:cstheme="minorBidi"/>
          <w:kern w:val="2"/>
          <w:sz w:val="24"/>
          <w:szCs w:val="24"/>
        </w:rPr>
      </w:pPr>
      <w:r>
        <w:fldChar w:fldCharType="begin"/>
      </w:r>
      <w:r>
        <w:instrText xml:space="preserve"> HYPERLINK \l "_Toc119336536" </w:instrText>
      </w:r>
      <w:r>
        <w:fldChar w:fldCharType="separate"/>
      </w:r>
      <w:r>
        <w:rPr>
          <w:rStyle w:val="39"/>
          <w:rFonts w:hint="eastAsia" w:hAnsi="黑体"/>
          <w:sz w:val="24"/>
          <w:szCs w:val="24"/>
        </w:rPr>
        <w:t>2.3 危险源辨识范围与对象</w:t>
      </w:r>
      <w:r>
        <w:rPr>
          <w:rFonts w:hint="eastAsia"/>
          <w:sz w:val="24"/>
          <w:szCs w:val="24"/>
        </w:rPr>
        <w:tab/>
      </w:r>
      <w:r>
        <w:rPr>
          <w:rFonts w:hint="eastAsia"/>
          <w:sz w:val="24"/>
          <w:szCs w:val="24"/>
        </w:rPr>
        <w:fldChar w:fldCharType="begin"/>
      </w:r>
      <w:r>
        <w:rPr>
          <w:rFonts w:hint="eastAsia"/>
          <w:sz w:val="24"/>
          <w:szCs w:val="24"/>
        </w:rPr>
        <w:instrText xml:space="preserve"> PAGEREF _Toc119336536 \h </w:instrText>
      </w:r>
      <w:r>
        <w:rPr>
          <w:rFonts w:hint="eastAsia"/>
          <w:sz w:val="24"/>
          <w:szCs w:val="24"/>
        </w:rPr>
        <w:fldChar w:fldCharType="separate"/>
      </w:r>
      <w:r>
        <w:rPr>
          <w:sz w:val="24"/>
          <w:szCs w:val="24"/>
        </w:rPr>
        <w:t>4</w:t>
      </w:r>
      <w:r>
        <w:rPr>
          <w:rFonts w:hint="eastAsia"/>
          <w:sz w:val="24"/>
          <w:szCs w:val="24"/>
        </w:rPr>
        <w:fldChar w:fldCharType="end"/>
      </w:r>
      <w:r>
        <w:rPr>
          <w:rFonts w:hint="eastAsia"/>
          <w:sz w:val="24"/>
          <w:szCs w:val="24"/>
        </w:rPr>
        <w:fldChar w:fldCharType="end"/>
      </w:r>
    </w:p>
    <w:p>
      <w:pPr>
        <w:pStyle w:val="28"/>
        <w:tabs>
          <w:tab w:val="right" w:leader="dot" w:pos="8302"/>
        </w:tabs>
        <w:spacing w:line="300" w:lineRule="exact"/>
        <w:ind w:left="640"/>
        <w:rPr>
          <w:rFonts w:hAnsiTheme="minorHAnsi" w:cstheme="minorBidi"/>
          <w:kern w:val="2"/>
          <w:sz w:val="24"/>
          <w:szCs w:val="24"/>
        </w:rPr>
      </w:pPr>
      <w:r>
        <w:fldChar w:fldCharType="begin"/>
      </w:r>
      <w:r>
        <w:instrText xml:space="preserve"> HYPERLINK \l "_Toc119336537" </w:instrText>
      </w:r>
      <w:r>
        <w:fldChar w:fldCharType="separate"/>
      </w:r>
      <w:r>
        <w:rPr>
          <w:rStyle w:val="39"/>
          <w:rFonts w:hint="eastAsia" w:hAnsi="黑体"/>
          <w:sz w:val="24"/>
          <w:szCs w:val="24"/>
        </w:rPr>
        <w:t>2.4 辨识方法</w:t>
      </w:r>
      <w:r>
        <w:rPr>
          <w:rFonts w:hint="eastAsia"/>
          <w:sz w:val="24"/>
          <w:szCs w:val="24"/>
        </w:rPr>
        <w:tab/>
      </w:r>
      <w:r>
        <w:rPr>
          <w:rFonts w:hint="eastAsia"/>
          <w:sz w:val="24"/>
          <w:szCs w:val="24"/>
        </w:rPr>
        <w:fldChar w:fldCharType="begin"/>
      </w:r>
      <w:r>
        <w:rPr>
          <w:rFonts w:hint="eastAsia"/>
          <w:sz w:val="24"/>
          <w:szCs w:val="24"/>
        </w:rPr>
        <w:instrText xml:space="preserve"> PAGEREF _Toc119336537 \h </w:instrText>
      </w:r>
      <w:r>
        <w:rPr>
          <w:rFonts w:hint="eastAsia"/>
          <w:sz w:val="24"/>
          <w:szCs w:val="24"/>
        </w:rPr>
        <w:fldChar w:fldCharType="separate"/>
      </w:r>
      <w:r>
        <w:rPr>
          <w:sz w:val="24"/>
          <w:szCs w:val="24"/>
        </w:rPr>
        <w:t>6</w:t>
      </w:r>
      <w:r>
        <w:rPr>
          <w:rFonts w:hint="eastAsia"/>
          <w:sz w:val="24"/>
          <w:szCs w:val="24"/>
        </w:rPr>
        <w:fldChar w:fldCharType="end"/>
      </w:r>
      <w:r>
        <w:rPr>
          <w:rFonts w:hint="eastAsia"/>
          <w:sz w:val="24"/>
          <w:szCs w:val="24"/>
        </w:rPr>
        <w:fldChar w:fldCharType="end"/>
      </w:r>
    </w:p>
    <w:p>
      <w:pPr>
        <w:pStyle w:val="28"/>
        <w:tabs>
          <w:tab w:val="right" w:leader="dot" w:pos="8302"/>
        </w:tabs>
        <w:spacing w:line="300" w:lineRule="exact"/>
        <w:ind w:left="640"/>
        <w:rPr>
          <w:rFonts w:hAnsiTheme="minorHAnsi" w:cstheme="minorBidi"/>
          <w:kern w:val="2"/>
          <w:sz w:val="24"/>
          <w:szCs w:val="24"/>
        </w:rPr>
      </w:pPr>
      <w:r>
        <w:fldChar w:fldCharType="begin"/>
      </w:r>
      <w:r>
        <w:instrText xml:space="preserve"> HYPERLINK \l "_Toc119336538" </w:instrText>
      </w:r>
      <w:r>
        <w:fldChar w:fldCharType="separate"/>
      </w:r>
      <w:r>
        <w:rPr>
          <w:rStyle w:val="39"/>
          <w:rFonts w:hint="eastAsia" w:hAnsi="黑体"/>
          <w:sz w:val="24"/>
          <w:szCs w:val="24"/>
        </w:rPr>
        <w:t>2.5 危险源确认</w:t>
      </w:r>
      <w:r>
        <w:rPr>
          <w:rFonts w:hint="eastAsia"/>
          <w:sz w:val="24"/>
          <w:szCs w:val="24"/>
        </w:rPr>
        <w:tab/>
      </w:r>
      <w:r>
        <w:rPr>
          <w:rFonts w:hint="eastAsia"/>
          <w:sz w:val="24"/>
          <w:szCs w:val="24"/>
        </w:rPr>
        <w:fldChar w:fldCharType="begin"/>
      </w:r>
      <w:r>
        <w:rPr>
          <w:rFonts w:hint="eastAsia"/>
          <w:sz w:val="24"/>
          <w:szCs w:val="24"/>
        </w:rPr>
        <w:instrText xml:space="preserve"> PAGEREF _Toc119336538 \h </w:instrText>
      </w:r>
      <w:r>
        <w:rPr>
          <w:rFonts w:hint="eastAsia"/>
          <w:sz w:val="24"/>
          <w:szCs w:val="24"/>
        </w:rPr>
        <w:fldChar w:fldCharType="separate"/>
      </w:r>
      <w:r>
        <w:rPr>
          <w:sz w:val="24"/>
          <w:szCs w:val="24"/>
        </w:rPr>
        <w:t>9</w:t>
      </w:r>
      <w:r>
        <w:rPr>
          <w:rFonts w:hint="eastAsia"/>
          <w:sz w:val="24"/>
          <w:szCs w:val="24"/>
        </w:rPr>
        <w:fldChar w:fldCharType="end"/>
      </w:r>
      <w:r>
        <w:rPr>
          <w:rFonts w:hint="eastAsia"/>
          <w:sz w:val="24"/>
          <w:szCs w:val="24"/>
        </w:rPr>
        <w:fldChar w:fldCharType="end"/>
      </w:r>
    </w:p>
    <w:p>
      <w:pPr>
        <w:pStyle w:val="28"/>
        <w:tabs>
          <w:tab w:val="right" w:leader="dot" w:pos="8302"/>
        </w:tabs>
        <w:spacing w:line="300" w:lineRule="exact"/>
        <w:ind w:left="640"/>
        <w:rPr>
          <w:rFonts w:hAnsiTheme="minorHAnsi" w:cstheme="minorBidi"/>
          <w:kern w:val="2"/>
          <w:sz w:val="24"/>
          <w:szCs w:val="24"/>
        </w:rPr>
      </w:pPr>
      <w:r>
        <w:fldChar w:fldCharType="begin"/>
      </w:r>
      <w:r>
        <w:instrText xml:space="preserve"> HYPERLINK \l "_Toc119336539" </w:instrText>
      </w:r>
      <w:r>
        <w:fldChar w:fldCharType="separate"/>
      </w:r>
      <w:r>
        <w:rPr>
          <w:rStyle w:val="39"/>
          <w:rFonts w:hint="eastAsia" w:hAnsi="黑体"/>
          <w:sz w:val="24"/>
          <w:szCs w:val="24"/>
        </w:rPr>
        <w:t>2.6 动态更新</w:t>
      </w:r>
      <w:r>
        <w:rPr>
          <w:rFonts w:hint="eastAsia"/>
          <w:sz w:val="24"/>
          <w:szCs w:val="24"/>
        </w:rPr>
        <w:tab/>
      </w:r>
      <w:r>
        <w:rPr>
          <w:rFonts w:hint="eastAsia"/>
          <w:sz w:val="24"/>
          <w:szCs w:val="24"/>
        </w:rPr>
        <w:fldChar w:fldCharType="begin"/>
      </w:r>
      <w:r>
        <w:rPr>
          <w:rFonts w:hint="eastAsia"/>
          <w:sz w:val="24"/>
          <w:szCs w:val="24"/>
        </w:rPr>
        <w:instrText xml:space="preserve"> PAGEREF _Toc119336539 \h </w:instrText>
      </w:r>
      <w:r>
        <w:rPr>
          <w:rFonts w:hint="eastAsia"/>
          <w:sz w:val="24"/>
          <w:szCs w:val="24"/>
        </w:rPr>
        <w:fldChar w:fldCharType="separate"/>
      </w:r>
      <w:r>
        <w:rPr>
          <w:sz w:val="24"/>
          <w:szCs w:val="24"/>
        </w:rPr>
        <w:t>9</w:t>
      </w:r>
      <w:r>
        <w:rPr>
          <w:rFonts w:hint="eastAsia"/>
          <w:sz w:val="24"/>
          <w:szCs w:val="24"/>
        </w:rPr>
        <w:fldChar w:fldCharType="end"/>
      </w:r>
      <w:r>
        <w:rPr>
          <w:rFonts w:hint="eastAsia"/>
          <w:sz w:val="24"/>
          <w:szCs w:val="24"/>
        </w:rPr>
        <w:fldChar w:fldCharType="end"/>
      </w:r>
    </w:p>
    <w:p>
      <w:pPr>
        <w:pStyle w:val="23"/>
        <w:tabs>
          <w:tab w:val="right" w:leader="dot" w:pos="8302"/>
        </w:tabs>
        <w:spacing w:line="300" w:lineRule="exact"/>
        <w:rPr>
          <w:rFonts w:hAnsiTheme="minorHAnsi" w:cstheme="minorBidi"/>
          <w:kern w:val="2"/>
          <w:sz w:val="24"/>
          <w:szCs w:val="24"/>
        </w:rPr>
      </w:pPr>
      <w:r>
        <w:fldChar w:fldCharType="begin"/>
      </w:r>
      <w:r>
        <w:instrText xml:space="preserve"> HYPERLINK \l "_Toc119336540" </w:instrText>
      </w:r>
      <w:r>
        <w:fldChar w:fldCharType="separate"/>
      </w:r>
      <w:r>
        <w:rPr>
          <w:rStyle w:val="39"/>
          <w:rFonts w:hint="eastAsia" w:hAnsi="黑体"/>
          <w:b/>
          <w:sz w:val="24"/>
          <w:szCs w:val="24"/>
        </w:rPr>
        <w:t>3 风险研判</w:t>
      </w:r>
      <w:r>
        <w:rPr>
          <w:rFonts w:hint="eastAsia"/>
          <w:sz w:val="24"/>
          <w:szCs w:val="24"/>
        </w:rPr>
        <w:tab/>
      </w:r>
      <w:r>
        <w:rPr>
          <w:rFonts w:hint="eastAsia"/>
          <w:sz w:val="24"/>
          <w:szCs w:val="24"/>
        </w:rPr>
        <w:fldChar w:fldCharType="begin"/>
      </w:r>
      <w:r>
        <w:rPr>
          <w:rFonts w:hint="eastAsia"/>
          <w:sz w:val="24"/>
          <w:szCs w:val="24"/>
        </w:rPr>
        <w:instrText xml:space="preserve"> PAGEREF _Toc119336540 \h </w:instrText>
      </w:r>
      <w:r>
        <w:rPr>
          <w:rFonts w:hint="eastAsia"/>
          <w:sz w:val="24"/>
          <w:szCs w:val="24"/>
        </w:rPr>
        <w:fldChar w:fldCharType="separate"/>
      </w:r>
      <w:r>
        <w:rPr>
          <w:sz w:val="24"/>
          <w:szCs w:val="24"/>
        </w:rPr>
        <w:t>10</w:t>
      </w:r>
      <w:r>
        <w:rPr>
          <w:rFonts w:hint="eastAsia"/>
          <w:sz w:val="24"/>
          <w:szCs w:val="24"/>
        </w:rPr>
        <w:fldChar w:fldCharType="end"/>
      </w:r>
      <w:r>
        <w:rPr>
          <w:rFonts w:hint="eastAsia"/>
          <w:sz w:val="24"/>
          <w:szCs w:val="24"/>
        </w:rPr>
        <w:fldChar w:fldCharType="end"/>
      </w:r>
    </w:p>
    <w:p>
      <w:pPr>
        <w:pStyle w:val="28"/>
        <w:tabs>
          <w:tab w:val="right" w:leader="dot" w:pos="8302"/>
        </w:tabs>
        <w:spacing w:line="300" w:lineRule="exact"/>
        <w:ind w:left="640"/>
        <w:rPr>
          <w:rFonts w:hAnsiTheme="minorHAnsi" w:cstheme="minorBidi"/>
          <w:kern w:val="2"/>
          <w:sz w:val="24"/>
          <w:szCs w:val="24"/>
        </w:rPr>
      </w:pPr>
      <w:r>
        <w:fldChar w:fldCharType="begin"/>
      </w:r>
      <w:r>
        <w:instrText xml:space="preserve"> HYPERLINK \l "_Toc119336541" </w:instrText>
      </w:r>
      <w:r>
        <w:fldChar w:fldCharType="separate"/>
      </w:r>
      <w:r>
        <w:rPr>
          <w:rStyle w:val="39"/>
          <w:rFonts w:hint="eastAsia" w:hAnsi="黑体"/>
          <w:sz w:val="24"/>
          <w:szCs w:val="24"/>
        </w:rPr>
        <w:t>3.1 风险等级</w:t>
      </w:r>
      <w:r>
        <w:rPr>
          <w:rFonts w:hint="eastAsia"/>
          <w:sz w:val="24"/>
          <w:szCs w:val="24"/>
        </w:rPr>
        <w:tab/>
      </w:r>
      <w:r>
        <w:rPr>
          <w:rFonts w:hint="eastAsia"/>
          <w:sz w:val="24"/>
          <w:szCs w:val="24"/>
        </w:rPr>
        <w:fldChar w:fldCharType="begin"/>
      </w:r>
      <w:r>
        <w:rPr>
          <w:rFonts w:hint="eastAsia"/>
          <w:sz w:val="24"/>
          <w:szCs w:val="24"/>
        </w:rPr>
        <w:instrText xml:space="preserve"> PAGEREF _Toc119336541 \h </w:instrText>
      </w:r>
      <w:r>
        <w:rPr>
          <w:rFonts w:hint="eastAsia"/>
          <w:sz w:val="24"/>
          <w:szCs w:val="24"/>
        </w:rPr>
        <w:fldChar w:fldCharType="separate"/>
      </w:r>
      <w:r>
        <w:rPr>
          <w:sz w:val="24"/>
          <w:szCs w:val="24"/>
        </w:rPr>
        <w:t>10</w:t>
      </w:r>
      <w:r>
        <w:rPr>
          <w:rFonts w:hint="eastAsia"/>
          <w:sz w:val="24"/>
          <w:szCs w:val="24"/>
        </w:rPr>
        <w:fldChar w:fldCharType="end"/>
      </w:r>
      <w:r>
        <w:rPr>
          <w:rFonts w:hint="eastAsia"/>
          <w:sz w:val="24"/>
          <w:szCs w:val="24"/>
        </w:rPr>
        <w:fldChar w:fldCharType="end"/>
      </w:r>
    </w:p>
    <w:p>
      <w:pPr>
        <w:pStyle w:val="28"/>
        <w:tabs>
          <w:tab w:val="right" w:leader="dot" w:pos="8302"/>
        </w:tabs>
        <w:spacing w:line="300" w:lineRule="exact"/>
        <w:ind w:left="640"/>
        <w:rPr>
          <w:rFonts w:hAnsiTheme="minorHAnsi" w:cstheme="minorBidi"/>
          <w:kern w:val="2"/>
          <w:sz w:val="24"/>
          <w:szCs w:val="24"/>
        </w:rPr>
      </w:pPr>
      <w:r>
        <w:fldChar w:fldCharType="begin"/>
      </w:r>
      <w:r>
        <w:instrText xml:space="preserve"> HYPERLINK \l "_Toc119336542" </w:instrText>
      </w:r>
      <w:r>
        <w:fldChar w:fldCharType="separate"/>
      </w:r>
      <w:r>
        <w:rPr>
          <w:rStyle w:val="39"/>
          <w:rFonts w:hint="eastAsia" w:hAnsi="黑体"/>
          <w:sz w:val="24"/>
          <w:szCs w:val="24"/>
        </w:rPr>
        <w:t>3.2 评价方法</w:t>
      </w:r>
      <w:r>
        <w:rPr>
          <w:rFonts w:hint="eastAsia"/>
          <w:sz w:val="24"/>
          <w:szCs w:val="24"/>
        </w:rPr>
        <w:tab/>
      </w:r>
      <w:r>
        <w:rPr>
          <w:rFonts w:hint="eastAsia"/>
          <w:sz w:val="24"/>
          <w:szCs w:val="24"/>
        </w:rPr>
        <w:fldChar w:fldCharType="begin"/>
      </w:r>
      <w:r>
        <w:rPr>
          <w:rFonts w:hint="eastAsia"/>
          <w:sz w:val="24"/>
          <w:szCs w:val="24"/>
        </w:rPr>
        <w:instrText xml:space="preserve"> PAGEREF _Toc119336542 \h </w:instrText>
      </w:r>
      <w:r>
        <w:rPr>
          <w:rFonts w:hint="eastAsia"/>
          <w:sz w:val="24"/>
          <w:szCs w:val="24"/>
        </w:rPr>
        <w:fldChar w:fldCharType="separate"/>
      </w:r>
      <w:r>
        <w:rPr>
          <w:sz w:val="24"/>
          <w:szCs w:val="24"/>
        </w:rPr>
        <w:t>10</w:t>
      </w:r>
      <w:r>
        <w:rPr>
          <w:rFonts w:hint="eastAsia"/>
          <w:sz w:val="24"/>
          <w:szCs w:val="24"/>
        </w:rPr>
        <w:fldChar w:fldCharType="end"/>
      </w:r>
      <w:r>
        <w:rPr>
          <w:rFonts w:hint="eastAsia"/>
          <w:sz w:val="24"/>
          <w:szCs w:val="24"/>
        </w:rPr>
        <w:fldChar w:fldCharType="end"/>
      </w:r>
    </w:p>
    <w:p>
      <w:pPr>
        <w:pStyle w:val="28"/>
        <w:tabs>
          <w:tab w:val="right" w:leader="dot" w:pos="8302"/>
        </w:tabs>
        <w:spacing w:line="300" w:lineRule="exact"/>
        <w:ind w:left="640"/>
        <w:rPr>
          <w:rFonts w:hAnsiTheme="minorHAnsi" w:cstheme="minorBidi"/>
          <w:kern w:val="2"/>
          <w:sz w:val="24"/>
          <w:szCs w:val="24"/>
        </w:rPr>
      </w:pPr>
      <w:r>
        <w:fldChar w:fldCharType="begin"/>
      </w:r>
      <w:r>
        <w:instrText xml:space="preserve"> HYPERLINK \l "_Toc119336543" </w:instrText>
      </w:r>
      <w:r>
        <w:fldChar w:fldCharType="separate"/>
      </w:r>
      <w:r>
        <w:rPr>
          <w:rStyle w:val="39"/>
          <w:rFonts w:hint="eastAsia" w:hAnsi="黑体"/>
          <w:sz w:val="24"/>
          <w:szCs w:val="24"/>
        </w:rPr>
        <w:t>3.3 评价实施</w:t>
      </w:r>
      <w:r>
        <w:rPr>
          <w:rFonts w:hint="eastAsia"/>
          <w:sz w:val="24"/>
          <w:szCs w:val="24"/>
        </w:rPr>
        <w:tab/>
      </w:r>
      <w:r>
        <w:rPr>
          <w:rFonts w:hint="eastAsia"/>
          <w:sz w:val="24"/>
          <w:szCs w:val="24"/>
        </w:rPr>
        <w:fldChar w:fldCharType="begin"/>
      </w:r>
      <w:r>
        <w:rPr>
          <w:rFonts w:hint="eastAsia"/>
          <w:sz w:val="24"/>
          <w:szCs w:val="24"/>
        </w:rPr>
        <w:instrText xml:space="preserve"> PAGEREF _Toc119336543 \h </w:instrText>
      </w:r>
      <w:r>
        <w:rPr>
          <w:rFonts w:hint="eastAsia"/>
          <w:sz w:val="24"/>
          <w:szCs w:val="24"/>
        </w:rPr>
        <w:fldChar w:fldCharType="separate"/>
      </w:r>
      <w:r>
        <w:rPr>
          <w:sz w:val="24"/>
          <w:szCs w:val="24"/>
        </w:rPr>
        <w:t>11</w:t>
      </w:r>
      <w:r>
        <w:rPr>
          <w:rFonts w:hint="eastAsia"/>
          <w:sz w:val="24"/>
          <w:szCs w:val="24"/>
        </w:rPr>
        <w:fldChar w:fldCharType="end"/>
      </w:r>
      <w:r>
        <w:rPr>
          <w:rFonts w:hint="eastAsia"/>
          <w:sz w:val="24"/>
          <w:szCs w:val="24"/>
        </w:rPr>
        <w:fldChar w:fldCharType="end"/>
      </w:r>
    </w:p>
    <w:p>
      <w:pPr>
        <w:pStyle w:val="28"/>
        <w:tabs>
          <w:tab w:val="right" w:leader="dot" w:pos="8302"/>
        </w:tabs>
        <w:spacing w:line="300" w:lineRule="exact"/>
        <w:ind w:left="640"/>
        <w:rPr>
          <w:rFonts w:hAnsiTheme="minorHAnsi" w:cstheme="minorBidi"/>
          <w:kern w:val="2"/>
          <w:sz w:val="24"/>
          <w:szCs w:val="24"/>
        </w:rPr>
      </w:pPr>
      <w:r>
        <w:fldChar w:fldCharType="begin"/>
      </w:r>
      <w:r>
        <w:instrText xml:space="preserve"> HYPERLINK \l "_Toc119336544" </w:instrText>
      </w:r>
      <w:r>
        <w:fldChar w:fldCharType="separate"/>
      </w:r>
      <w:r>
        <w:rPr>
          <w:rStyle w:val="39"/>
          <w:rFonts w:hint="eastAsia" w:hAnsi="黑体"/>
          <w:sz w:val="24"/>
          <w:szCs w:val="24"/>
        </w:rPr>
        <w:t>3.4 建立风险监管清单</w:t>
      </w:r>
      <w:r>
        <w:rPr>
          <w:rFonts w:hint="eastAsia"/>
          <w:sz w:val="24"/>
          <w:szCs w:val="24"/>
        </w:rPr>
        <w:tab/>
      </w:r>
      <w:r>
        <w:rPr>
          <w:rFonts w:hint="eastAsia"/>
          <w:sz w:val="24"/>
          <w:szCs w:val="24"/>
        </w:rPr>
        <w:fldChar w:fldCharType="begin"/>
      </w:r>
      <w:r>
        <w:rPr>
          <w:rFonts w:hint="eastAsia"/>
          <w:sz w:val="24"/>
          <w:szCs w:val="24"/>
        </w:rPr>
        <w:instrText xml:space="preserve"> PAGEREF _Toc119336544 \h </w:instrText>
      </w:r>
      <w:r>
        <w:rPr>
          <w:rFonts w:hint="eastAsia"/>
          <w:sz w:val="24"/>
          <w:szCs w:val="24"/>
        </w:rPr>
        <w:fldChar w:fldCharType="separate"/>
      </w:r>
      <w:r>
        <w:rPr>
          <w:sz w:val="24"/>
          <w:szCs w:val="24"/>
        </w:rPr>
        <w:t>14</w:t>
      </w:r>
      <w:r>
        <w:rPr>
          <w:rFonts w:hint="eastAsia"/>
          <w:sz w:val="24"/>
          <w:szCs w:val="24"/>
        </w:rPr>
        <w:fldChar w:fldCharType="end"/>
      </w:r>
      <w:r>
        <w:rPr>
          <w:rFonts w:hint="eastAsia"/>
          <w:sz w:val="24"/>
          <w:szCs w:val="24"/>
        </w:rPr>
        <w:fldChar w:fldCharType="end"/>
      </w:r>
    </w:p>
    <w:p>
      <w:pPr>
        <w:pStyle w:val="28"/>
        <w:tabs>
          <w:tab w:val="right" w:leader="dot" w:pos="8302"/>
        </w:tabs>
        <w:spacing w:line="300" w:lineRule="exact"/>
        <w:ind w:left="640"/>
        <w:rPr>
          <w:rFonts w:hAnsiTheme="minorHAnsi" w:cstheme="minorBidi"/>
          <w:kern w:val="2"/>
          <w:sz w:val="24"/>
          <w:szCs w:val="24"/>
        </w:rPr>
      </w:pPr>
      <w:r>
        <w:fldChar w:fldCharType="begin"/>
      </w:r>
      <w:r>
        <w:instrText xml:space="preserve"> HYPERLINK \l "_Toc119336545" </w:instrText>
      </w:r>
      <w:r>
        <w:fldChar w:fldCharType="separate"/>
      </w:r>
      <w:r>
        <w:rPr>
          <w:rStyle w:val="39"/>
          <w:rFonts w:hint="eastAsia" w:hAnsi="黑体"/>
          <w:sz w:val="24"/>
          <w:szCs w:val="24"/>
        </w:rPr>
        <w:t>3.5 安全生产状况评价</w:t>
      </w:r>
      <w:r>
        <w:rPr>
          <w:rFonts w:hint="eastAsia"/>
          <w:sz w:val="24"/>
          <w:szCs w:val="24"/>
        </w:rPr>
        <w:tab/>
      </w:r>
      <w:r>
        <w:rPr>
          <w:rFonts w:hint="eastAsia"/>
          <w:sz w:val="24"/>
          <w:szCs w:val="24"/>
        </w:rPr>
        <w:fldChar w:fldCharType="begin"/>
      </w:r>
      <w:r>
        <w:rPr>
          <w:rFonts w:hint="eastAsia"/>
          <w:sz w:val="24"/>
          <w:szCs w:val="24"/>
        </w:rPr>
        <w:instrText xml:space="preserve"> PAGEREF _Toc119336545 \h </w:instrText>
      </w:r>
      <w:r>
        <w:rPr>
          <w:rFonts w:hint="eastAsia"/>
          <w:sz w:val="24"/>
          <w:szCs w:val="24"/>
        </w:rPr>
        <w:fldChar w:fldCharType="separate"/>
      </w:r>
      <w:r>
        <w:rPr>
          <w:sz w:val="24"/>
          <w:szCs w:val="24"/>
        </w:rPr>
        <w:t>14</w:t>
      </w:r>
      <w:r>
        <w:rPr>
          <w:rFonts w:hint="eastAsia"/>
          <w:sz w:val="24"/>
          <w:szCs w:val="24"/>
        </w:rPr>
        <w:fldChar w:fldCharType="end"/>
      </w:r>
      <w:r>
        <w:rPr>
          <w:rFonts w:hint="eastAsia"/>
          <w:sz w:val="24"/>
          <w:szCs w:val="24"/>
        </w:rPr>
        <w:fldChar w:fldCharType="end"/>
      </w:r>
    </w:p>
    <w:p>
      <w:pPr>
        <w:pStyle w:val="23"/>
        <w:tabs>
          <w:tab w:val="right" w:leader="dot" w:pos="8302"/>
        </w:tabs>
        <w:spacing w:line="300" w:lineRule="exact"/>
        <w:rPr>
          <w:rFonts w:hAnsiTheme="minorHAnsi" w:cstheme="minorBidi"/>
          <w:kern w:val="2"/>
          <w:sz w:val="24"/>
          <w:szCs w:val="24"/>
        </w:rPr>
      </w:pPr>
      <w:r>
        <w:fldChar w:fldCharType="begin"/>
      </w:r>
      <w:r>
        <w:instrText xml:space="preserve"> HYPERLINK \l "_Toc119336546" </w:instrText>
      </w:r>
      <w:r>
        <w:fldChar w:fldCharType="separate"/>
      </w:r>
      <w:r>
        <w:rPr>
          <w:rStyle w:val="39"/>
          <w:rFonts w:hint="eastAsia" w:hAnsi="黑体"/>
          <w:b/>
          <w:sz w:val="24"/>
          <w:szCs w:val="24"/>
        </w:rPr>
        <w:t>4 风险防范</w:t>
      </w:r>
      <w:r>
        <w:rPr>
          <w:rFonts w:hint="eastAsia"/>
          <w:sz w:val="24"/>
          <w:szCs w:val="24"/>
        </w:rPr>
        <w:tab/>
      </w:r>
      <w:r>
        <w:rPr>
          <w:rFonts w:hint="eastAsia"/>
          <w:sz w:val="24"/>
          <w:szCs w:val="24"/>
        </w:rPr>
        <w:fldChar w:fldCharType="begin"/>
      </w:r>
      <w:r>
        <w:rPr>
          <w:rFonts w:hint="eastAsia"/>
          <w:sz w:val="24"/>
          <w:szCs w:val="24"/>
        </w:rPr>
        <w:instrText xml:space="preserve"> PAGEREF _Toc119336546 \h </w:instrText>
      </w:r>
      <w:r>
        <w:rPr>
          <w:rFonts w:hint="eastAsia"/>
          <w:sz w:val="24"/>
          <w:szCs w:val="24"/>
        </w:rPr>
        <w:fldChar w:fldCharType="separate"/>
      </w:r>
      <w:r>
        <w:rPr>
          <w:sz w:val="24"/>
          <w:szCs w:val="24"/>
        </w:rPr>
        <w:t>14</w:t>
      </w:r>
      <w:r>
        <w:rPr>
          <w:rFonts w:hint="eastAsia"/>
          <w:sz w:val="24"/>
          <w:szCs w:val="24"/>
        </w:rPr>
        <w:fldChar w:fldCharType="end"/>
      </w:r>
      <w:r>
        <w:rPr>
          <w:rFonts w:hint="eastAsia"/>
          <w:sz w:val="24"/>
          <w:szCs w:val="24"/>
        </w:rPr>
        <w:fldChar w:fldCharType="end"/>
      </w:r>
    </w:p>
    <w:p>
      <w:pPr>
        <w:pStyle w:val="28"/>
        <w:tabs>
          <w:tab w:val="right" w:leader="dot" w:pos="8302"/>
        </w:tabs>
        <w:spacing w:line="300" w:lineRule="exact"/>
        <w:ind w:left="640"/>
        <w:rPr>
          <w:rFonts w:hAnsiTheme="minorHAnsi" w:cstheme="minorBidi"/>
          <w:kern w:val="2"/>
          <w:sz w:val="24"/>
          <w:szCs w:val="24"/>
        </w:rPr>
      </w:pPr>
      <w:r>
        <w:fldChar w:fldCharType="begin"/>
      </w:r>
      <w:r>
        <w:instrText xml:space="preserve"> HYPERLINK \l "_Toc119336547" </w:instrText>
      </w:r>
      <w:r>
        <w:fldChar w:fldCharType="separate"/>
      </w:r>
      <w:r>
        <w:rPr>
          <w:rStyle w:val="39"/>
          <w:rFonts w:hint="eastAsia" w:hAnsi="黑体"/>
          <w:sz w:val="24"/>
          <w:szCs w:val="24"/>
        </w:rPr>
        <w:t>4.1 落实风险管控措施</w:t>
      </w:r>
      <w:r>
        <w:rPr>
          <w:rFonts w:hint="eastAsia"/>
          <w:sz w:val="24"/>
          <w:szCs w:val="24"/>
        </w:rPr>
        <w:tab/>
      </w:r>
      <w:r>
        <w:rPr>
          <w:rFonts w:hint="eastAsia"/>
          <w:sz w:val="24"/>
          <w:szCs w:val="24"/>
        </w:rPr>
        <w:fldChar w:fldCharType="begin"/>
      </w:r>
      <w:r>
        <w:rPr>
          <w:rFonts w:hint="eastAsia"/>
          <w:sz w:val="24"/>
          <w:szCs w:val="24"/>
        </w:rPr>
        <w:instrText xml:space="preserve"> PAGEREF _Toc119336547 \h </w:instrText>
      </w:r>
      <w:r>
        <w:rPr>
          <w:rFonts w:hint="eastAsia"/>
          <w:sz w:val="24"/>
          <w:szCs w:val="24"/>
        </w:rPr>
        <w:fldChar w:fldCharType="separate"/>
      </w:r>
      <w:r>
        <w:rPr>
          <w:sz w:val="24"/>
          <w:szCs w:val="24"/>
        </w:rPr>
        <w:t>14</w:t>
      </w:r>
      <w:r>
        <w:rPr>
          <w:rFonts w:hint="eastAsia"/>
          <w:sz w:val="24"/>
          <w:szCs w:val="24"/>
        </w:rPr>
        <w:fldChar w:fldCharType="end"/>
      </w:r>
      <w:r>
        <w:rPr>
          <w:rFonts w:hint="eastAsia"/>
          <w:sz w:val="24"/>
          <w:szCs w:val="24"/>
        </w:rPr>
        <w:fldChar w:fldCharType="end"/>
      </w:r>
    </w:p>
    <w:p>
      <w:pPr>
        <w:pStyle w:val="28"/>
        <w:tabs>
          <w:tab w:val="right" w:leader="dot" w:pos="8302"/>
        </w:tabs>
        <w:spacing w:line="300" w:lineRule="exact"/>
        <w:ind w:left="640"/>
        <w:rPr>
          <w:rFonts w:hAnsiTheme="minorHAnsi" w:cstheme="minorBidi"/>
          <w:kern w:val="2"/>
          <w:sz w:val="24"/>
          <w:szCs w:val="24"/>
        </w:rPr>
      </w:pPr>
      <w:r>
        <w:fldChar w:fldCharType="begin"/>
      </w:r>
      <w:r>
        <w:instrText xml:space="preserve"> HYPERLINK \l "_Toc119336548" </w:instrText>
      </w:r>
      <w:r>
        <w:fldChar w:fldCharType="separate"/>
      </w:r>
      <w:r>
        <w:rPr>
          <w:rStyle w:val="39"/>
          <w:rFonts w:hint="eastAsia" w:hAnsi="黑体"/>
          <w:sz w:val="24"/>
          <w:szCs w:val="24"/>
        </w:rPr>
        <w:t>4.2 建立并落实风险公告制度</w:t>
      </w:r>
      <w:r>
        <w:rPr>
          <w:rFonts w:hint="eastAsia"/>
          <w:sz w:val="24"/>
          <w:szCs w:val="24"/>
        </w:rPr>
        <w:tab/>
      </w:r>
      <w:r>
        <w:rPr>
          <w:rFonts w:hint="eastAsia"/>
          <w:sz w:val="24"/>
          <w:szCs w:val="24"/>
        </w:rPr>
        <w:fldChar w:fldCharType="begin"/>
      </w:r>
      <w:r>
        <w:rPr>
          <w:rFonts w:hint="eastAsia"/>
          <w:sz w:val="24"/>
          <w:szCs w:val="24"/>
        </w:rPr>
        <w:instrText xml:space="preserve"> PAGEREF _Toc119336548 \h </w:instrText>
      </w:r>
      <w:r>
        <w:rPr>
          <w:rFonts w:hint="eastAsia"/>
          <w:sz w:val="24"/>
          <w:szCs w:val="24"/>
        </w:rPr>
        <w:fldChar w:fldCharType="separate"/>
      </w:r>
      <w:r>
        <w:rPr>
          <w:sz w:val="24"/>
          <w:szCs w:val="24"/>
        </w:rPr>
        <w:t>22</w:t>
      </w:r>
      <w:r>
        <w:rPr>
          <w:rFonts w:hint="eastAsia"/>
          <w:sz w:val="24"/>
          <w:szCs w:val="24"/>
        </w:rPr>
        <w:fldChar w:fldCharType="end"/>
      </w:r>
      <w:r>
        <w:rPr>
          <w:rFonts w:hint="eastAsia"/>
          <w:sz w:val="24"/>
          <w:szCs w:val="24"/>
        </w:rPr>
        <w:fldChar w:fldCharType="end"/>
      </w:r>
    </w:p>
    <w:p>
      <w:pPr>
        <w:pStyle w:val="28"/>
        <w:tabs>
          <w:tab w:val="right" w:leader="dot" w:pos="8302"/>
        </w:tabs>
        <w:spacing w:line="300" w:lineRule="exact"/>
        <w:ind w:left="640"/>
        <w:rPr>
          <w:rFonts w:hAnsiTheme="minorHAnsi" w:cstheme="minorBidi"/>
          <w:kern w:val="2"/>
          <w:sz w:val="24"/>
          <w:szCs w:val="24"/>
        </w:rPr>
      </w:pPr>
      <w:r>
        <w:fldChar w:fldCharType="begin"/>
      </w:r>
      <w:r>
        <w:instrText xml:space="preserve"> HYPERLINK \l "_Toc119336549" </w:instrText>
      </w:r>
      <w:r>
        <w:fldChar w:fldCharType="separate"/>
      </w:r>
      <w:r>
        <w:rPr>
          <w:rStyle w:val="39"/>
          <w:rFonts w:hint="eastAsia" w:hAnsi="黑体"/>
          <w:sz w:val="24"/>
          <w:szCs w:val="24"/>
        </w:rPr>
        <w:t>4.3 加强隐患排查治理</w:t>
      </w:r>
      <w:r>
        <w:rPr>
          <w:rFonts w:hint="eastAsia"/>
          <w:sz w:val="24"/>
          <w:szCs w:val="24"/>
        </w:rPr>
        <w:tab/>
      </w:r>
      <w:r>
        <w:rPr>
          <w:rFonts w:hint="eastAsia"/>
          <w:sz w:val="24"/>
          <w:szCs w:val="24"/>
        </w:rPr>
        <w:fldChar w:fldCharType="begin"/>
      </w:r>
      <w:r>
        <w:rPr>
          <w:rFonts w:hint="eastAsia"/>
          <w:sz w:val="24"/>
          <w:szCs w:val="24"/>
        </w:rPr>
        <w:instrText xml:space="preserve"> PAGEREF _Toc119336549 \h </w:instrText>
      </w:r>
      <w:r>
        <w:rPr>
          <w:rFonts w:hint="eastAsia"/>
          <w:sz w:val="24"/>
          <w:szCs w:val="24"/>
        </w:rPr>
        <w:fldChar w:fldCharType="separate"/>
      </w:r>
      <w:r>
        <w:rPr>
          <w:sz w:val="24"/>
          <w:szCs w:val="24"/>
        </w:rPr>
        <w:t>25</w:t>
      </w:r>
      <w:r>
        <w:rPr>
          <w:rFonts w:hint="eastAsia"/>
          <w:sz w:val="24"/>
          <w:szCs w:val="24"/>
        </w:rPr>
        <w:fldChar w:fldCharType="end"/>
      </w:r>
      <w:r>
        <w:rPr>
          <w:rFonts w:hint="eastAsia"/>
          <w:sz w:val="24"/>
          <w:szCs w:val="24"/>
        </w:rPr>
        <w:fldChar w:fldCharType="end"/>
      </w:r>
    </w:p>
    <w:p>
      <w:pPr>
        <w:pStyle w:val="28"/>
        <w:tabs>
          <w:tab w:val="right" w:leader="dot" w:pos="8302"/>
        </w:tabs>
        <w:spacing w:line="300" w:lineRule="exact"/>
        <w:ind w:left="640"/>
        <w:rPr>
          <w:rFonts w:hAnsiTheme="minorHAnsi" w:cstheme="minorBidi"/>
          <w:kern w:val="2"/>
          <w:sz w:val="24"/>
          <w:szCs w:val="24"/>
        </w:rPr>
      </w:pPr>
      <w:r>
        <w:fldChar w:fldCharType="begin"/>
      </w:r>
      <w:r>
        <w:instrText xml:space="preserve"> HYPERLINK \l "_Toc119336550" </w:instrText>
      </w:r>
      <w:r>
        <w:fldChar w:fldCharType="separate"/>
      </w:r>
      <w:r>
        <w:rPr>
          <w:rStyle w:val="39"/>
          <w:rFonts w:hint="eastAsia" w:hAnsi="黑体"/>
          <w:sz w:val="24"/>
          <w:szCs w:val="24"/>
        </w:rPr>
        <w:t>4.4 加强防范措施监管</w:t>
      </w:r>
      <w:r>
        <w:rPr>
          <w:rFonts w:hint="eastAsia"/>
          <w:sz w:val="24"/>
          <w:szCs w:val="24"/>
        </w:rPr>
        <w:tab/>
      </w:r>
      <w:r>
        <w:rPr>
          <w:rFonts w:hint="eastAsia"/>
          <w:sz w:val="24"/>
          <w:szCs w:val="24"/>
        </w:rPr>
        <w:fldChar w:fldCharType="begin"/>
      </w:r>
      <w:r>
        <w:rPr>
          <w:rFonts w:hint="eastAsia"/>
          <w:sz w:val="24"/>
          <w:szCs w:val="24"/>
        </w:rPr>
        <w:instrText xml:space="preserve"> PAGEREF _Toc119336550 \h </w:instrText>
      </w:r>
      <w:r>
        <w:rPr>
          <w:rFonts w:hint="eastAsia"/>
          <w:sz w:val="24"/>
          <w:szCs w:val="24"/>
        </w:rPr>
        <w:fldChar w:fldCharType="separate"/>
      </w:r>
      <w:r>
        <w:rPr>
          <w:sz w:val="24"/>
          <w:szCs w:val="24"/>
        </w:rPr>
        <w:t>29</w:t>
      </w:r>
      <w:r>
        <w:rPr>
          <w:rFonts w:hint="eastAsia"/>
          <w:sz w:val="24"/>
          <w:szCs w:val="24"/>
        </w:rPr>
        <w:fldChar w:fldCharType="end"/>
      </w:r>
      <w:r>
        <w:rPr>
          <w:rFonts w:hint="eastAsia"/>
          <w:sz w:val="24"/>
          <w:szCs w:val="24"/>
        </w:rPr>
        <w:fldChar w:fldCharType="end"/>
      </w:r>
    </w:p>
    <w:p>
      <w:pPr>
        <w:pStyle w:val="28"/>
        <w:tabs>
          <w:tab w:val="right" w:leader="dot" w:pos="8302"/>
        </w:tabs>
        <w:spacing w:line="300" w:lineRule="exact"/>
        <w:ind w:left="640"/>
        <w:rPr>
          <w:rFonts w:hAnsiTheme="minorHAnsi" w:cstheme="minorBidi"/>
          <w:kern w:val="2"/>
          <w:sz w:val="24"/>
          <w:szCs w:val="24"/>
        </w:rPr>
      </w:pPr>
      <w:r>
        <w:fldChar w:fldCharType="begin"/>
      </w:r>
      <w:r>
        <w:instrText xml:space="preserve"> HYPERLINK \l "_Toc119336551" </w:instrText>
      </w:r>
      <w:r>
        <w:fldChar w:fldCharType="separate"/>
      </w:r>
      <w:r>
        <w:rPr>
          <w:rStyle w:val="39"/>
          <w:rFonts w:hint="eastAsia" w:hAnsi="黑体"/>
          <w:sz w:val="24"/>
          <w:szCs w:val="24"/>
        </w:rPr>
        <w:t>4.5 加强水利安全生产标准化建设</w:t>
      </w:r>
      <w:r>
        <w:rPr>
          <w:rFonts w:hint="eastAsia"/>
          <w:sz w:val="24"/>
          <w:szCs w:val="24"/>
        </w:rPr>
        <w:tab/>
      </w:r>
      <w:r>
        <w:rPr>
          <w:rFonts w:hint="eastAsia"/>
          <w:sz w:val="24"/>
          <w:szCs w:val="24"/>
        </w:rPr>
        <w:fldChar w:fldCharType="begin"/>
      </w:r>
      <w:r>
        <w:rPr>
          <w:rFonts w:hint="eastAsia"/>
          <w:sz w:val="24"/>
          <w:szCs w:val="24"/>
        </w:rPr>
        <w:instrText xml:space="preserve"> PAGEREF _Toc119336551 \h </w:instrText>
      </w:r>
      <w:r>
        <w:rPr>
          <w:rFonts w:hint="eastAsia"/>
          <w:sz w:val="24"/>
          <w:szCs w:val="24"/>
        </w:rPr>
        <w:fldChar w:fldCharType="separate"/>
      </w:r>
      <w:r>
        <w:rPr>
          <w:sz w:val="24"/>
          <w:szCs w:val="24"/>
        </w:rPr>
        <w:t>29</w:t>
      </w:r>
      <w:r>
        <w:rPr>
          <w:rFonts w:hint="eastAsia"/>
          <w:sz w:val="24"/>
          <w:szCs w:val="24"/>
        </w:rPr>
        <w:fldChar w:fldCharType="end"/>
      </w:r>
      <w:r>
        <w:rPr>
          <w:rFonts w:hint="eastAsia"/>
          <w:sz w:val="24"/>
          <w:szCs w:val="24"/>
        </w:rPr>
        <w:fldChar w:fldCharType="end"/>
      </w:r>
    </w:p>
    <w:p>
      <w:pPr>
        <w:pStyle w:val="28"/>
        <w:tabs>
          <w:tab w:val="right" w:leader="dot" w:pos="8302"/>
        </w:tabs>
        <w:spacing w:line="300" w:lineRule="exact"/>
        <w:ind w:left="640"/>
        <w:rPr>
          <w:rFonts w:hAnsiTheme="minorHAnsi" w:cstheme="minorBidi"/>
          <w:kern w:val="2"/>
          <w:sz w:val="24"/>
          <w:szCs w:val="24"/>
        </w:rPr>
      </w:pPr>
      <w:r>
        <w:fldChar w:fldCharType="begin"/>
      </w:r>
      <w:r>
        <w:instrText xml:space="preserve"> HYPERLINK \l "_Toc119336552" </w:instrText>
      </w:r>
      <w:r>
        <w:fldChar w:fldCharType="separate"/>
      </w:r>
      <w:r>
        <w:rPr>
          <w:rStyle w:val="39"/>
          <w:rFonts w:hint="eastAsia" w:hAnsi="黑体"/>
          <w:sz w:val="24"/>
          <w:szCs w:val="24"/>
        </w:rPr>
        <w:t>4.6 强化风险源头控制</w:t>
      </w:r>
      <w:r>
        <w:rPr>
          <w:rFonts w:hint="eastAsia"/>
          <w:sz w:val="24"/>
          <w:szCs w:val="24"/>
        </w:rPr>
        <w:tab/>
      </w:r>
      <w:r>
        <w:rPr>
          <w:rFonts w:hint="eastAsia"/>
          <w:sz w:val="24"/>
          <w:szCs w:val="24"/>
        </w:rPr>
        <w:fldChar w:fldCharType="begin"/>
      </w:r>
      <w:r>
        <w:rPr>
          <w:rFonts w:hint="eastAsia"/>
          <w:sz w:val="24"/>
          <w:szCs w:val="24"/>
        </w:rPr>
        <w:instrText xml:space="preserve"> PAGEREF _Toc119336552 \h </w:instrText>
      </w:r>
      <w:r>
        <w:rPr>
          <w:rFonts w:hint="eastAsia"/>
          <w:sz w:val="24"/>
          <w:szCs w:val="24"/>
        </w:rPr>
        <w:fldChar w:fldCharType="separate"/>
      </w:r>
      <w:r>
        <w:rPr>
          <w:sz w:val="24"/>
          <w:szCs w:val="24"/>
        </w:rPr>
        <w:t>30</w:t>
      </w:r>
      <w:r>
        <w:rPr>
          <w:rFonts w:hint="eastAsia"/>
          <w:sz w:val="24"/>
          <w:szCs w:val="24"/>
        </w:rPr>
        <w:fldChar w:fldCharType="end"/>
      </w:r>
      <w:r>
        <w:rPr>
          <w:rFonts w:hint="eastAsia"/>
          <w:sz w:val="24"/>
          <w:szCs w:val="24"/>
        </w:rPr>
        <w:fldChar w:fldCharType="end"/>
      </w:r>
    </w:p>
    <w:p>
      <w:pPr>
        <w:pStyle w:val="23"/>
        <w:tabs>
          <w:tab w:val="right" w:leader="dot" w:pos="8302"/>
        </w:tabs>
        <w:spacing w:line="300" w:lineRule="exact"/>
        <w:rPr>
          <w:rFonts w:hAnsiTheme="minorHAnsi" w:cstheme="minorBidi"/>
          <w:kern w:val="2"/>
          <w:sz w:val="24"/>
          <w:szCs w:val="24"/>
        </w:rPr>
      </w:pPr>
      <w:r>
        <w:fldChar w:fldCharType="begin"/>
      </w:r>
      <w:r>
        <w:instrText xml:space="preserve"> HYPERLINK \l "_Toc119336553" </w:instrText>
      </w:r>
      <w:r>
        <w:fldChar w:fldCharType="separate"/>
      </w:r>
      <w:r>
        <w:rPr>
          <w:rStyle w:val="39"/>
          <w:rFonts w:hint="eastAsia" w:hAnsi="黑体"/>
          <w:b/>
          <w:bCs/>
          <w:sz w:val="24"/>
          <w:szCs w:val="24"/>
        </w:rPr>
        <w:t>5 风险预警</w:t>
      </w:r>
      <w:r>
        <w:rPr>
          <w:rFonts w:hint="eastAsia"/>
          <w:sz w:val="24"/>
          <w:szCs w:val="24"/>
        </w:rPr>
        <w:tab/>
      </w:r>
      <w:r>
        <w:rPr>
          <w:rFonts w:hint="eastAsia"/>
          <w:sz w:val="24"/>
          <w:szCs w:val="24"/>
        </w:rPr>
        <w:fldChar w:fldCharType="begin"/>
      </w:r>
      <w:r>
        <w:rPr>
          <w:rFonts w:hint="eastAsia"/>
          <w:sz w:val="24"/>
          <w:szCs w:val="24"/>
        </w:rPr>
        <w:instrText xml:space="preserve"> PAGEREF _Toc119336553 \h </w:instrText>
      </w:r>
      <w:r>
        <w:rPr>
          <w:rFonts w:hint="eastAsia"/>
          <w:sz w:val="24"/>
          <w:szCs w:val="24"/>
        </w:rPr>
        <w:fldChar w:fldCharType="separate"/>
      </w:r>
      <w:r>
        <w:rPr>
          <w:sz w:val="24"/>
          <w:szCs w:val="24"/>
        </w:rPr>
        <w:t>30</w:t>
      </w:r>
      <w:r>
        <w:rPr>
          <w:rFonts w:hint="eastAsia"/>
          <w:sz w:val="24"/>
          <w:szCs w:val="24"/>
        </w:rPr>
        <w:fldChar w:fldCharType="end"/>
      </w:r>
      <w:r>
        <w:rPr>
          <w:rFonts w:hint="eastAsia"/>
          <w:sz w:val="24"/>
          <w:szCs w:val="24"/>
        </w:rPr>
        <w:fldChar w:fldCharType="end"/>
      </w:r>
    </w:p>
    <w:p>
      <w:pPr>
        <w:pStyle w:val="28"/>
        <w:tabs>
          <w:tab w:val="right" w:leader="dot" w:pos="8302"/>
        </w:tabs>
        <w:spacing w:line="300" w:lineRule="exact"/>
        <w:ind w:left="640"/>
        <w:rPr>
          <w:rFonts w:hAnsiTheme="minorHAnsi" w:cstheme="minorBidi"/>
          <w:kern w:val="2"/>
          <w:sz w:val="24"/>
          <w:szCs w:val="24"/>
        </w:rPr>
      </w:pPr>
      <w:r>
        <w:fldChar w:fldCharType="begin"/>
      </w:r>
      <w:r>
        <w:instrText xml:space="preserve"> HYPERLINK \l "_Toc119336554" </w:instrText>
      </w:r>
      <w:r>
        <w:fldChar w:fldCharType="separate"/>
      </w:r>
      <w:r>
        <w:rPr>
          <w:rStyle w:val="39"/>
          <w:rFonts w:hint="eastAsia" w:hAnsi="黑体"/>
          <w:sz w:val="24"/>
          <w:szCs w:val="24"/>
        </w:rPr>
        <w:t>5.1 风险预警分级</w:t>
      </w:r>
      <w:r>
        <w:rPr>
          <w:rFonts w:hint="eastAsia"/>
          <w:sz w:val="24"/>
          <w:szCs w:val="24"/>
        </w:rPr>
        <w:tab/>
      </w:r>
      <w:r>
        <w:rPr>
          <w:rFonts w:hint="eastAsia"/>
          <w:sz w:val="24"/>
          <w:szCs w:val="24"/>
        </w:rPr>
        <w:fldChar w:fldCharType="begin"/>
      </w:r>
      <w:r>
        <w:rPr>
          <w:rFonts w:hint="eastAsia"/>
          <w:sz w:val="24"/>
          <w:szCs w:val="24"/>
        </w:rPr>
        <w:instrText xml:space="preserve"> PAGEREF _Toc119336554 \h </w:instrText>
      </w:r>
      <w:r>
        <w:rPr>
          <w:rFonts w:hint="eastAsia"/>
          <w:sz w:val="24"/>
          <w:szCs w:val="24"/>
        </w:rPr>
        <w:fldChar w:fldCharType="separate"/>
      </w:r>
      <w:r>
        <w:rPr>
          <w:sz w:val="24"/>
          <w:szCs w:val="24"/>
        </w:rPr>
        <w:t>30</w:t>
      </w:r>
      <w:r>
        <w:rPr>
          <w:rFonts w:hint="eastAsia"/>
          <w:sz w:val="24"/>
          <w:szCs w:val="24"/>
        </w:rPr>
        <w:fldChar w:fldCharType="end"/>
      </w:r>
      <w:r>
        <w:rPr>
          <w:rFonts w:hint="eastAsia"/>
          <w:sz w:val="24"/>
          <w:szCs w:val="24"/>
        </w:rPr>
        <w:fldChar w:fldCharType="end"/>
      </w:r>
    </w:p>
    <w:p>
      <w:pPr>
        <w:pStyle w:val="28"/>
        <w:tabs>
          <w:tab w:val="right" w:leader="dot" w:pos="8302"/>
        </w:tabs>
        <w:spacing w:line="300" w:lineRule="exact"/>
        <w:ind w:left="640"/>
        <w:rPr>
          <w:rFonts w:hAnsiTheme="minorHAnsi" w:cstheme="minorBidi"/>
          <w:kern w:val="2"/>
          <w:sz w:val="24"/>
          <w:szCs w:val="24"/>
        </w:rPr>
      </w:pPr>
      <w:r>
        <w:fldChar w:fldCharType="begin"/>
      </w:r>
      <w:r>
        <w:instrText xml:space="preserve"> HYPERLINK \l "_Toc119336555" </w:instrText>
      </w:r>
      <w:r>
        <w:fldChar w:fldCharType="separate"/>
      </w:r>
      <w:r>
        <w:rPr>
          <w:rStyle w:val="39"/>
          <w:rFonts w:hint="eastAsia" w:hAnsi="黑体"/>
          <w:sz w:val="24"/>
          <w:szCs w:val="24"/>
        </w:rPr>
        <w:t>5.2 风险监测监控</w:t>
      </w:r>
      <w:r>
        <w:rPr>
          <w:rFonts w:hint="eastAsia"/>
          <w:sz w:val="24"/>
          <w:szCs w:val="24"/>
        </w:rPr>
        <w:tab/>
      </w:r>
      <w:r>
        <w:rPr>
          <w:rFonts w:hint="eastAsia"/>
          <w:sz w:val="24"/>
          <w:szCs w:val="24"/>
        </w:rPr>
        <w:fldChar w:fldCharType="begin"/>
      </w:r>
      <w:r>
        <w:rPr>
          <w:rFonts w:hint="eastAsia"/>
          <w:sz w:val="24"/>
          <w:szCs w:val="24"/>
        </w:rPr>
        <w:instrText xml:space="preserve"> PAGEREF _Toc119336555 \h </w:instrText>
      </w:r>
      <w:r>
        <w:rPr>
          <w:rFonts w:hint="eastAsia"/>
          <w:sz w:val="24"/>
          <w:szCs w:val="24"/>
        </w:rPr>
        <w:fldChar w:fldCharType="separate"/>
      </w:r>
      <w:r>
        <w:rPr>
          <w:sz w:val="24"/>
          <w:szCs w:val="24"/>
        </w:rPr>
        <w:t>31</w:t>
      </w:r>
      <w:r>
        <w:rPr>
          <w:rFonts w:hint="eastAsia"/>
          <w:sz w:val="24"/>
          <w:szCs w:val="24"/>
        </w:rPr>
        <w:fldChar w:fldCharType="end"/>
      </w:r>
      <w:r>
        <w:rPr>
          <w:rFonts w:hint="eastAsia"/>
          <w:sz w:val="24"/>
          <w:szCs w:val="24"/>
        </w:rPr>
        <w:fldChar w:fldCharType="end"/>
      </w:r>
    </w:p>
    <w:p>
      <w:pPr>
        <w:pStyle w:val="28"/>
        <w:tabs>
          <w:tab w:val="right" w:leader="dot" w:pos="8302"/>
        </w:tabs>
        <w:spacing w:line="300" w:lineRule="exact"/>
        <w:ind w:left="640"/>
        <w:rPr>
          <w:rFonts w:hAnsiTheme="minorHAnsi" w:cstheme="minorBidi"/>
          <w:kern w:val="2"/>
          <w:sz w:val="24"/>
          <w:szCs w:val="24"/>
        </w:rPr>
      </w:pPr>
      <w:r>
        <w:fldChar w:fldCharType="begin"/>
      </w:r>
      <w:r>
        <w:instrText xml:space="preserve"> HYPERLINK \l "_Toc119336556" </w:instrText>
      </w:r>
      <w:r>
        <w:fldChar w:fldCharType="separate"/>
      </w:r>
      <w:r>
        <w:rPr>
          <w:rStyle w:val="39"/>
          <w:rFonts w:hint="eastAsia" w:hAnsi="黑体"/>
          <w:sz w:val="24"/>
          <w:szCs w:val="24"/>
        </w:rPr>
        <w:t>5.3 及时实施预警</w:t>
      </w:r>
      <w:r>
        <w:rPr>
          <w:rFonts w:hint="eastAsia"/>
          <w:sz w:val="24"/>
          <w:szCs w:val="24"/>
        </w:rPr>
        <w:tab/>
      </w:r>
      <w:r>
        <w:rPr>
          <w:rFonts w:hint="eastAsia"/>
          <w:sz w:val="24"/>
          <w:szCs w:val="24"/>
        </w:rPr>
        <w:fldChar w:fldCharType="begin"/>
      </w:r>
      <w:r>
        <w:rPr>
          <w:rFonts w:hint="eastAsia"/>
          <w:sz w:val="24"/>
          <w:szCs w:val="24"/>
        </w:rPr>
        <w:instrText xml:space="preserve"> PAGEREF _Toc119336556 \h </w:instrText>
      </w:r>
      <w:r>
        <w:rPr>
          <w:rFonts w:hint="eastAsia"/>
          <w:sz w:val="24"/>
          <w:szCs w:val="24"/>
        </w:rPr>
        <w:fldChar w:fldCharType="separate"/>
      </w:r>
      <w:r>
        <w:rPr>
          <w:sz w:val="24"/>
          <w:szCs w:val="24"/>
        </w:rPr>
        <w:t>31</w:t>
      </w:r>
      <w:r>
        <w:rPr>
          <w:rFonts w:hint="eastAsia"/>
          <w:sz w:val="24"/>
          <w:szCs w:val="24"/>
        </w:rPr>
        <w:fldChar w:fldCharType="end"/>
      </w:r>
      <w:r>
        <w:rPr>
          <w:rFonts w:hint="eastAsia"/>
          <w:sz w:val="24"/>
          <w:szCs w:val="24"/>
        </w:rPr>
        <w:fldChar w:fldCharType="end"/>
      </w:r>
    </w:p>
    <w:p>
      <w:pPr>
        <w:pStyle w:val="28"/>
        <w:tabs>
          <w:tab w:val="right" w:leader="dot" w:pos="8302"/>
        </w:tabs>
        <w:spacing w:line="300" w:lineRule="exact"/>
        <w:ind w:left="640"/>
        <w:rPr>
          <w:rFonts w:hAnsiTheme="minorHAnsi" w:cstheme="minorBidi"/>
          <w:kern w:val="2"/>
          <w:sz w:val="24"/>
          <w:szCs w:val="24"/>
        </w:rPr>
      </w:pPr>
      <w:r>
        <w:fldChar w:fldCharType="begin"/>
      </w:r>
      <w:r>
        <w:instrText xml:space="preserve"> HYPERLINK \l "_Toc119336557" </w:instrText>
      </w:r>
      <w:r>
        <w:fldChar w:fldCharType="separate"/>
      </w:r>
      <w:r>
        <w:rPr>
          <w:rStyle w:val="39"/>
          <w:rFonts w:hint="eastAsia" w:hAnsi="黑体"/>
          <w:sz w:val="24"/>
          <w:szCs w:val="24"/>
        </w:rPr>
        <w:t>5.4 提升监测预警能力</w:t>
      </w:r>
      <w:r>
        <w:rPr>
          <w:rFonts w:hint="eastAsia"/>
          <w:sz w:val="24"/>
          <w:szCs w:val="24"/>
        </w:rPr>
        <w:tab/>
      </w:r>
      <w:r>
        <w:rPr>
          <w:rFonts w:hint="eastAsia"/>
          <w:sz w:val="24"/>
          <w:szCs w:val="24"/>
        </w:rPr>
        <w:fldChar w:fldCharType="begin"/>
      </w:r>
      <w:r>
        <w:rPr>
          <w:rFonts w:hint="eastAsia"/>
          <w:sz w:val="24"/>
          <w:szCs w:val="24"/>
        </w:rPr>
        <w:instrText xml:space="preserve"> PAGEREF _Toc119336557 \h </w:instrText>
      </w:r>
      <w:r>
        <w:rPr>
          <w:rFonts w:hint="eastAsia"/>
          <w:sz w:val="24"/>
          <w:szCs w:val="24"/>
        </w:rPr>
        <w:fldChar w:fldCharType="separate"/>
      </w:r>
      <w:r>
        <w:rPr>
          <w:sz w:val="24"/>
          <w:szCs w:val="24"/>
        </w:rPr>
        <w:t>32</w:t>
      </w:r>
      <w:r>
        <w:rPr>
          <w:rFonts w:hint="eastAsia"/>
          <w:sz w:val="24"/>
          <w:szCs w:val="24"/>
        </w:rPr>
        <w:fldChar w:fldCharType="end"/>
      </w:r>
      <w:r>
        <w:rPr>
          <w:rFonts w:hint="eastAsia"/>
          <w:sz w:val="24"/>
          <w:szCs w:val="24"/>
        </w:rPr>
        <w:fldChar w:fldCharType="end"/>
      </w:r>
    </w:p>
    <w:p>
      <w:pPr>
        <w:pStyle w:val="23"/>
        <w:tabs>
          <w:tab w:val="right" w:leader="dot" w:pos="8302"/>
        </w:tabs>
        <w:spacing w:line="300" w:lineRule="exact"/>
        <w:rPr>
          <w:rFonts w:hAnsiTheme="minorHAnsi" w:cstheme="minorBidi"/>
          <w:kern w:val="2"/>
          <w:sz w:val="24"/>
          <w:szCs w:val="24"/>
        </w:rPr>
      </w:pPr>
      <w:r>
        <w:fldChar w:fldCharType="begin"/>
      </w:r>
      <w:r>
        <w:instrText xml:space="preserve"> HYPERLINK \l "_Toc119336558" </w:instrText>
      </w:r>
      <w:r>
        <w:fldChar w:fldCharType="separate"/>
      </w:r>
      <w:r>
        <w:rPr>
          <w:rStyle w:val="39"/>
          <w:rFonts w:hint="eastAsia" w:hAnsi="黑体"/>
          <w:b/>
          <w:bCs/>
          <w:sz w:val="24"/>
          <w:szCs w:val="24"/>
        </w:rPr>
        <w:t>6 风险处置</w:t>
      </w:r>
      <w:r>
        <w:rPr>
          <w:rFonts w:hint="eastAsia"/>
          <w:sz w:val="24"/>
          <w:szCs w:val="24"/>
        </w:rPr>
        <w:tab/>
      </w:r>
      <w:r>
        <w:rPr>
          <w:rFonts w:hint="eastAsia"/>
          <w:sz w:val="24"/>
          <w:szCs w:val="24"/>
        </w:rPr>
        <w:fldChar w:fldCharType="begin"/>
      </w:r>
      <w:r>
        <w:rPr>
          <w:rFonts w:hint="eastAsia"/>
          <w:sz w:val="24"/>
          <w:szCs w:val="24"/>
        </w:rPr>
        <w:instrText xml:space="preserve"> PAGEREF _Toc119336558 \h </w:instrText>
      </w:r>
      <w:r>
        <w:rPr>
          <w:rFonts w:hint="eastAsia"/>
          <w:sz w:val="24"/>
          <w:szCs w:val="24"/>
        </w:rPr>
        <w:fldChar w:fldCharType="separate"/>
      </w:r>
      <w:r>
        <w:rPr>
          <w:sz w:val="24"/>
          <w:szCs w:val="24"/>
        </w:rPr>
        <w:t>32</w:t>
      </w:r>
      <w:r>
        <w:rPr>
          <w:rFonts w:hint="eastAsia"/>
          <w:sz w:val="24"/>
          <w:szCs w:val="24"/>
        </w:rPr>
        <w:fldChar w:fldCharType="end"/>
      </w:r>
      <w:r>
        <w:rPr>
          <w:rFonts w:hint="eastAsia"/>
          <w:sz w:val="24"/>
          <w:szCs w:val="24"/>
        </w:rPr>
        <w:fldChar w:fldCharType="end"/>
      </w:r>
    </w:p>
    <w:p>
      <w:pPr>
        <w:pStyle w:val="28"/>
        <w:tabs>
          <w:tab w:val="right" w:leader="dot" w:pos="8302"/>
        </w:tabs>
        <w:spacing w:line="300" w:lineRule="exact"/>
        <w:ind w:left="640"/>
        <w:rPr>
          <w:rFonts w:hAnsiTheme="minorHAnsi" w:cstheme="minorBidi"/>
          <w:kern w:val="2"/>
          <w:sz w:val="24"/>
          <w:szCs w:val="24"/>
        </w:rPr>
      </w:pPr>
      <w:r>
        <w:fldChar w:fldCharType="begin"/>
      </w:r>
      <w:r>
        <w:instrText xml:space="preserve"> HYPERLINK \l "_Toc119336559" </w:instrText>
      </w:r>
      <w:r>
        <w:fldChar w:fldCharType="separate"/>
      </w:r>
      <w:r>
        <w:rPr>
          <w:rStyle w:val="39"/>
          <w:rFonts w:hint="eastAsia" w:hAnsi="黑体"/>
          <w:sz w:val="24"/>
          <w:szCs w:val="24"/>
        </w:rPr>
        <w:t>6.1 健全完善应急预案</w:t>
      </w:r>
      <w:r>
        <w:rPr>
          <w:rFonts w:hint="eastAsia"/>
          <w:sz w:val="24"/>
          <w:szCs w:val="24"/>
        </w:rPr>
        <w:tab/>
      </w:r>
      <w:r>
        <w:rPr>
          <w:rFonts w:hint="eastAsia"/>
          <w:sz w:val="24"/>
          <w:szCs w:val="24"/>
        </w:rPr>
        <w:fldChar w:fldCharType="begin"/>
      </w:r>
      <w:r>
        <w:rPr>
          <w:rFonts w:hint="eastAsia"/>
          <w:sz w:val="24"/>
          <w:szCs w:val="24"/>
        </w:rPr>
        <w:instrText xml:space="preserve"> PAGEREF _Toc119336559 \h </w:instrText>
      </w:r>
      <w:r>
        <w:rPr>
          <w:rFonts w:hint="eastAsia"/>
          <w:sz w:val="24"/>
          <w:szCs w:val="24"/>
        </w:rPr>
        <w:fldChar w:fldCharType="separate"/>
      </w:r>
      <w:r>
        <w:rPr>
          <w:sz w:val="24"/>
          <w:szCs w:val="24"/>
        </w:rPr>
        <w:t>33</w:t>
      </w:r>
      <w:r>
        <w:rPr>
          <w:rFonts w:hint="eastAsia"/>
          <w:sz w:val="24"/>
          <w:szCs w:val="24"/>
        </w:rPr>
        <w:fldChar w:fldCharType="end"/>
      </w:r>
      <w:r>
        <w:rPr>
          <w:rFonts w:hint="eastAsia"/>
          <w:sz w:val="24"/>
          <w:szCs w:val="24"/>
        </w:rPr>
        <w:fldChar w:fldCharType="end"/>
      </w:r>
    </w:p>
    <w:p>
      <w:pPr>
        <w:pStyle w:val="28"/>
        <w:tabs>
          <w:tab w:val="right" w:leader="dot" w:pos="8302"/>
        </w:tabs>
        <w:spacing w:line="300" w:lineRule="exact"/>
        <w:ind w:left="640"/>
        <w:rPr>
          <w:rFonts w:hAnsiTheme="minorHAnsi" w:cstheme="minorBidi"/>
          <w:kern w:val="2"/>
          <w:sz w:val="24"/>
          <w:szCs w:val="24"/>
        </w:rPr>
      </w:pPr>
      <w:r>
        <w:fldChar w:fldCharType="begin"/>
      </w:r>
      <w:r>
        <w:instrText xml:space="preserve"> HYPERLINK \l "_Toc119336560" </w:instrText>
      </w:r>
      <w:r>
        <w:fldChar w:fldCharType="separate"/>
      </w:r>
      <w:r>
        <w:rPr>
          <w:rStyle w:val="39"/>
          <w:rFonts w:hint="eastAsia" w:hAnsi="黑体"/>
          <w:sz w:val="24"/>
          <w:szCs w:val="24"/>
        </w:rPr>
        <w:t>6.2 快速有效开展应急处置</w:t>
      </w:r>
      <w:r>
        <w:rPr>
          <w:rFonts w:hint="eastAsia"/>
          <w:sz w:val="24"/>
          <w:szCs w:val="24"/>
        </w:rPr>
        <w:tab/>
      </w:r>
      <w:r>
        <w:rPr>
          <w:rFonts w:hint="eastAsia"/>
          <w:sz w:val="24"/>
          <w:szCs w:val="24"/>
        </w:rPr>
        <w:fldChar w:fldCharType="begin"/>
      </w:r>
      <w:r>
        <w:rPr>
          <w:rFonts w:hint="eastAsia"/>
          <w:sz w:val="24"/>
          <w:szCs w:val="24"/>
        </w:rPr>
        <w:instrText xml:space="preserve"> PAGEREF _Toc119336560 \h </w:instrText>
      </w:r>
      <w:r>
        <w:rPr>
          <w:rFonts w:hint="eastAsia"/>
          <w:sz w:val="24"/>
          <w:szCs w:val="24"/>
        </w:rPr>
        <w:fldChar w:fldCharType="separate"/>
      </w:r>
      <w:r>
        <w:rPr>
          <w:sz w:val="24"/>
          <w:szCs w:val="24"/>
        </w:rPr>
        <w:t>33</w:t>
      </w:r>
      <w:r>
        <w:rPr>
          <w:rFonts w:hint="eastAsia"/>
          <w:sz w:val="24"/>
          <w:szCs w:val="24"/>
        </w:rPr>
        <w:fldChar w:fldCharType="end"/>
      </w:r>
      <w:r>
        <w:rPr>
          <w:rFonts w:hint="eastAsia"/>
          <w:sz w:val="24"/>
          <w:szCs w:val="24"/>
        </w:rPr>
        <w:fldChar w:fldCharType="end"/>
      </w:r>
    </w:p>
    <w:p>
      <w:pPr>
        <w:pStyle w:val="28"/>
        <w:tabs>
          <w:tab w:val="right" w:leader="dot" w:pos="8302"/>
        </w:tabs>
        <w:spacing w:line="300" w:lineRule="exact"/>
        <w:ind w:left="640"/>
        <w:rPr>
          <w:rFonts w:hAnsiTheme="minorHAnsi" w:cstheme="minorBidi"/>
          <w:kern w:val="2"/>
          <w:sz w:val="24"/>
          <w:szCs w:val="24"/>
        </w:rPr>
      </w:pPr>
      <w:r>
        <w:fldChar w:fldCharType="begin"/>
      </w:r>
      <w:r>
        <w:instrText xml:space="preserve"> HYPERLINK \l "_Toc119336561" </w:instrText>
      </w:r>
      <w:r>
        <w:fldChar w:fldCharType="separate"/>
      </w:r>
      <w:r>
        <w:rPr>
          <w:rStyle w:val="39"/>
          <w:rFonts w:hint="eastAsia" w:hAnsi="黑体"/>
          <w:sz w:val="24"/>
          <w:szCs w:val="24"/>
        </w:rPr>
        <w:t>6.3 加强应急保障能力建设</w:t>
      </w:r>
      <w:r>
        <w:rPr>
          <w:rFonts w:hint="eastAsia"/>
          <w:sz w:val="24"/>
          <w:szCs w:val="24"/>
        </w:rPr>
        <w:tab/>
      </w:r>
      <w:r>
        <w:rPr>
          <w:rFonts w:hint="eastAsia"/>
          <w:sz w:val="24"/>
          <w:szCs w:val="24"/>
        </w:rPr>
        <w:fldChar w:fldCharType="begin"/>
      </w:r>
      <w:r>
        <w:rPr>
          <w:rFonts w:hint="eastAsia"/>
          <w:sz w:val="24"/>
          <w:szCs w:val="24"/>
        </w:rPr>
        <w:instrText xml:space="preserve"> PAGEREF _Toc119336561 \h </w:instrText>
      </w:r>
      <w:r>
        <w:rPr>
          <w:rFonts w:hint="eastAsia"/>
          <w:sz w:val="24"/>
          <w:szCs w:val="24"/>
        </w:rPr>
        <w:fldChar w:fldCharType="separate"/>
      </w:r>
      <w:r>
        <w:rPr>
          <w:sz w:val="24"/>
          <w:szCs w:val="24"/>
        </w:rPr>
        <w:t>33</w:t>
      </w:r>
      <w:r>
        <w:rPr>
          <w:rFonts w:hint="eastAsia"/>
          <w:sz w:val="24"/>
          <w:szCs w:val="24"/>
        </w:rPr>
        <w:fldChar w:fldCharType="end"/>
      </w:r>
      <w:r>
        <w:rPr>
          <w:rFonts w:hint="eastAsia"/>
          <w:sz w:val="24"/>
          <w:szCs w:val="24"/>
        </w:rPr>
        <w:fldChar w:fldCharType="end"/>
      </w:r>
    </w:p>
    <w:p>
      <w:pPr>
        <w:pStyle w:val="23"/>
        <w:tabs>
          <w:tab w:val="right" w:leader="dot" w:pos="8302"/>
        </w:tabs>
        <w:spacing w:line="300" w:lineRule="exact"/>
        <w:rPr>
          <w:rFonts w:hAnsiTheme="minorHAnsi" w:cstheme="minorBidi"/>
          <w:kern w:val="2"/>
          <w:sz w:val="24"/>
          <w:szCs w:val="24"/>
        </w:rPr>
      </w:pPr>
      <w:r>
        <w:fldChar w:fldCharType="begin"/>
      </w:r>
      <w:r>
        <w:instrText xml:space="preserve"> HYPERLINK \l "_Toc119336562" </w:instrText>
      </w:r>
      <w:r>
        <w:fldChar w:fldCharType="separate"/>
      </w:r>
      <w:r>
        <w:rPr>
          <w:rStyle w:val="39"/>
          <w:rFonts w:hint="eastAsia" w:hAnsi="黑体"/>
          <w:b/>
          <w:bCs/>
          <w:sz w:val="24"/>
          <w:szCs w:val="24"/>
        </w:rPr>
        <w:t>7 风险责任</w:t>
      </w:r>
      <w:r>
        <w:rPr>
          <w:rFonts w:hint="eastAsia"/>
          <w:sz w:val="24"/>
          <w:szCs w:val="24"/>
        </w:rPr>
        <w:tab/>
      </w:r>
      <w:r>
        <w:rPr>
          <w:rFonts w:hint="eastAsia"/>
          <w:sz w:val="24"/>
          <w:szCs w:val="24"/>
        </w:rPr>
        <w:fldChar w:fldCharType="begin"/>
      </w:r>
      <w:r>
        <w:rPr>
          <w:rFonts w:hint="eastAsia"/>
          <w:sz w:val="24"/>
          <w:szCs w:val="24"/>
        </w:rPr>
        <w:instrText xml:space="preserve"> PAGEREF _Toc119336562 \h </w:instrText>
      </w:r>
      <w:r>
        <w:rPr>
          <w:rFonts w:hint="eastAsia"/>
          <w:sz w:val="24"/>
          <w:szCs w:val="24"/>
        </w:rPr>
        <w:fldChar w:fldCharType="separate"/>
      </w:r>
      <w:r>
        <w:rPr>
          <w:sz w:val="24"/>
          <w:szCs w:val="24"/>
        </w:rPr>
        <w:t>33</w:t>
      </w:r>
      <w:r>
        <w:rPr>
          <w:rFonts w:hint="eastAsia"/>
          <w:sz w:val="24"/>
          <w:szCs w:val="24"/>
        </w:rPr>
        <w:fldChar w:fldCharType="end"/>
      </w:r>
      <w:r>
        <w:rPr>
          <w:rFonts w:hint="eastAsia"/>
          <w:sz w:val="24"/>
          <w:szCs w:val="24"/>
        </w:rPr>
        <w:fldChar w:fldCharType="end"/>
      </w:r>
    </w:p>
    <w:p>
      <w:pPr>
        <w:pStyle w:val="28"/>
        <w:tabs>
          <w:tab w:val="right" w:leader="dot" w:pos="8302"/>
        </w:tabs>
        <w:spacing w:line="300" w:lineRule="exact"/>
        <w:ind w:left="640"/>
        <w:rPr>
          <w:rFonts w:hAnsiTheme="minorHAnsi" w:cstheme="minorBidi"/>
          <w:kern w:val="2"/>
          <w:sz w:val="24"/>
          <w:szCs w:val="24"/>
        </w:rPr>
      </w:pPr>
      <w:r>
        <w:fldChar w:fldCharType="begin"/>
      </w:r>
      <w:r>
        <w:instrText xml:space="preserve"> HYPERLINK \l "_Toc119336563" </w:instrText>
      </w:r>
      <w:r>
        <w:fldChar w:fldCharType="separate"/>
      </w:r>
      <w:r>
        <w:rPr>
          <w:rStyle w:val="39"/>
          <w:rFonts w:hint="eastAsia" w:hAnsi="黑体"/>
          <w:sz w:val="24"/>
          <w:szCs w:val="24"/>
        </w:rPr>
        <w:t>7.1 严格落实主体责任</w:t>
      </w:r>
      <w:r>
        <w:rPr>
          <w:rFonts w:hint="eastAsia"/>
          <w:sz w:val="24"/>
          <w:szCs w:val="24"/>
        </w:rPr>
        <w:tab/>
      </w:r>
      <w:r>
        <w:rPr>
          <w:rFonts w:hint="eastAsia"/>
          <w:sz w:val="24"/>
          <w:szCs w:val="24"/>
        </w:rPr>
        <w:fldChar w:fldCharType="begin"/>
      </w:r>
      <w:r>
        <w:rPr>
          <w:rFonts w:hint="eastAsia"/>
          <w:sz w:val="24"/>
          <w:szCs w:val="24"/>
        </w:rPr>
        <w:instrText xml:space="preserve"> PAGEREF _Toc119336563 \h </w:instrText>
      </w:r>
      <w:r>
        <w:rPr>
          <w:rFonts w:hint="eastAsia"/>
          <w:sz w:val="24"/>
          <w:szCs w:val="24"/>
        </w:rPr>
        <w:fldChar w:fldCharType="separate"/>
      </w:r>
      <w:r>
        <w:rPr>
          <w:sz w:val="24"/>
          <w:szCs w:val="24"/>
        </w:rPr>
        <w:t>34</w:t>
      </w:r>
      <w:r>
        <w:rPr>
          <w:rFonts w:hint="eastAsia"/>
          <w:sz w:val="24"/>
          <w:szCs w:val="24"/>
        </w:rPr>
        <w:fldChar w:fldCharType="end"/>
      </w:r>
      <w:r>
        <w:rPr>
          <w:rFonts w:hint="eastAsia"/>
          <w:sz w:val="24"/>
          <w:szCs w:val="24"/>
        </w:rPr>
        <w:fldChar w:fldCharType="end"/>
      </w:r>
    </w:p>
    <w:p>
      <w:pPr>
        <w:pStyle w:val="28"/>
        <w:tabs>
          <w:tab w:val="right" w:leader="dot" w:pos="8302"/>
        </w:tabs>
        <w:spacing w:line="300" w:lineRule="exact"/>
        <w:ind w:left="640"/>
        <w:rPr>
          <w:rFonts w:hAnsiTheme="minorHAnsi" w:cstheme="minorBidi"/>
          <w:kern w:val="2"/>
          <w:sz w:val="24"/>
          <w:szCs w:val="24"/>
        </w:rPr>
      </w:pPr>
      <w:r>
        <w:fldChar w:fldCharType="begin"/>
      </w:r>
      <w:r>
        <w:instrText xml:space="preserve"> HYPERLINK \l "_Toc119336564" </w:instrText>
      </w:r>
      <w:r>
        <w:fldChar w:fldCharType="separate"/>
      </w:r>
      <w:r>
        <w:rPr>
          <w:rStyle w:val="39"/>
          <w:rFonts w:hint="eastAsia" w:hAnsi="黑体"/>
          <w:sz w:val="24"/>
          <w:szCs w:val="24"/>
        </w:rPr>
        <w:t>7.2 严格落实监管责任</w:t>
      </w:r>
      <w:r>
        <w:rPr>
          <w:rFonts w:hint="eastAsia"/>
          <w:sz w:val="24"/>
          <w:szCs w:val="24"/>
        </w:rPr>
        <w:tab/>
      </w:r>
      <w:r>
        <w:rPr>
          <w:rFonts w:hint="eastAsia"/>
          <w:sz w:val="24"/>
          <w:szCs w:val="24"/>
        </w:rPr>
        <w:fldChar w:fldCharType="begin"/>
      </w:r>
      <w:r>
        <w:rPr>
          <w:rFonts w:hint="eastAsia"/>
          <w:sz w:val="24"/>
          <w:szCs w:val="24"/>
        </w:rPr>
        <w:instrText xml:space="preserve"> PAGEREF _Toc119336564 \h </w:instrText>
      </w:r>
      <w:r>
        <w:rPr>
          <w:rFonts w:hint="eastAsia"/>
          <w:sz w:val="24"/>
          <w:szCs w:val="24"/>
        </w:rPr>
        <w:fldChar w:fldCharType="separate"/>
      </w:r>
      <w:r>
        <w:rPr>
          <w:sz w:val="24"/>
          <w:szCs w:val="24"/>
        </w:rPr>
        <w:t>34</w:t>
      </w:r>
      <w:r>
        <w:rPr>
          <w:rFonts w:hint="eastAsia"/>
          <w:sz w:val="24"/>
          <w:szCs w:val="24"/>
        </w:rPr>
        <w:fldChar w:fldCharType="end"/>
      </w:r>
      <w:r>
        <w:rPr>
          <w:rFonts w:hint="eastAsia"/>
          <w:sz w:val="24"/>
          <w:szCs w:val="24"/>
        </w:rPr>
        <w:fldChar w:fldCharType="end"/>
      </w:r>
    </w:p>
    <w:p>
      <w:pPr>
        <w:pStyle w:val="28"/>
        <w:tabs>
          <w:tab w:val="right" w:leader="dot" w:pos="8302"/>
        </w:tabs>
        <w:spacing w:line="300" w:lineRule="exact"/>
        <w:ind w:left="640"/>
        <w:rPr>
          <w:rFonts w:hAnsiTheme="minorHAnsi" w:cstheme="minorBidi"/>
          <w:kern w:val="2"/>
          <w:sz w:val="24"/>
          <w:szCs w:val="24"/>
        </w:rPr>
      </w:pPr>
      <w:r>
        <w:fldChar w:fldCharType="begin"/>
      </w:r>
      <w:r>
        <w:instrText xml:space="preserve"> HYPERLINK \l "_Toc119336565" </w:instrText>
      </w:r>
      <w:r>
        <w:fldChar w:fldCharType="separate"/>
      </w:r>
      <w:r>
        <w:rPr>
          <w:rStyle w:val="39"/>
          <w:rFonts w:hint="eastAsia" w:hAnsi="黑体"/>
          <w:sz w:val="24"/>
          <w:szCs w:val="24"/>
        </w:rPr>
        <w:t>7.3 加大责任追究力度</w:t>
      </w:r>
      <w:r>
        <w:rPr>
          <w:rFonts w:hint="eastAsia"/>
          <w:sz w:val="24"/>
          <w:szCs w:val="24"/>
        </w:rPr>
        <w:tab/>
      </w:r>
      <w:r>
        <w:rPr>
          <w:rFonts w:hint="eastAsia"/>
          <w:sz w:val="24"/>
          <w:szCs w:val="24"/>
        </w:rPr>
        <w:fldChar w:fldCharType="begin"/>
      </w:r>
      <w:r>
        <w:rPr>
          <w:rFonts w:hint="eastAsia"/>
          <w:sz w:val="24"/>
          <w:szCs w:val="24"/>
        </w:rPr>
        <w:instrText xml:space="preserve"> PAGEREF _Toc119336565 \h </w:instrText>
      </w:r>
      <w:r>
        <w:rPr>
          <w:rFonts w:hint="eastAsia"/>
          <w:sz w:val="24"/>
          <w:szCs w:val="24"/>
        </w:rPr>
        <w:fldChar w:fldCharType="separate"/>
      </w:r>
      <w:r>
        <w:rPr>
          <w:sz w:val="24"/>
          <w:szCs w:val="24"/>
        </w:rPr>
        <w:t>34</w:t>
      </w:r>
      <w:r>
        <w:rPr>
          <w:rFonts w:hint="eastAsia"/>
          <w:sz w:val="24"/>
          <w:szCs w:val="24"/>
        </w:rPr>
        <w:fldChar w:fldCharType="end"/>
      </w:r>
      <w:r>
        <w:rPr>
          <w:rFonts w:hint="eastAsia"/>
          <w:sz w:val="24"/>
          <w:szCs w:val="24"/>
        </w:rPr>
        <w:fldChar w:fldCharType="end"/>
      </w:r>
    </w:p>
    <w:p>
      <w:pPr>
        <w:pStyle w:val="23"/>
        <w:tabs>
          <w:tab w:val="right" w:leader="dot" w:pos="8302"/>
        </w:tabs>
        <w:spacing w:line="300" w:lineRule="exact"/>
        <w:rPr>
          <w:rFonts w:hAnsiTheme="minorHAnsi" w:cstheme="minorBidi"/>
          <w:kern w:val="2"/>
          <w:sz w:val="24"/>
          <w:szCs w:val="24"/>
        </w:rPr>
      </w:pPr>
      <w:r>
        <w:fldChar w:fldCharType="begin"/>
      </w:r>
      <w:r>
        <w:instrText xml:space="preserve"> HYPERLINK \l "_Toc119336566" </w:instrText>
      </w:r>
      <w:r>
        <w:fldChar w:fldCharType="separate"/>
      </w:r>
      <w:r>
        <w:rPr>
          <w:rStyle w:val="39"/>
          <w:rFonts w:hint="eastAsia" w:hAnsi="黑体"/>
          <w:b/>
          <w:sz w:val="24"/>
          <w:szCs w:val="24"/>
        </w:rPr>
        <w:t>8 信息报告和处置</w:t>
      </w:r>
      <w:r>
        <w:rPr>
          <w:rFonts w:hint="eastAsia"/>
          <w:sz w:val="24"/>
          <w:szCs w:val="24"/>
        </w:rPr>
        <w:tab/>
      </w:r>
      <w:r>
        <w:rPr>
          <w:rFonts w:hint="eastAsia"/>
          <w:sz w:val="24"/>
          <w:szCs w:val="24"/>
        </w:rPr>
        <w:fldChar w:fldCharType="begin"/>
      </w:r>
      <w:r>
        <w:rPr>
          <w:rFonts w:hint="eastAsia"/>
          <w:sz w:val="24"/>
          <w:szCs w:val="24"/>
        </w:rPr>
        <w:instrText xml:space="preserve"> PAGEREF _Toc119336566 \h </w:instrText>
      </w:r>
      <w:r>
        <w:rPr>
          <w:rFonts w:hint="eastAsia"/>
          <w:sz w:val="24"/>
          <w:szCs w:val="24"/>
        </w:rPr>
        <w:fldChar w:fldCharType="separate"/>
      </w:r>
      <w:r>
        <w:rPr>
          <w:sz w:val="24"/>
          <w:szCs w:val="24"/>
        </w:rPr>
        <w:t>34</w:t>
      </w:r>
      <w:r>
        <w:rPr>
          <w:rFonts w:hint="eastAsia"/>
          <w:sz w:val="24"/>
          <w:szCs w:val="24"/>
        </w:rPr>
        <w:fldChar w:fldCharType="end"/>
      </w:r>
      <w:r>
        <w:rPr>
          <w:rFonts w:hint="eastAsia"/>
          <w:sz w:val="24"/>
          <w:szCs w:val="24"/>
        </w:rPr>
        <w:fldChar w:fldCharType="end"/>
      </w:r>
    </w:p>
    <w:p>
      <w:pPr>
        <w:pStyle w:val="28"/>
        <w:tabs>
          <w:tab w:val="right" w:leader="dot" w:pos="8302"/>
        </w:tabs>
        <w:spacing w:line="300" w:lineRule="exact"/>
        <w:ind w:left="640"/>
        <w:rPr>
          <w:rFonts w:hAnsiTheme="minorHAnsi" w:cstheme="minorBidi"/>
          <w:kern w:val="2"/>
          <w:sz w:val="24"/>
          <w:szCs w:val="24"/>
        </w:rPr>
      </w:pPr>
      <w:r>
        <w:fldChar w:fldCharType="begin"/>
      </w:r>
      <w:r>
        <w:instrText xml:space="preserve"> HYPERLINK \l "_Toc119336567" </w:instrText>
      </w:r>
      <w:r>
        <w:fldChar w:fldCharType="separate"/>
      </w:r>
      <w:r>
        <w:rPr>
          <w:rStyle w:val="39"/>
          <w:rFonts w:hint="eastAsia" w:hAnsi="黑体"/>
          <w:sz w:val="24"/>
          <w:szCs w:val="24"/>
        </w:rPr>
        <w:t>8.1 基本信息</w:t>
      </w:r>
      <w:r>
        <w:rPr>
          <w:rFonts w:hint="eastAsia"/>
          <w:sz w:val="24"/>
          <w:szCs w:val="24"/>
        </w:rPr>
        <w:tab/>
      </w:r>
      <w:r>
        <w:rPr>
          <w:rFonts w:hint="eastAsia"/>
          <w:sz w:val="24"/>
          <w:szCs w:val="24"/>
        </w:rPr>
        <w:fldChar w:fldCharType="begin"/>
      </w:r>
      <w:r>
        <w:rPr>
          <w:rFonts w:hint="eastAsia"/>
          <w:sz w:val="24"/>
          <w:szCs w:val="24"/>
        </w:rPr>
        <w:instrText xml:space="preserve"> PAGEREF _Toc119336567 \h </w:instrText>
      </w:r>
      <w:r>
        <w:rPr>
          <w:rFonts w:hint="eastAsia"/>
          <w:sz w:val="24"/>
          <w:szCs w:val="24"/>
        </w:rPr>
        <w:fldChar w:fldCharType="separate"/>
      </w:r>
      <w:r>
        <w:rPr>
          <w:sz w:val="24"/>
          <w:szCs w:val="24"/>
        </w:rPr>
        <w:t>34</w:t>
      </w:r>
      <w:r>
        <w:rPr>
          <w:rFonts w:hint="eastAsia"/>
          <w:sz w:val="24"/>
          <w:szCs w:val="24"/>
        </w:rPr>
        <w:fldChar w:fldCharType="end"/>
      </w:r>
      <w:r>
        <w:rPr>
          <w:rFonts w:hint="eastAsia"/>
          <w:sz w:val="24"/>
          <w:szCs w:val="24"/>
        </w:rPr>
        <w:fldChar w:fldCharType="end"/>
      </w:r>
    </w:p>
    <w:p>
      <w:pPr>
        <w:pStyle w:val="28"/>
        <w:tabs>
          <w:tab w:val="right" w:leader="dot" w:pos="8302"/>
        </w:tabs>
        <w:spacing w:line="300" w:lineRule="exact"/>
        <w:ind w:left="640"/>
        <w:rPr>
          <w:rFonts w:hAnsiTheme="minorHAnsi" w:cstheme="minorBidi"/>
          <w:kern w:val="2"/>
          <w:sz w:val="24"/>
          <w:szCs w:val="24"/>
        </w:rPr>
      </w:pPr>
      <w:r>
        <w:fldChar w:fldCharType="begin"/>
      </w:r>
      <w:r>
        <w:instrText xml:space="preserve"> HYPERLINK \l "_Toc119336568" </w:instrText>
      </w:r>
      <w:r>
        <w:fldChar w:fldCharType="separate"/>
      </w:r>
      <w:r>
        <w:rPr>
          <w:rStyle w:val="39"/>
          <w:rFonts w:hint="eastAsia" w:hAnsi="黑体"/>
          <w:sz w:val="24"/>
          <w:szCs w:val="24"/>
        </w:rPr>
        <w:t>8.2 信息报告</w:t>
      </w:r>
      <w:r>
        <w:rPr>
          <w:rFonts w:hint="eastAsia"/>
          <w:sz w:val="24"/>
          <w:szCs w:val="24"/>
        </w:rPr>
        <w:tab/>
      </w:r>
      <w:r>
        <w:rPr>
          <w:rFonts w:hint="eastAsia"/>
          <w:sz w:val="24"/>
          <w:szCs w:val="24"/>
        </w:rPr>
        <w:fldChar w:fldCharType="begin"/>
      </w:r>
      <w:r>
        <w:rPr>
          <w:rFonts w:hint="eastAsia"/>
          <w:sz w:val="24"/>
          <w:szCs w:val="24"/>
        </w:rPr>
        <w:instrText xml:space="preserve"> PAGEREF _Toc119336568 \h </w:instrText>
      </w:r>
      <w:r>
        <w:rPr>
          <w:rFonts w:hint="eastAsia"/>
          <w:sz w:val="24"/>
          <w:szCs w:val="24"/>
        </w:rPr>
        <w:fldChar w:fldCharType="separate"/>
      </w:r>
      <w:r>
        <w:rPr>
          <w:sz w:val="24"/>
          <w:szCs w:val="24"/>
        </w:rPr>
        <w:t>35</w:t>
      </w:r>
      <w:r>
        <w:rPr>
          <w:rFonts w:hint="eastAsia"/>
          <w:sz w:val="24"/>
          <w:szCs w:val="24"/>
        </w:rPr>
        <w:fldChar w:fldCharType="end"/>
      </w:r>
      <w:r>
        <w:rPr>
          <w:rFonts w:hint="eastAsia"/>
          <w:sz w:val="24"/>
          <w:szCs w:val="24"/>
        </w:rPr>
        <w:fldChar w:fldCharType="end"/>
      </w:r>
    </w:p>
    <w:p>
      <w:pPr>
        <w:pStyle w:val="28"/>
        <w:tabs>
          <w:tab w:val="right" w:leader="dot" w:pos="8302"/>
        </w:tabs>
        <w:spacing w:line="300" w:lineRule="exact"/>
        <w:ind w:left="640"/>
        <w:rPr>
          <w:rFonts w:hAnsiTheme="minorHAnsi" w:cstheme="minorBidi"/>
          <w:kern w:val="2"/>
          <w:sz w:val="24"/>
          <w:szCs w:val="24"/>
        </w:rPr>
      </w:pPr>
      <w:r>
        <w:fldChar w:fldCharType="begin"/>
      </w:r>
      <w:r>
        <w:instrText xml:space="preserve"> HYPERLINK \l "_Toc119336569" </w:instrText>
      </w:r>
      <w:r>
        <w:fldChar w:fldCharType="separate"/>
      </w:r>
      <w:r>
        <w:rPr>
          <w:rStyle w:val="39"/>
          <w:rFonts w:hint="eastAsia" w:hAnsi="黑体" w:cs="宋体"/>
          <w:sz w:val="24"/>
          <w:szCs w:val="24"/>
        </w:rPr>
        <w:t>8.3 危险源信息</w:t>
      </w:r>
      <w:r>
        <w:rPr>
          <w:rFonts w:hint="eastAsia"/>
          <w:sz w:val="24"/>
          <w:szCs w:val="24"/>
        </w:rPr>
        <w:tab/>
      </w:r>
      <w:r>
        <w:rPr>
          <w:rFonts w:hint="eastAsia"/>
          <w:sz w:val="24"/>
          <w:szCs w:val="24"/>
        </w:rPr>
        <w:fldChar w:fldCharType="begin"/>
      </w:r>
      <w:r>
        <w:rPr>
          <w:rFonts w:hint="eastAsia"/>
          <w:sz w:val="24"/>
          <w:szCs w:val="24"/>
        </w:rPr>
        <w:instrText xml:space="preserve"> PAGEREF _Toc119336569 \h </w:instrText>
      </w:r>
      <w:r>
        <w:rPr>
          <w:rFonts w:hint="eastAsia"/>
          <w:sz w:val="24"/>
          <w:szCs w:val="24"/>
        </w:rPr>
        <w:fldChar w:fldCharType="separate"/>
      </w:r>
      <w:r>
        <w:rPr>
          <w:sz w:val="24"/>
          <w:szCs w:val="24"/>
        </w:rPr>
        <w:t>36</w:t>
      </w:r>
      <w:r>
        <w:rPr>
          <w:rFonts w:hint="eastAsia"/>
          <w:sz w:val="24"/>
          <w:szCs w:val="24"/>
        </w:rPr>
        <w:fldChar w:fldCharType="end"/>
      </w:r>
      <w:r>
        <w:rPr>
          <w:rFonts w:hint="eastAsia"/>
          <w:sz w:val="24"/>
          <w:szCs w:val="24"/>
        </w:rPr>
        <w:fldChar w:fldCharType="end"/>
      </w:r>
    </w:p>
    <w:p>
      <w:pPr>
        <w:pStyle w:val="28"/>
        <w:tabs>
          <w:tab w:val="right" w:leader="dot" w:pos="8302"/>
        </w:tabs>
        <w:spacing w:line="300" w:lineRule="exact"/>
        <w:ind w:left="640"/>
        <w:rPr>
          <w:rFonts w:hAnsiTheme="minorHAnsi" w:cstheme="minorBidi"/>
          <w:kern w:val="2"/>
          <w:sz w:val="24"/>
          <w:szCs w:val="24"/>
        </w:rPr>
      </w:pPr>
      <w:r>
        <w:fldChar w:fldCharType="begin"/>
      </w:r>
      <w:r>
        <w:instrText xml:space="preserve"> HYPERLINK \l "_Toc119336570" </w:instrText>
      </w:r>
      <w:r>
        <w:fldChar w:fldCharType="separate"/>
      </w:r>
      <w:r>
        <w:rPr>
          <w:rStyle w:val="39"/>
          <w:rFonts w:hint="eastAsia" w:hAnsi="黑体" w:cs="宋体"/>
          <w:sz w:val="24"/>
          <w:szCs w:val="24"/>
        </w:rPr>
        <w:t>8.4 隐患信息</w:t>
      </w:r>
      <w:r>
        <w:rPr>
          <w:rFonts w:hint="eastAsia"/>
          <w:sz w:val="24"/>
          <w:szCs w:val="24"/>
        </w:rPr>
        <w:tab/>
      </w:r>
      <w:r>
        <w:rPr>
          <w:rFonts w:hint="eastAsia"/>
          <w:sz w:val="24"/>
          <w:szCs w:val="24"/>
        </w:rPr>
        <w:fldChar w:fldCharType="begin"/>
      </w:r>
      <w:r>
        <w:rPr>
          <w:rFonts w:hint="eastAsia"/>
          <w:sz w:val="24"/>
          <w:szCs w:val="24"/>
        </w:rPr>
        <w:instrText xml:space="preserve"> PAGEREF _Toc119336570 \h </w:instrText>
      </w:r>
      <w:r>
        <w:rPr>
          <w:rFonts w:hint="eastAsia"/>
          <w:sz w:val="24"/>
          <w:szCs w:val="24"/>
        </w:rPr>
        <w:fldChar w:fldCharType="separate"/>
      </w:r>
      <w:r>
        <w:rPr>
          <w:sz w:val="24"/>
          <w:szCs w:val="24"/>
        </w:rPr>
        <w:t>37</w:t>
      </w:r>
      <w:r>
        <w:rPr>
          <w:rFonts w:hint="eastAsia"/>
          <w:sz w:val="24"/>
          <w:szCs w:val="24"/>
        </w:rPr>
        <w:fldChar w:fldCharType="end"/>
      </w:r>
      <w:r>
        <w:rPr>
          <w:rFonts w:hint="eastAsia"/>
          <w:sz w:val="24"/>
          <w:szCs w:val="24"/>
        </w:rPr>
        <w:fldChar w:fldCharType="end"/>
      </w:r>
    </w:p>
    <w:p>
      <w:pPr>
        <w:pStyle w:val="28"/>
        <w:tabs>
          <w:tab w:val="right" w:leader="dot" w:pos="8302"/>
        </w:tabs>
        <w:spacing w:line="300" w:lineRule="exact"/>
        <w:ind w:left="640"/>
        <w:rPr>
          <w:rFonts w:hAnsiTheme="minorHAnsi" w:cstheme="minorBidi"/>
          <w:kern w:val="2"/>
          <w:sz w:val="24"/>
          <w:szCs w:val="24"/>
        </w:rPr>
      </w:pPr>
      <w:r>
        <w:fldChar w:fldCharType="begin"/>
      </w:r>
      <w:r>
        <w:instrText xml:space="preserve"> HYPERLINK \l "_Toc119336571" </w:instrText>
      </w:r>
      <w:r>
        <w:fldChar w:fldCharType="separate"/>
      </w:r>
      <w:r>
        <w:rPr>
          <w:rStyle w:val="39"/>
          <w:rFonts w:hint="eastAsia" w:hAnsi="黑体" w:cs="宋体"/>
          <w:sz w:val="24"/>
          <w:szCs w:val="24"/>
        </w:rPr>
        <w:t>8.5 其他水利安全生产信息报告和处置</w:t>
      </w:r>
      <w:r>
        <w:rPr>
          <w:rFonts w:hint="eastAsia"/>
          <w:sz w:val="24"/>
          <w:szCs w:val="24"/>
        </w:rPr>
        <w:tab/>
      </w:r>
      <w:r>
        <w:rPr>
          <w:rFonts w:hint="eastAsia"/>
          <w:sz w:val="24"/>
          <w:szCs w:val="24"/>
        </w:rPr>
        <w:fldChar w:fldCharType="begin"/>
      </w:r>
      <w:r>
        <w:rPr>
          <w:rFonts w:hint="eastAsia"/>
          <w:sz w:val="24"/>
          <w:szCs w:val="24"/>
        </w:rPr>
        <w:instrText xml:space="preserve"> PAGEREF _Toc119336571 \h </w:instrText>
      </w:r>
      <w:r>
        <w:rPr>
          <w:rFonts w:hint="eastAsia"/>
          <w:sz w:val="24"/>
          <w:szCs w:val="24"/>
        </w:rPr>
        <w:fldChar w:fldCharType="separate"/>
      </w:r>
      <w:r>
        <w:rPr>
          <w:sz w:val="24"/>
          <w:szCs w:val="24"/>
        </w:rPr>
        <w:t>38</w:t>
      </w:r>
      <w:r>
        <w:rPr>
          <w:rFonts w:hint="eastAsia"/>
          <w:sz w:val="24"/>
          <w:szCs w:val="24"/>
        </w:rPr>
        <w:fldChar w:fldCharType="end"/>
      </w:r>
      <w:r>
        <w:rPr>
          <w:rFonts w:hint="eastAsia"/>
          <w:sz w:val="24"/>
          <w:szCs w:val="24"/>
        </w:rPr>
        <w:fldChar w:fldCharType="end"/>
      </w:r>
    </w:p>
    <w:p>
      <w:pPr>
        <w:pStyle w:val="23"/>
        <w:tabs>
          <w:tab w:val="right" w:leader="dot" w:pos="8302"/>
        </w:tabs>
        <w:spacing w:line="300" w:lineRule="exact"/>
        <w:rPr>
          <w:rFonts w:hAnsiTheme="minorHAnsi" w:cstheme="minorBidi"/>
          <w:kern w:val="2"/>
          <w:sz w:val="24"/>
          <w:szCs w:val="24"/>
        </w:rPr>
      </w:pPr>
      <w:r>
        <w:fldChar w:fldCharType="begin"/>
      </w:r>
      <w:r>
        <w:instrText xml:space="preserve"> HYPERLINK \l "_Toc119336572" </w:instrText>
      </w:r>
      <w:r>
        <w:fldChar w:fldCharType="separate"/>
      </w:r>
      <w:r>
        <w:rPr>
          <w:rStyle w:val="39"/>
          <w:rFonts w:hint="eastAsia" w:hAnsi="黑体" w:cs="宋体"/>
          <w:b/>
          <w:sz w:val="24"/>
          <w:szCs w:val="24"/>
        </w:rPr>
        <w:t>9 附则</w:t>
      </w:r>
      <w:r>
        <w:rPr>
          <w:rFonts w:hint="eastAsia"/>
          <w:sz w:val="24"/>
          <w:szCs w:val="24"/>
        </w:rPr>
        <w:tab/>
      </w:r>
      <w:r>
        <w:rPr>
          <w:rFonts w:hint="eastAsia"/>
          <w:sz w:val="24"/>
          <w:szCs w:val="24"/>
        </w:rPr>
        <w:fldChar w:fldCharType="begin"/>
      </w:r>
      <w:r>
        <w:rPr>
          <w:rFonts w:hint="eastAsia"/>
          <w:sz w:val="24"/>
          <w:szCs w:val="24"/>
        </w:rPr>
        <w:instrText xml:space="preserve"> PAGEREF _Toc119336572 \h </w:instrText>
      </w:r>
      <w:r>
        <w:rPr>
          <w:rFonts w:hint="eastAsia"/>
          <w:sz w:val="24"/>
          <w:szCs w:val="24"/>
        </w:rPr>
        <w:fldChar w:fldCharType="separate"/>
      </w:r>
      <w:r>
        <w:rPr>
          <w:sz w:val="24"/>
          <w:szCs w:val="24"/>
        </w:rPr>
        <w:t>39</w:t>
      </w:r>
      <w:r>
        <w:rPr>
          <w:rFonts w:hint="eastAsia"/>
          <w:sz w:val="24"/>
          <w:szCs w:val="24"/>
        </w:rPr>
        <w:fldChar w:fldCharType="end"/>
      </w:r>
      <w:r>
        <w:rPr>
          <w:rFonts w:hint="eastAsia"/>
          <w:sz w:val="24"/>
          <w:szCs w:val="24"/>
        </w:rPr>
        <w:fldChar w:fldCharType="end"/>
      </w:r>
    </w:p>
    <w:p>
      <w:pPr>
        <w:pStyle w:val="23"/>
        <w:tabs>
          <w:tab w:val="right" w:leader="dot" w:pos="8302"/>
        </w:tabs>
        <w:spacing w:line="300" w:lineRule="exact"/>
        <w:rPr>
          <w:rFonts w:hAnsiTheme="minorHAnsi" w:cstheme="minorBidi"/>
          <w:kern w:val="2"/>
          <w:sz w:val="24"/>
          <w:szCs w:val="24"/>
        </w:rPr>
      </w:pPr>
      <w:r>
        <w:fldChar w:fldCharType="begin"/>
      </w:r>
      <w:r>
        <w:instrText xml:space="preserve"> HYPERLINK \l "_Toc119336573" </w:instrText>
      </w:r>
      <w:r>
        <w:fldChar w:fldCharType="separate"/>
      </w:r>
      <w:r>
        <w:rPr>
          <w:rStyle w:val="39"/>
          <w:rFonts w:hint="eastAsia" w:hAnsi="黑体" w:cs="宋体"/>
          <w:b/>
          <w:sz w:val="24"/>
          <w:szCs w:val="24"/>
        </w:rPr>
        <w:t>附录（资料性附录）</w:t>
      </w:r>
      <w:r>
        <w:rPr>
          <w:rFonts w:hint="eastAsia"/>
          <w:sz w:val="24"/>
          <w:szCs w:val="24"/>
        </w:rPr>
        <w:tab/>
      </w:r>
      <w:r>
        <w:rPr>
          <w:rFonts w:hint="eastAsia"/>
          <w:sz w:val="24"/>
          <w:szCs w:val="24"/>
        </w:rPr>
        <w:fldChar w:fldCharType="begin"/>
      </w:r>
      <w:r>
        <w:rPr>
          <w:rFonts w:hint="eastAsia"/>
          <w:sz w:val="24"/>
          <w:szCs w:val="24"/>
        </w:rPr>
        <w:instrText xml:space="preserve"> PAGEREF _Toc119336573 \h </w:instrText>
      </w:r>
      <w:r>
        <w:rPr>
          <w:rFonts w:hint="eastAsia"/>
          <w:sz w:val="24"/>
          <w:szCs w:val="24"/>
        </w:rPr>
        <w:fldChar w:fldCharType="separate"/>
      </w:r>
      <w:r>
        <w:rPr>
          <w:sz w:val="24"/>
          <w:szCs w:val="24"/>
        </w:rPr>
        <w:t>39</w:t>
      </w:r>
      <w:r>
        <w:rPr>
          <w:rFonts w:hint="eastAsia"/>
          <w:sz w:val="24"/>
          <w:szCs w:val="24"/>
        </w:rPr>
        <w:fldChar w:fldCharType="end"/>
      </w:r>
      <w:r>
        <w:rPr>
          <w:rFonts w:hint="eastAsia"/>
          <w:sz w:val="24"/>
          <w:szCs w:val="24"/>
        </w:rPr>
        <w:fldChar w:fldCharType="end"/>
      </w:r>
    </w:p>
    <w:p>
      <w:pPr>
        <w:pStyle w:val="23"/>
        <w:tabs>
          <w:tab w:val="right" w:leader="dot" w:pos="8302"/>
        </w:tabs>
        <w:spacing w:line="300" w:lineRule="exact"/>
        <w:rPr>
          <w:rFonts w:hAnsiTheme="minorHAnsi" w:cstheme="minorBidi"/>
          <w:kern w:val="2"/>
          <w:sz w:val="24"/>
          <w:szCs w:val="24"/>
        </w:rPr>
      </w:pPr>
      <w:r>
        <w:fldChar w:fldCharType="begin"/>
      </w:r>
      <w:r>
        <w:instrText xml:space="preserve"> HYPERLINK \l "_Toc119336574" </w:instrText>
      </w:r>
      <w:r>
        <w:fldChar w:fldCharType="separate"/>
      </w:r>
      <w:r>
        <w:rPr>
          <w:rStyle w:val="39"/>
          <w:rFonts w:hint="eastAsia" w:hAnsi="黑体"/>
          <w:b/>
          <w:bCs/>
          <w:sz w:val="24"/>
          <w:szCs w:val="24"/>
        </w:rPr>
        <w:t>附录A.1</w:t>
      </w:r>
      <w:r>
        <w:rPr>
          <w:rFonts w:hint="eastAsia"/>
          <w:sz w:val="24"/>
          <w:szCs w:val="24"/>
        </w:rPr>
        <w:tab/>
      </w:r>
      <w:r>
        <w:rPr>
          <w:rFonts w:hint="eastAsia"/>
          <w:sz w:val="24"/>
          <w:szCs w:val="24"/>
        </w:rPr>
        <w:fldChar w:fldCharType="begin"/>
      </w:r>
      <w:r>
        <w:rPr>
          <w:rFonts w:hint="eastAsia"/>
          <w:sz w:val="24"/>
          <w:szCs w:val="24"/>
        </w:rPr>
        <w:instrText xml:space="preserve"> PAGEREF _Toc119336574 \h </w:instrText>
      </w:r>
      <w:r>
        <w:rPr>
          <w:rFonts w:hint="eastAsia"/>
          <w:sz w:val="24"/>
          <w:szCs w:val="24"/>
        </w:rPr>
        <w:fldChar w:fldCharType="separate"/>
      </w:r>
      <w:r>
        <w:rPr>
          <w:sz w:val="24"/>
          <w:szCs w:val="24"/>
        </w:rPr>
        <w:t>40</w:t>
      </w:r>
      <w:r>
        <w:rPr>
          <w:rFonts w:hint="eastAsia"/>
          <w:sz w:val="24"/>
          <w:szCs w:val="24"/>
        </w:rPr>
        <w:fldChar w:fldCharType="end"/>
      </w:r>
      <w:r>
        <w:rPr>
          <w:rFonts w:hint="eastAsia"/>
          <w:sz w:val="24"/>
          <w:szCs w:val="24"/>
        </w:rPr>
        <w:fldChar w:fldCharType="end"/>
      </w:r>
    </w:p>
    <w:p>
      <w:pPr>
        <w:pStyle w:val="28"/>
        <w:tabs>
          <w:tab w:val="right" w:leader="dot" w:pos="8302"/>
        </w:tabs>
        <w:spacing w:line="300" w:lineRule="exact"/>
        <w:ind w:left="640"/>
        <w:rPr>
          <w:rFonts w:hAnsiTheme="minorHAnsi" w:cstheme="minorBidi"/>
          <w:kern w:val="2"/>
          <w:sz w:val="24"/>
          <w:szCs w:val="24"/>
        </w:rPr>
      </w:pPr>
      <w:r>
        <w:fldChar w:fldCharType="begin"/>
      </w:r>
      <w:r>
        <w:instrText xml:space="preserve"> HYPERLINK \l "_Toc119336575" </w:instrText>
      </w:r>
      <w:r>
        <w:fldChar w:fldCharType="separate"/>
      </w:r>
      <w:r>
        <w:rPr>
          <w:rStyle w:val="39"/>
          <w:rFonts w:hint="eastAsia" w:hAnsi="黑体"/>
          <w:b/>
          <w:bCs/>
          <w:sz w:val="24"/>
          <w:szCs w:val="24"/>
        </w:rPr>
        <w:t>水利水电工程施工重大危险源清单（指南）</w:t>
      </w:r>
      <w:r>
        <w:rPr>
          <w:rFonts w:hint="eastAsia"/>
          <w:sz w:val="24"/>
          <w:szCs w:val="24"/>
        </w:rPr>
        <w:tab/>
      </w:r>
      <w:r>
        <w:rPr>
          <w:rFonts w:hint="eastAsia"/>
          <w:sz w:val="24"/>
          <w:szCs w:val="24"/>
        </w:rPr>
        <w:fldChar w:fldCharType="begin"/>
      </w:r>
      <w:r>
        <w:rPr>
          <w:rFonts w:hint="eastAsia"/>
          <w:sz w:val="24"/>
          <w:szCs w:val="24"/>
        </w:rPr>
        <w:instrText xml:space="preserve"> PAGEREF _Toc119336575 \h </w:instrText>
      </w:r>
      <w:r>
        <w:rPr>
          <w:rFonts w:hint="eastAsia"/>
          <w:sz w:val="24"/>
          <w:szCs w:val="24"/>
        </w:rPr>
        <w:fldChar w:fldCharType="separate"/>
      </w:r>
      <w:r>
        <w:rPr>
          <w:sz w:val="24"/>
          <w:szCs w:val="24"/>
        </w:rPr>
        <w:t>40</w:t>
      </w:r>
      <w:r>
        <w:rPr>
          <w:rFonts w:hint="eastAsia"/>
          <w:sz w:val="24"/>
          <w:szCs w:val="24"/>
        </w:rPr>
        <w:fldChar w:fldCharType="end"/>
      </w:r>
      <w:r>
        <w:rPr>
          <w:rFonts w:hint="eastAsia"/>
          <w:sz w:val="24"/>
          <w:szCs w:val="24"/>
        </w:rPr>
        <w:fldChar w:fldCharType="end"/>
      </w:r>
    </w:p>
    <w:p>
      <w:pPr>
        <w:pStyle w:val="23"/>
        <w:tabs>
          <w:tab w:val="right" w:leader="dot" w:pos="8302"/>
        </w:tabs>
        <w:spacing w:line="300" w:lineRule="exact"/>
        <w:rPr>
          <w:rFonts w:hAnsiTheme="minorHAnsi" w:cstheme="minorBidi"/>
          <w:kern w:val="2"/>
          <w:sz w:val="24"/>
          <w:szCs w:val="24"/>
        </w:rPr>
      </w:pPr>
      <w:r>
        <w:fldChar w:fldCharType="begin"/>
      </w:r>
      <w:r>
        <w:instrText xml:space="preserve"> HYPERLINK \l "_Toc119336576" </w:instrText>
      </w:r>
      <w:r>
        <w:fldChar w:fldCharType="separate"/>
      </w:r>
      <w:r>
        <w:rPr>
          <w:rStyle w:val="39"/>
          <w:rFonts w:hint="eastAsia" w:hAnsi="黑体"/>
          <w:b/>
          <w:bCs/>
          <w:sz w:val="24"/>
          <w:szCs w:val="24"/>
        </w:rPr>
        <w:t>附录A.2</w:t>
      </w:r>
      <w:r>
        <w:rPr>
          <w:rFonts w:hint="eastAsia"/>
          <w:sz w:val="24"/>
          <w:szCs w:val="24"/>
        </w:rPr>
        <w:tab/>
      </w:r>
      <w:r>
        <w:rPr>
          <w:rFonts w:hint="eastAsia"/>
          <w:sz w:val="24"/>
          <w:szCs w:val="24"/>
        </w:rPr>
        <w:fldChar w:fldCharType="begin"/>
      </w:r>
      <w:r>
        <w:rPr>
          <w:rFonts w:hint="eastAsia"/>
          <w:sz w:val="24"/>
          <w:szCs w:val="24"/>
        </w:rPr>
        <w:instrText xml:space="preserve"> PAGEREF _Toc119336576 \h </w:instrText>
      </w:r>
      <w:r>
        <w:rPr>
          <w:rFonts w:hint="eastAsia"/>
          <w:sz w:val="24"/>
          <w:szCs w:val="24"/>
        </w:rPr>
        <w:fldChar w:fldCharType="separate"/>
      </w:r>
      <w:r>
        <w:rPr>
          <w:sz w:val="24"/>
          <w:szCs w:val="24"/>
        </w:rPr>
        <w:t>42</w:t>
      </w:r>
      <w:r>
        <w:rPr>
          <w:rFonts w:hint="eastAsia"/>
          <w:sz w:val="24"/>
          <w:szCs w:val="24"/>
        </w:rPr>
        <w:fldChar w:fldCharType="end"/>
      </w:r>
      <w:r>
        <w:rPr>
          <w:rFonts w:hint="eastAsia"/>
          <w:sz w:val="24"/>
          <w:szCs w:val="24"/>
        </w:rPr>
        <w:fldChar w:fldCharType="end"/>
      </w:r>
    </w:p>
    <w:p>
      <w:pPr>
        <w:pStyle w:val="28"/>
        <w:tabs>
          <w:tab w:val="right" w:leader="dot" w:pos="8302"/>
        </w:tabs>
        <w:spacing w:line="300" w:lineRule="exact"/>
        <w:ind w:left="640"/>
        <w:rPr>
          <w:rFonts w:hAnsiTheme="minorHAnsi" w:cstheme="minorBidi"/>
          <w:kern w:val="2"/>
          <w:sz w:val="24"/>
          <w:szCs w:val="24"/>
        </w:rPr>
      </w:pPr>
      <w:r>
        <w:fldChar w:fldCharType="begin"/>
      </w:r>
      <w:r>
        <w:instrText xml:space="preserve"> HYPERLINK \l "_Toc119336577" </w:instrText>
      </w:r>
      <w:r>
        <w:fldChar w:fldCharType="separate"/>
      </w:r>
      <w:r>
        <w:rPr>
          <w:rStyle w:val="39"/>
          <w:rFonts w:hint="eastAsia" w:hAnsi="黑体"/>
          <w:b/>
          <w:bCs/>
          <w:sz w:val="24"/>
          <w:szCs w:val="24"/>
        </w:rPr>
        <w:t>水利水电工程施工一般危险源LEC法风险评价赋分表（指南）</w:t>
      </w:r>
      <w:r>
        <w:rPr>
          <w:rFonts w:hint="eastAsia"/>
          <w:sz w:val="24"/>
          <w:szCs w:val="24"/>
        </w:rPr>
        <w:tab/>
      </w:r>
      <w:r>
        <w:rPr>
          <w:rFonts w:hint="eastAsia"/>
          <w:sz w:val="24"/>
          <w:szCs w:val="24"/>
        </w:rPr>
        <w:fldChar w:fldCharType="begin"/>
      </w:r>
      <w:r>
        <w:rPr>
          <w:rFonts w:hint="eastAsia"/>
          <w:sz w:val="24"/>
          <w:szCs w:val="24"/>
        </w:rPr>
        <w:instrText xml:space="preserve"> PAGEREF _Toc119336577 \h </w:instrText>
      </w:r>
      <w:r>
        <w:rPr>
          <w:rFonts w:hint="eastAsia"/>
          <w:sz w:val="24"/>
          <w:szCs w:val="24"/>
        </w:rPr>
        <w:fldChar w:fldCharType="separate"/>
      </w:r>
      <w:r>
        <w:rPr>
          <w:sz w:val="24"/>
          <w:szCs w:val="24"/>
        </w:rPr>
        <w:t>42</w:t>
      </w:r>
      <w:r>
        <w:rPr>
          <w:rFonts w:hint="eastAsia"/>
          <w:sz w:val="24"/>
          <w:szCs w:val="24"/>
        </w:rPr>
        <w:fldChar w:fldCharType="end"/>
      </w:r>
      <w:r>
        <w:rPr>
          <w:rFonts w:hint="eastAsia"/>
          <w:sz w:val="24"/>
          <w:szCs w:val="24"/>
        </w:rPr>
        <w:fldChar w:fldCharType="end"/>
      </w:r>
    </w:p>
    <w:p>
      <w:pPr>
        <w:pStyle w:val="23"/>
        <w:tabs>
          <w:tab w:val="right" w:leader="dot" w:pos="8302"/>
        </w:tabs>
        <w:spacing w:line="300" w:lineRule="exact"/>
        <w:rPr>
          <w:rFonts w:hAnsiTheme="minorHAnsi" w:cstheme="minorBidi"/>
          <w:kern w:val="2"/>
          <w:sz w:val="24"/>
          <w:szCs w:val="24"/>
        </w:rPr>
      </w:pPr>
      <w:r>
        <w:fldChar w:fldCharType="begin"/>
      </w:r>
      <w:r>
        <w:instrText xml:space="preserve"> HYPERLINK \l "_Toc119336578" </w:instrText>
      </w:r>
      <w:r>
        <w:fldChar w:fldCharType="separate"/>
      </w:r>
      <w:r>
        <w:rPr>
          <w:rStyle w:val="39"/>
          <w:rFonts w:hint="eastAsia" w:hAnsi="黑体"/>
          <w:b/>
          <w:bCs/>
          <w:sz w:val="24"/>
          <w:szCs w:val="24"/>
        </w:rPr>
        <w:t>附录A.3</w:t>
      </w:r>
      <w:r>
        <w:rPr>
          <w:rFonts w:hint="eastAsia"/>
          <w:sz w:val="24"/>
          <w:szCs w:val="24"/>
        </w:rPr>
        <w:tab/>
      </w:r>
      <w:r>
        <w:rPr>
          <w:rFonts w:hint="eastAsia"/>
          <w:sz w:val="24"/>
          <w:szCs w:val="24"/>
        </w:rPr>
        <w:fldChar w:fldCharType="begin"/>
      </w:r>
      <w:r>
        <w:rPr>
          <w:rFonts w:hint="eastAsia"/>
          <w:sz w:val="24"/>
          <w:szCs w:val="24"/>
        </w:rPr>
        <w:instrText xml:space="preserve"> PAGEREF _Toc119336578 \h </w:instrText>
      </w:r>
      <w:r>
        <w:rPr>
          <w:rFonts w:hint="eastAsia"/>
          <w:sz w:val="24"/>
          <w:szCs w:val="24"/>
        </w:rPr>
        <w:fldChar w:fldCharType="separate"/>
      </w:r>
      <w:r>
        <w:rPr>
          <w:sz w:val="24"/>
          <w:szCs w:val="24"/>
        </w:rPr>
        <w:t>46</w:t>
      </w:r>
      <w:r>
        <w:rPr>
          <w:rFonts w:hint="eastAsia"/>
          <w:sz w:val="24"/>
          <w:szCs w:val="24"/>
        </w:rPr>
        <w:fldChar w:fldCharType="end"/>
      </w:r>
      <w:r>
        <w:rPr>
          <w:rFonts w:hint="eastAsia"/>
          <w:sz w:val="24"/>
          <w:szCs w:val="24"/>
        </w:rPr>
        <w:fldChar w:fldCharType="end"/>
      </w:r>
    </w:p>
    <w:p>
      <w:pPr>
        <w:pStyle w:val="28"/>
        <w:tabs>
          <w:tab w:val="right" w:leader="dot" w:pos="8302"/>
        </w:tabs>
        <w:spacing w:line="300" w:lineRule="exact"/>
        <w:ind w:left="640"/>
        <w:rPr>
          <w:rFonts w:hAnsiTheme="minorHAnsi" w:cstheme="minorBidi"/>
          <w:kern w:val="2"/>
          <w:sz w:val="24"/>
          <w:szCs w:val="24"/>
        </w:rPr>
      </w:pPr>
      <w:r>
        <w:fldChar w:fldCharType="begin"/>
      </w:r>
      <w:r>
        <w:instrText xml:space="preserve"> HYPERLINK \l "_Toc119336579" </w:instrText>
      </w:r>
      <w:r>
        <w:fldChar w:fldCharType="separate"/>
      </w:r>
      <w:r>
        <w:rPr>
          <w:rStyle w:val="39"/>
          <w:rFonts w:hint="eastAsia" w:hAnsi="黑体"/>
          <w:b/>
          <w:bCs/>
          <w:sz w:val="24"/>
          <w:szCs w:val="24"/>
        </w:rPr>
        <w:t>水库工程运行重大危险源清单</w:t>
      </w:r>
      <w:r>
        <w:rPr>
          <w:rFonts w:hint="eastAsia"/>
          <w:sz w:val="24"/>
          <w:szCs w:val="24"/>
        </w:rPr>
        <w:tab/>
      </w:r>
      <w:r>
        <w:rPr>
          <w:rFonts w:hint="eastAsia"/>
          <w:sz w:val="24"/>
          <w:szCs w:val="24"/>
        </w:rPr>
        <w:fldChar w:fldCharType="begin"/>
      </w:r>
      <w:r>
        <w:rPr>
          <w:rFonts w:hint="eastAsia"/>
          <w:sz w:val="24"/>
          <w:szCs w:val="24"/>
        </w:rPr>
        <w:instrText xml:space="preserve"> PAGEREF _Toc119336579 \h </w:instrText>
      </w:r>
      <w:r>
        <w:rPr>
          <w:rFonts w:hint="eastAsia"/>
          <w:sz w:val="24"/>
          <w:szCs w:val="24"/>
        </w:rPr>
        <w:fldChar w:fldCharType="separate"/>
      </w:r>
      <w:r>
        <w:rPr>
          <w:sz w:val="24"/>
          <w:szCs w:val="24"/>
        </w:rPr>
        <w:t>46</w:t>
      </w:r>
      <w:r>
        <w:rPr>
          <w:rFonts w:hint="eastAsia"/>
          <w:sz w:val="24"/>
          <w:szCs w:val="24"/>
        </w:rPr>
        <w:fldChar w:fldCharType="end"/>
      </w:r>
      <w:r>
        <w:rPr>
          <w:rFonts w:hint="eastAsia"/>
          <w:sz w:val="24"/>
          <w:szCs w:val="24"/>
        </w:rPr>
        <w:fldChar w:fldCharType="end"/>
      </w:r>
    </w:p>
    <w:p>
      <w:pPr>
        <w:pStyle w:val="23"/>
        <w:tabs>
          <w:tab w:val="right" w:leader="dot" w:pos="8302"/>
        </w:tabs>
        <w:spacing w:line="300" w:lineRule="exact"/>
        <w:rPr>
          <w:rFonts w:hAnsiTheme="minorHAnsi" w:cstheme="minorBidi"/>
          <w:kern w:val="2"/>
          <w:sz w:val="24"/>
          <w:szCs w:val="24"/>
        </w:rPr>
      </w:pPr>
      <w:r>
        <w:fldChar w:fldCharType="begin"/>
      </w:r>
      <w:r>
        <w:instrText xml:space="preserve"> HYPERLINK \l "_Toc119336580" </w:instrText>
      </w:r>
      <w:r>
        <w:fldChar w:fldCharType="separate"/>
      </w:r>
      <w:r>
        <w:rPr>
          <w:rStyle w:val="39"/>
          <w:rFonts w:hint="eastAsia" w:hAnsi="黑体"/>
          <w:b/>
          <w:bCs/>
          <w:sz w:val="24"/>
          <w:szCs w:val="24"/>
        </w:rPr>
        <w:t>附录A.4</w:t>
      </w:r>
      <w:r>
        <w:rPr>
          <w:rFonts w:hint="eastAsia"/>
          <w:sz w:val="24"/>
          <w:szCs w:val="24"/>
        </w:rPr>
        <w:tab/>
      </w:r>
      <w:r>
        <w:rPr>
          <w:rFonts w:hint="eastAsia"/>
          <w:sz w:val="24"/>
          <w:szCs w:val="24"/>
        </w:rPr>
        <w:fldChar w:fldCharType="begin"/>
      </w:r>
      <w:r>
        <w:rPr>
          <w:rFonts w:hint="eastAsia"/>
          <w:sz w:val="24"/>
          <w:szCs w:val="24"/>
        </w:rPr>
        <w:instrText xml:space="preserve"> PAGEREF _Toc119336580 \h </w:instrText>
      </w:r>
      <w:r>
        <w:rPr>
          <w:rFonts w:hint="eastAsia"/>
          <w:sz w:val="24"/>
          <w:szCs w:val="24"/>
        </w:rPr>
        <w:fldChar w:fldCharType="separate"/>
      </w:r>
      <w:r>
        <w:rPr>
          <w:sz w:val="24"/>
          <w:szCs w:val="24"/>
        </w:rPr>
        <w:t>48</w:t>
      </w:r>
      <w:r>
        <w:rPr>
          <w:rFonts w:hint="eastAsia"/>
          <w:sz w:val="24"/>
          <w:szCs w:val="24"/>
        </w:rPr>
        <w:fldChar w:fldCharType="end"/>
      </w:r>
      <w:r>
        <w:rPr>
          <w:rFonts w:hint="eastAsia"/>
          <w:sz w:val="24"/>
          <w:szCs w:val="24"/>
        </w:rPr>
        <w:fldChar w:fldCharType="end"/>
      </w:r>
    </w:p>
    <w:p>
      <w:pPr>
        <w:pStyle w:val="28"/>
        <w:tabs>
          <w:tab w:val="right" w:leader="dot" w:pos="8302"/>
        </w:tabs>
        <w:spacing w:line="300" w:lineRule="exact"/>
        <w:ind w:left="640"/>
        <w:rPr>
          <w:rFonts w:hAnsiTheme="minorHAnsi" w:cstheme="minorBidi"/>
          <w:kern w:val="2"/>
          <w:sz w:val="24"/>
          <w:szCs w:val="24"/>
        </w:rPr>
      </w:pPr>
      <w:r>
        <w:fldChar w:fldCharType="begin"/>
      </w:r>
      <w:r>
        <w:instrText xml:space="preserve"> HYPERLINK \l "_Toc119336581" </w:instrText>
      </w:r>
      <w:r>
        <w:fldChar w:fldCharType="separate"/>
      </w:r>
      <w:r>
        <w:rPr>
          <w:rStyle w:val="39"/>
          <w:rFonts w:hint="eastAsia" w:hAnsi="黑体"/>
          <w:b/>
          <w:bCs/>
          <w:sz w:val="24"/>
          <w:szCs w:val="24"/>
        </w:rPr>
        <w:t>水闸工程运行重大危险源清单</w:t>
      </w:r>
      <w:r>
        <w:rPr>
          <w:rFonts w:hint="eastAsia"/>
          <w:sz w:val="24"/>
          <w:szCs w:val="24"/>
        </w:rPr>
        <w:tab/>
      </w:r>
      <w:r>
        <w:rPr>
          <w:rFonts w:hint="eastAsia"/>
          <w:sz w:val="24"/>
          <w:szCs w:val="24"/>
        </w:rPr>
        <w:fldChar w:fldCharType="begin"/>
      </w:r>
      <w:r>
        <w:rPr>
          <w:rFonts w:hint="eastAsia"/>
          <w:sz w:val="24"/>
          <w:szCs w:val="24"/>
        </w:rPr>
        <w:instrText xml:space="preserve"> PAGEREF _Toc119336581 \h </w:instrText>
      </w:r>
      <w:r>
        <w:rPr>
          <w:rFonts w:hint="eastAsia"/>
          <w:sz w:val="24"/>
          <w:szCs w:val="24"/>
        </w:rPr>
        <w:fldChar w:fldCharType="separate"/>
      </w:r>
      <w:r>
        <w:rPr>
          <w:sz w:val="24"/>
          <w:szCs w:val="24"/>
        </w:rPr>
        <w:t>48</w:t>
      </w:r>
      <w:r>
        <w:rPr>
          <w:rFonts w:hint="eastAsia"/>
          <w:sz w:val="24"/>
          <w:szCs w:val="24"/>
        </w:rPr>
        <w:fldChar w:fldCharType="end"/>
      </w:r>
      <w:r>
        <w:rPr>
          <w:rFonts w:hint="eastAsia"/>
          <w:sz w:val="24"/>
          <w:szCs w:val="24"/>
        </w:rPr>
        <w:fldChar w:fldCharType="end"/>
      </w:r>
    </w:p>
    <w:p>
      <w:pPr>
        <w:pStyle w:val="23"/>
        <w:tabs>
          <w:tab w:val="right" w:leader="dot" w:pos="8302"/>
        </w:tabs>
        <w:spacing w:line="300" w:lineRule="exact"/>
        <w:rPr>
          <w:rFonts w:hAnsiTheme="minorHAnsi" w:cstheme="minorBidi"/>
          <w:kern w:val="2"/>
          <w:sz w:val="24"/>
          <w:szCs w:val="24"/>
        </w:rPr>
      </w:pPr>
      <w:r>
        <w:fldChar w:fldCharType="begin"/>
      </w:r>
      <w:r>
        <w:instrText xml:space="preserve"> HYPERLINK \l "_Toc119336582" </w:instrText>
      </w:r>
      <w:r>
        <w:fldChar w:fldCharType="separate"/>
      </w:r>
      <w:r>
        <w:rPr>
          <w:rStyle w:val="39"/>
          <w:rFonts w:hint="eastAsia" w:hAnsi="黑体"/>
          <w:b/>
          <w:bCs/>
          <w:sz w:val="24"/>
          <w:szCs w:val="24"/>
        </w:rPr>
        <w:t>附录A.5</w:t>
      </w:r>
      <w:r>
        <w:rPr>
          <w:rFonts w:hint="eastAsia"/>
          <w:sz w:val="24"/>
          <w:szCs w:val="24"/>
        </w:rPr>
        <w:tab/>
      </w:r>
      <w:r>
        <w:rPr>
          <w:rFonts w:hint="eastAsia"/>
          <w:sz w:val="24"/>
          <w:szCs w:val="24"/>
        </w:rPr>
        <w:fldChar w:fldCharType="begin"/>
      </w:r>
      <w:r>
        <w:rPr>
          <w:rFonts w:hint="eastAsia"/>
          <w:sz w:val="24"/>
          <w:szCs w:val="24"/>
        </w:rPr>
        <w:instrText xml:space="preserve"> PAGEREF _Toc119336582 \h </w:instrText>
      </w:r>
      <w:r>
        <w:rPr>
          <w:rFonts w:hint="eastAsia"/>
          <w:sz w:val="24"/>
          <w:szCs w:val="24"/>
        </w:rPr>
        <w:fldChar w:fldCharType="separate"/>
      </w:r>
      <w:r>
        <w:rPr>
          <w:sz w:val="24"/>
          <w:szCs w:val="24"/>
        </w:rPr>
        <w:t>49</w:t>
      </w:r>
      <w:r>
        <w:rPr>
          <w:rFonts w:hint="eastAsia"/>
          <w:sz w:val="24"/>
          <w:szCs w:val="24"/>
        </w:rPr>
        <w:fldChar w:fldCharType="end"/>
      </w:r>
      <w:r>
        <w:rPr>
          <w:rFonts w:hint="eastAsia"/>
          <w:sz w:val="24"/>
          <w:szCs w:val="24"/>
        </w:rPr>
        <w:fldChar w:fldCharType="end"/>
      </w:r>
    </w:p>
    <w:p>
      <w:pPr>
        <w:pStyle w:val="28"/>
        <w:tabs>
          <w:tab w:val="right" w:leader="dot" w:pos="8302"/>
        </w:tabs>
        <w:spacing w:line="300" w:lineRule="exact"/>
        <w:ind w:left="640"/>
        <w:rPr>
          <w:rFonts w:hAnsiTheme="minorHAnsi" w:cstheme="minorBidi"/>
          <w:kern w:val="2"/>
          <w:sz w:val="24"/>
          <w:szCs w:val="24"/>
        </w:rPr>
      </w:pPr>
      <w:r>
        <w:fldChar w:fldCharType="begin"/>
      </w:r>
      <w:r>
        <w:instrText xml:space="preserve"> HYPERLINK \l "_Toc119336583" </w:instrText>
      </w:r>
      <w:r>
        <w:fldChar w:fldCharType="separate"/>
      </w:r>
      <w:r>
        <w:rPr>
          <w:rStyle w:val="39"/>
          <w:rFonts w:hint="eastAsia" w:hAnsi="黑体"/>
          <w:b/>
          <w:bCs/>
          <w:sz w:val="24"/>
          <w:szCs w:val="24"/>
        </w:rPr>
        <w:t>水库工程运行一般危险源风险评价赋分表（指南）</w:t>
      </w:r>
      <w:r>
        <w:rPr>
          <w:rFonts w:hint="eastAsia"/>
          <w:sz w:val="24"/>
          <w:szCs w:val="24"/>
        </w:rPr>
        <w:tab/>
      </w:r>
      <w:r>
        <w:rPr>
          <w:rFonts w:hint="eastAsia"/>
          <w:sz w:val="24"/>
          <w:szCs w:val="24"/>
        </w:rPr>
        <w:fldChar w:fldCharType="begin"/>
      </w:r>
      <w:r>
        <w:rPr>
          <w:rFonts w:hint="eastAsia"/>
          <w:sz w:val="24"/>
          <w:szCs w:val="24"/>
        </w:rPr>
        <w:instrText xml:space="preserve"> PAGEREF _Toc119336583 \h </w:instrText>
      </w:r>
      <w:r>
        <w:rPr>
          <w:rFonts w:hint="eastAsia"/>
          <w:sz w:val="24"/>
          <w:szCs w:val="24"/>
        </w:rPr>
        <w:fldChar w:fldCharType="separate"/>
      </w:r>
      <w:r>
        <w:rPr>
          <w:sz w:val="24"/>
          <w:szCs w:val="24"/>
        </w:rPr>
        <w:t>49</w:t>
      </w:r>
      <w:r>
        <w:rPr>
          <w:rFonts w:hint="eastAsia"/>
          <w:sz w:val="24"/>
          <w:szCs w:val="24"/>
        </w:rPr>
        <w:fldChar w:fldCharType="end"/>
      </w:r>
      <w:r>
        <w:rPr>
          <w:rFonts w:hint="eastAsia"/>
          <w:sz w:val="24"/>
          <w:szCs w:val="24"/>
        </w:rPr>
        <w:fldChar w:fldCharType="end"/>
      </w:r>
    </w:p>
    <w:p>
      <w:pPr>
        <w:pStyle w:val="23"/>
        <w:tabs>
          <w:tab w:val="right" w:leader="dot" w:pos="8302"/>
        </w:tabs>
        <w:spacing w:line="300" w:lineRule="exact"/>
        <w:rPr>
          <w:rFonts w:hAnsiTheme="minorHAnsi" w:cstheme="minorBidi"/>
          <w:kern w:val="2"/>
          <w:sz w:val="24"/>
          <w:szCs w:val="24"/>
        </w:rPr>
      </w:pPr>
      <w:r>
        <w:fldChar w:fldCharType="begin"/>
      </w:r>
      <w:r>
        <w:instrText xml:space="preserve"> HYPERLINK \l "_Toc119336584" </w:instrText>
      </w:r>
      <w:r>
        <w:fldChar w:fldCharType="separate"/>
      </w:r>
      <w:r>
        <w:rPr>
          <w:rStyle w:val="39"/>
          <w:rFonts w:hint="eastAsia" w:hAnsi="黑体"/>
          <w:b/>
          <w:bCs/>
          <w:sz w:val="24"/>
          <w:szCs w:val="24"/>
        </w:rPr>
        <w:t>附录A.6</w:t>
      </w:r>
      <w:r>
        <w:rPr>
          <w:rFonts w:hint="eastAsia"/>
          <w:sz w:val="24"/>
          <w:szCs w:val="24"/>
        </w:rPr>
        <w:tab/>
      </w:r>
      <w:r>
        <w:rPr>
          <w:rFonts w:hint="eastAsia"/>
          <w:sz w:val="24"/>
          <w:szCs w:val="24"/>
        </w:rPr>
        <w:fldChar w:fldCharType="begin"/>
      </w:r>
      <w:r>
        <w:rPr>
          <w:rFonts w:hint="eastAsia"/>
          <w:sz w:val="24"/>
          <w:szCs w:val="24"/>
        </w:rPr>
        <w:instrText xml:space="preserve"> PAGEREF _Toc119336584 \h </w:instrText>
      </w:r>
      <w:r>
        <w:rPr>
          <w:rFonts w:hint="eastAsia"/>
          <w:sz w:val="24"/>
          <w:szCs w:val="24"/>
        </w:rPr>
        <w:fldChar w:fldCharType="separate"/>
      </w:r>
      <w:r>
        <w:rPr>
          <w:sz w:val="24"/>
          <w:szCs w:val="24"/>
        </w:rPr>
        <w:t>56</w:t>
      </w:r>
      <w:r>
        <w:rPr>
          <w:rFonts w:hint="eastAsia"/>
          <w:sz w:val="24"/>
          <w:szCs w:val="24"/>
        </w:rPr>
        <w:fldChar w:fldCharType="end"/>
      </w:r>
      <w:r>
        <w:rPr>
          <w:rFonts w:hint="eastAsia"/>
          <w:sz w:val="24"/>
          <w:szCs w:val="24"/>
        </w:rPr>
        <w:fldChar w:fldCharType="end"/>
      </w:r>
    </w:p>
    <w:p>
      <w:pPr>
        <w:pStyle w:val="28"/>
        <w:tabs>
          <w:tab w:val="right" w:leader="dot" w:pos="8302"/>
        </w:tabs>
        <w:spacing w:line="300" w:lineRule="exact"/>
        <w:ind w:left="640"/>
        <w:rPr>
          <w:rFonts w:hAnsiTheme="minorHAnsi" w:cstheme="minorBidi"/>
          <w:kern w:val="2"/>
          <w:sz w:val="24"/>
          <w:szCs w:val="24"/>
        </w:rPr>
      </w:pPr>
      <w:r>
        <w:fldChar w:fldCharType="begin"/>
      </w:r>
      <w:r>
        <w:instrText xml:space="preserve"> HYPERLINK \l "_Toc119336585" </w:instrText>
      </w:r>
      <w:r>
        <w:fldChar w:fldCharType="separate"/>
      </w:r>
      <w:r>
        <w:rPr>
          <w:rStyle w:val="39"/>
          <w:rFonts w:hint="eastAsia" w:hAnsi="黑体"/>
          <w:b/>
          <w:bCs/>
          <w:sz w:val="24"/>
          <w:szCs w:val="24"/>
        </w:rPr>
        <w:t>水闸工程运行一般危险源风险评价赋分表（指南）</w:t>
      </w:r>
      <w:r>
        <w:rPr>
          <w:rFonts w:hint="eastAsia"/>
          <w:sz w:val="24"/>
          <w:szCs w:val="24"/>
        </w:rPr>
        <w:tab/>
      </w:r>
      <w:r>
        <w:rPr>
          <w:rFonts w:hint="eastAsia"/>
          <w:sz w:val="24"/>
          <w:szCs w:val="24"/>
        </w:rPr>
        <w:fldChar w:fldCharType="begin"/>
      </w:r>
      <w:r>
        <w:rPr>
          <w:rFonts w:hint="eastAsia"/>
          <w:sz w:val="24"/>
          <w:szCs w:val="24"/>
        </w:rPr>
        <w:instrText xml:space="preserve"> PAGEREF _Toc119336585 \h </w:instrText>
      </w:r>
      <w:r>
        <w:rPr>
          <w:rFonts w:hint="eastAsia"/>
          <w:sz w:val="24"/>
          <w:szCs w:val="24"/>
        </w:rPr>
        <w:fldChar w:fldCharType="separate"/>
      </w:r>
      <w:r>
        <w:rPr>
          <w:sz w:val="24"/>
          <w:szCs w:val="24"/>
        </w:rPr>
        <w:t>56</w:t>
      </w:r>
      <w:r>
        <w:rPr>
          <w:rFonts w:hint="eastAsia"/>
          <w:sz w:val="24"/>
          <w:szCs w:val="24"/>
        </w:rPr>
        <w:fldChar w:fldCharType="end"/>
      </w:r>
      <w:r>
        <w:rPr>
          <w:rFonts w:hint="eastAsia"/>
          <w:sz w:val="24"/>
          <w:szCs w:val="24"/>
        </w:rPr>
        <w:fldChar w:fldCharType="end"/>
      </w:r>
    </w:p>
    <w:p>
      <w:pPr>
        <w:pStyle w:val="23"/>
        <w:tabs>
          <w:tab w:val="right" w:leader="dot" w:pos="8302"/>
        </w:tabs>
        <w:spacing w:line="300" w:lineRule="exact"/>
        <w:rPr>
          <w:rFonts w:hAnsiTheme="minorHAnsi" w:cstheme="minorBidi"/>
          <w:kern w:val="2"/>
          <w:sz w:val="24"/>
          <w:szCs w:val="24"/>
        </w:rPr>
      </w:pPr>
      <w:r>
        <w:fldChar w:fldCharType="begin"/>
      </w:r>
      <w:r>
        <w:instrText xml:space="preserve"> HYPERLINK \l "_Toc119336586" </w:instrText>
      </w:r>
      <w:r>
        <w:fldChar w:fldCharType="separate"/>
      </w:r>
      <w:r>
        <w:rPr>
          <w:rStyle w:val="39"/>
          <w:rFonts w:hint="eastAsia" w:hAnsi="黑体"/>
          <w:b/>
          <w:bCs/>
          <w:sz w:val="24"/>
          <w:szCs w:val="24"/>
        </w:rPr>
        <w:t>附录A.7</w:t>
      </w:r>
      <w:r>
        <w:rPr>
          <w:rFonts w:hint="eastAsia"/>
          <w:sz w:val="24"/>
          <w:szCs w:val="24"/>
        </w:rPr>
        <w:tab/>
      </w:r>
      <w:r>
        <w:rPr>
          <w:rFonts w:hint="eastAsia"/>
          <w:sz w:val="24"/>
          <w:szCs w:val="24"/>
        </w:rPr>
        <w:fldChar w:fldCharType="begin"/>
      </w:r>
      <w:r>
        <w:rPr>
          <w:rFonts w:hint="eastAsia"/>
          <w:sz w:val="24"/>
          <w:szCs w:val="24"/>
        </w:rPr>
        <w:instrText xml:space="preserve"> PAGEREF _Toc119336586 \h </w:instrText>
      </w:r>
      <w:r>
        <w:rPr>
          <w:rFonts w:hint="eastAsia"/>
          <w:sz w:val="24"/>
          <w:szCs w:val="24"/>
        </w:rPr>
        <w:fldChar w:fldCharType="separate"/>
      </w:r>
      <w:r>
        <w:rPr>
          <w:sz w:val="24"/>
          <w:szCs w:val="24"/>
        </w:rPr>
        <w:t>64</w:t>
      </w:r>
      <w:r>
        <w:rPr>
          <w:rFonts w:hint="eastAsia"/>
          <w:sz w:val="24"/>
          <w:szCs w:val="24"/>
        </w:rPr>
        <w:fldChar w:fldCharType="end"/>
      </w:r>
      <w:r>
        <w:rPr>
          <w:rFonts w:hint="eastAsia"/>
          <w:sz w:val="24"/>
          <w:szCs w:val="24"/>
        </w:rPr>
        <w:fldChar w:fldCharType="end"/>
      </w:r>
    </w:p>
    <w:p>
      <w:pPr>
        <w:pStyle w:val="28"/>
        <w:tabs>
          <w:tab w:val="right" w:leader="dot" w:pos="8302"/>
        </w:tabs>
        <w:spacing w:line="300" w:lineRule="exact"/>
        <w:ind w:left="640"/>
        <w:rPr>
          <w:rFonts w:hAnsiTheme="minorHAnsi" w:cstheme="minorBidi"/>
          <w:kern w:val="2"/>
          <w:sz w:val="24"/>
          <w:szCs w:val="24"/>
        </w:rPr>
      </w:pPr>
      <w:r>
        <w:fldChar w:fldCharType="begin"/>
      </w:r>
      <w:r>
        <w:instrText xml:space="preserve"> HYPERLINK \l "_Toc119336587" </w:instrText>
      </w:r>
      <w:r>
        <w:fldChar w:fldCharType="separate"/>
      </w:r>
      <w:r>
        <w:rPr>
          <w:rStyle w:val="39"/>
          <w:rFonts w:hint="eastAsia" w:hAnsi="黑体"/>
          <w:b/>
          <w:bCs/>
          <w:sz w:val="24"/>
          <w:szCs w:val="24"/>
        </w:rPr>
        <w:t>水电站工程运行重大危险源清单</w:t>
      </w:r>
      <w:r>
        <w:rPr>
          <w:rFonts w:hint="eastAsia"/>
          <w:sz w:val="24"/>
          <w:szCs w:val="24"/>
        </w:rPr>
        <w:tab/>
      </w:r>
      <w:r>
        <w:rPr>
          <w:rFonts w:hint="eastAsia"/>
          <w:sz w:val="24"/>
          <w:szCs w:val="24"/>
        </w:rPr>
        <w:fldChar w:fldCharType="begin"/>
      </w:r>
      <w:r>
        <w:rPr>
          <w:rFonts w:hint="eastAsia"/>
          <w:sz w:val="24"/>
          <w:szCs w:val="24"/>
        </w:rPr>
        <w:instrText xml:space="preserve"> PAGEREF _Toc119336587 \h </w:instrText>
      </w:r>
      <w:r>
        <w:rPr>
          <w:rFonts w:hint="eastAsia"/>
          <w:sz w:val="24"/>
          <w:szCs w:val="24"/>
        </w:rPr>
        <w:fldChar w:fldCharType="separate"/>
      </w:r>
      <w:r>
        <w:rPr>
          <w:sz w:val="24"/>
          <w:szCs w:val="24"/>
        </w:rPr>
        <w:t>64</w:t>
      </w:r>
      <w:r>
        <w:rPr>
          <w:rFonts w:hint="eastAsia"/>
          <w:sz w:val="24"/>
          <w:szCs w:val="24"/>
        </w:rPr>
        <w:fldChar w:fldCharType="end"/>
      </w:r>
      <w:r>
        <w:rPr>
          <w:rFonts w:hint="eastAsia"/>
          <w:sz w:val="24"/>
          <w:szCs w:val="24"/>
        </w:rPr>
        <w:fldChar w:fldCharType="end"/>
      </w:r>
    </w:p>
    <w:p>
      <w:pPr>
        <w:pStyle w:val="23"/>
        <w:tabs>
          <w:tab w:val="right" w:leader="dot" w:pos="8302"/>
        </w:tabs>
        <w:spacing w:line="300" w:lineRule="exact"/>
        <w:rPr>
          <w:rFonts w:hAnsiTheme="minorHAnsi" w:cstheme="minorBidi"/>
          <w:kern w:val="2"/>
          <w:sz w:val="24"/>
          <w:szCs w:val="24"/>
        </w:rPr>
      </w:pPr>
      <w:r>
        <w:fldChar w:fldCharType="begin"/>
      </w:r>
      <w:r>
        <w:instrText xml:space="preserve"> HYPERLINK \l "_Toc119336588" </w:instrText>
      </w:r>
      <w:r>
        <w:fldChar w:fldCharType="separate"/>
      </w:r>
      <w:r>
        <w:rPr>
          <w:rStyle w:val="39"/>
          <w:rFonts w:hint="eastAsia" w:hAnsi="黑体"/>
          <w:b/>
          <w:bCs/>
          <w:sz w:val="24"/>
          <w:szCs w:val="24"/>
        </w:rPr>
        <w:t>附录A.8</w:t>
      </w:r>
      <w:r>
        <w:rPr>
          <w:rFonts w:hint="eastAsia"/>
          <w:sz w:val="24"/>
          <w:szCs w:val="24"/>
        </w:rPr>
        <w:tab/>
      </w:r>
      <w:r>
        <w:rPr>
          <w:rFonts w:hint="eastAsia"/>
          <w:sz w:val="24"/>
          <w:szCs w:val="24"/>
        </w:rPr>
        <w:fldChar w:fldCharType="begin"/>
      </w:r>
      <w:r>
        <w:rPr>
          <w:rFonts w:hint="eastAsia"/>
          <w:sz w:val="24"/>
          <w:szCs w:val="24"/>
        </w:rPr>
        <w:instrText xml:space="preserve"> PAGEREF _Toc119336588 \h </w:instrText>
      </w:r>
      <w:r>
        <w:rPr>
          <w:rFonts w:hint="eastAsia"/>
          <w:sz w:val="24"/>
          <w:szCs w:val="24"/>
        </w:rPr>
        <w:fldChar w:fldCharType="separate"/>
      </w:r>
      <w:r>
        <w:rPr>
          <w:sz w:val="24"/>
          <w:szCs w:val="24"/>
        </w:rPr>
        <w:t>65</w:t>
      </w:r>
      <w:r>
        <w:rPr>
          <w:rFonts w:hint="eastAsia"/>
          <w:sz w:val="24"/>
          <w:szCs w:val="24"/>
        </w:rPr>
        <w:fldChar w:fldCharType="end"/>
      </w:r>
      <w:r>
        <w:rPr>
          <w:rFonts w:hint="eastAsia"/>
          <w:sz w:val="24"/>
          <w:szCs w:val="24"/>
        </w:rPr>
        <w:fldChar w:fldCharType="end"/>
      </w:r>
    </w:p>
    <w:p>
      <w:pPr>
        <w:pStyle w:val="28"/>
        <w:tabs>
          <w:tab w:val="right" w:leader="dot" w:pos="8302"/>
        </w:tabs>
        <w:spacing w:line="300" w:lineRule="exact"/>
        <w:ind w:left="640"/>
        <w:rPr>
          <w:rFonts w:hAnsiTheme="minorHAnsi" w:cstheme="minorBidi"/>
          <w:kern w:val="2"/>
          <w:sz w:val="24"/>
          <w:szCs w:val="24"/>
        </w:rPr>
      </w:pPr>
      <w:r>
        <w:fldChar w:fldCharType="begin"/>
      </w:r>
      <w:r>
        <w:instrText xml:space="preserve"> HYPERLINK \l "_Toc119336589" </w:instrText>
      </w:r>
      <w:r>
        <w:fldChar w:fldCharType="separate"/>
      </w:r>
      <w:r>
        <w:rPr>
          <w:rStyle w:val="39"/>
          <w:rFonts w:hint="eastAsia" w:hAnsi="黑体"/>
          <w:b/>
          <w:bCs/>
          <w:sz w:val="24"/>
          <w:szCs w:val="24"/>
        </w:rPr>
        <w:t>泵站工程运行重大危险源清单</w:t>
      </w:r>
      <w:r>
        <w:rPr>
          <w:rFonts w:hint="eastAsia"/>
          <w:sz w:val="24"/>
          <w:szCs w:val="24"/>
        </w:rPr>
        <w:tab/>
      </w:r>
      <w:r>
        <w:rPr>
          <w:rFonts w:hint="eastAsia"/>
          <w:sz w:val="24"/>
          <w:szCs w:val="24"/>
        </w:rPr>
        <w:fldChar w:fldCharType="begin"/>
      </w:r>
      <w:r>
        <w:rPr>
          <w:rFonts w:hint="eastAsia"/>
          <w:sz w:val="24"/>
          <w:szCs w:val="24"/>
        </w:rPr>
        <w:instrText xml:space="preserve"> PAGEREF _Toc119336589 \h </w:instrText>
      </w:r>
      <w:r>
        <w:rPr>
          <w:rFonts w:hint="eastAsia"/>
          <w:sz w:val="24"/>
          <w:szCs w:val="24"/>
        </w:rPr>
        <w:fldChar w:fldCharType="separate"/>
      </w:r>
      <w:r>
        <w:rPr>
          <w:sz w:val="24"/>
          <w:szCs w:val="24"/>
        </w:rPr>
        <w:t>65</w:t>
      </w:r>
      <w:r>
        <w:rPr>
          <w:rFonts w:hint="eastAsia"/>
          <w:sz w:val="24"/>
          <w:szCs w:val="24"/>
        </w:rPr>
        <w:fldChar w:fldCharType="end"/>
      </w:r>
      <w:r>
        <w:rPr>
          <w:rFonts w:hint="eastAsia"/>
          <w:sz w:val="24"/>
          <w:szCs w:val="24"/>
        </w:rPr>
        <w:fldChar w:fldCharType="end"/>
      </w:r>
    </w:p>
    <w:p>
      <w:pPr>
        <w:pStyle w:val="23"/>
        <w:tabs>
          <w:tab w:val="right" w:leader="dot" w:pos="8302"/>
        </w:tabs>
        <w:spacing w:line="300" w:lineRule="exact"/>
        <w:rPr>
          <w:rFonts w:hAnsiTheme="minorHAnsi" w:cstheme="minorBidi"/>
          <w:kern w:val="2"/>
          <w:sz w:val="24"/>
          <w:szCs w:val="24"/>
        </w:rPr>
      </w:pPr>
      <w:r>
        <w:fldChar w:fldCharType="begin"/>
      </w:r>
      <w:r>
        <w:instrText xml:space="preserve"> HYPERLINK \l "_Toc119336590" </w:instrText>
      </w:r>
      <w:r>
        <w:fldChar w:fldCharType="separate"/>
      </w:r>
      <w:r>
        <w:rPr>
          <w:rStyle w:val="39"/>
          <w:rFonts w:hint="eastAsia" w:hAnsi="黑体"/>
          <w:b/>
          <w:bCs/>
          <w:sz w:val="24"/>
          <w:szCs w:val="24"/>
        </w:rPr>
        <w:t>附录A.9</w:t>
      </w:r>
      <w:r>
        <w:rPr>
          <w:rFonts w:hint="eastAsia"/>
          <w:sz w:val="24"/>
          <w:szCs w:val="24"/>
        </w:rPr>
        <w:tab/>
      </w:r>
      <w:r>
        <w:rPr>
          <w:rFonts w:hint="eastAsia"/>
          <w:sz w:val="24"/>
          <w:szCs w:val="24"/>
        </w:rPr>
        <w:fldChar w:fldCharType="begin"/>
      </w:r>
      <w:r>
        <w:rPr>
          <w:rFonts w:hint="eastAsia"/>
          <w:sz w:val="24"/>
          <w:szCs w:val="24"/>
        </w:rPr>
        <w:instrText xml:space="preserve"> PAGEREF _Toc119336590 \h </w:instrText>
      </w:r>
      <w:r>
        <w:rPr>
          <w:rFonts w:hint="eastAsia"/>
          <w:sz w:val="24"/>
          <w:szCs w:val="24"/>
        </w:rPr>
        <w:fldChar w:fldCharType="separate"/>
      </w:r>
      <w:r>
        <w:rPr>
          <w:sz w:val="24"/>
          <w:szCs w:val="24"/>
        </w:rPr>
        <w:t>66</w:t>
      </w:r>
      <w:r>
        <w:rPr>
          <w:rFonts w:hint="eastAsia"/>
          <w:sz w:val="24"/>
          <w:szCs w:val="24"/>
        </w:rPr>
        <w:fldChar w:fldCharType="end"/>
      </w:r>
      <w:r>
        <w:rPr>
          <w:rFonts w:hint="eastAsia"/>
          <w:sz w:val="24"/>
          <w:szCs w:val="24"/>
        </w:rPr>
        <w:fldChar w:fldCharType="end"/>
      </w:r>
    </w:p>
    <w:p>
      <w:pPr>
        <w:pStyle w:val="28"/>
        <w:tabs>
          <w:tab w:val="right" w:leader="dot" w:pos="8302"/>
        </w:tabs>
        <w:spacing w:line="300" w:lineRule="exact"/>
        <w:ind w:left="640"/>
        <w:rPr>
          <w:rFonts w:hAnsiTheme="minorHAnsi" w:cstheme="minorBidi"/>
          <w:kern w:val="2"/>
          <w:sz w:val="24"/>
          <w:szCs w:val="24"/>
        </w:rPr>
      </w:pPr>
      <w:r>
        <w:fldChar w:fldCharType="begin"/>
      </w:r>
      <w:r>
        <w:instrText xml:space="preserve"> HYPERLINK \l "_Toc119336591" </w:instrText>
      </w:r>
      <w:r>
        <w:fldChar w:fldCharType="separate"/>
      </w:r>
      <w:r>
        <w:rPr>
          <w:rStyle w:val="39"/>
          <w:rFonts w:hint="eastAsia" w:hAnsi="黑体"/>
          <w:b/>
          <w:bCs/>
          <w:sz w:val="24"/>
          <w:szCs w:val="24"/>
        </w:rPr>
        <w:t>水电站工程运行一般危险源风险评价赋分表（指南）</w:t>
      </w:r>
      <w:r>
        <w:rPr>
          <w:rFonts w:hint="eastAsia"/>
          <w:sz w:val="24"/>
          <w:szCs w:val="24"/>
        </w:rPr>
        <w:tab/>
      </w:r>
      <w:r>
        <w:rPr>
          <w:rFonts w:hint="eastAsia"/>
          <w:sz w:val="24"/>
          <w:szCs w:val="24"/>
        </w:rPr>
        <w:fldChar w:fldCharType="begin"/>
      </w:r>
      <w:r>
        <w:rPr>
          <w:rFonts w:hint="eastAsia"/>
          <w:sz w:val="24"/>
          <w:szCs w:val="24"/>
        </w:rPr>
        <w:instrText xml:space="preserve"> PAGEREF _Toc119336591 \h </w:instrText>
      </w:r>
      <w:r>
        <w:rPr>
          <w:rFonts w:hint="eastAsia"/>
          <w:sz w:val="24"/>
          <w:szCs w:val="24"/>
        </w:rPr>
        <w:fldChar w:fldCharType="separate"/>
      </w:r>
      <w:r>
        <w:rPr>
          <w:sz w:val="24"/>
          <w:szCs w:val="24"/>
        </w:rPr>
        <w:t>66</w:t>
      </w:r>
      <w:r>
        <w:rPr>
          <w:rFonts w:hint="eastAsia"/>
          <w:sz w:val="24"/>
          <w:szCs w:val="24"/>
        </w:rPr>
        <w:fldChar w:fldCharType="end"/>
      </w:r>
      <w:r>
        <w:rPr>
          <w:rFonts w:hint="eastAsia"/>
          <w:sz w:val="24"/>
          <w:szCs w:val="24"/>
        </w:rPr>
        <w:fldChar w:fldCharType="end"/>
      </w:r>
    </w:p>
    <w:p>
      <w:pPr>
        <w:pStyle w:val="23"/>
        <w:tabs>
          <w:tab w:val="right" w:leader="dot" w:pos="8302"/>
        </w:tabs>
        <w:spacing w:line="300" w:lineRule="exact"/>
        <w:rPr>
          <w:rFonts w:hAnsiTheme="minorHAnsi" w:cstheme="minorBidi"/>
          <w:kern w:val="2"/>
          <w:sz w:val="24"/>
          <w:szCs w:val="24"/>
        </w:rPr>
      </w:pPr>
      <w:r>
        <w:fldChar w:fldCharType="begin"/>
      </w:r>
      <w:r>
        <w:instrText xml:space="preserve"> HYPERLINK \l "_Toc119336592" </w:instrText>
      </w:r>
      <w:r>
        <w:fldChar w:fldCharType="separate"/>
      </w:r>
      <w:r>
        <w:rPr>
          <w:rStyle w:val="39"/>
          <w:rFonts w:hint="eastAsia" w:hAnsi="黑体"/>
          <w:b/>
          <w:bCs/>
          <w:sz w:val="24"/>
          <w:szCs w:val="24"/>
        </w:rPr>
        <w:t>附录A.10</w:t>
      </w:r>
      <w:r>
        <w:rPr>
          <w:rFonts w:hint="eastAsia"/>
          <w:sz w:val="24"/>
          <w:szCs w:val="24"/>
        </w:rPr>
        <w:tab/>
      </w:r>
      <w:r>
        <w:rPr>
          <w:rFonts w:hint="eastAsia"/>
          <w:sz w:val="24"/>
          <w:szCs w:val="24"/>
        </w:rPr>
        <w:fldChar w:fldCharType="begin"/>
      </w:r>
      <w:r>
        <w:rPr>
          <w:rFonts w:hint="eastAsia"/>
          <w:sz w:val="24"/>
          <w:szCs w:val="24"/>
        </w:rPr>
        <w:instrText xml:space="preserve"> PAGEREF _Toc119336592 \h </w:instrText>
      </w:r>
      <w:r>
        <w:rPr>
          <w:rFonts w:hint="eastAsia"/>
          <w:sz w:val="24"/>
          <w:szCs w:val="24"/>
        </w:rPr>
        <w:fldChar w:fldCharType="separate"/>
      </w:r>
      <w:r>
        <w:rPr>
          <w:sz w:val="24"/>
          <w:szCs w:val="24"/>
        </w:rPr>
        <w:t>72</w:t>
      </w:r>
      <w:r>
        <w:rPr>
          <w:rFonts w:hint="eastAsia"/>
          <w:sz w:val="24"/>
          <w:szCs w:val="24"/>
        </w:rPr>
        <w:fldChar w:fldCharType="end"/>
      </w:r>
      <w:r>
        <w:rPr>
          <w:rFonts w:hint="eastAsia"/>
          <w:sz w:val="24"/>
          <w:szCs w:val="24"/>
        </w:rPr>
        <w:fldChar w:fldCharType="end"/>
      </w:r>
    </w:p>
    <w:p>
      <w:pPr>
        <w:pStyle w:val="28"/>
        <w:tabs>
          <w:tab w:val="right" w:leader="dot" w:pos="8302"/>
        </w:tabs>
        <w:spacing w:line="300" w:lineRule="exact"/>
        <w:ind w:left="640"/>
        <w:rPr>
          <w:rFonts w:hAnsiTheme="minorHAnsi" w:cstheme="minorBidi"/>
          <w:kern w:val="2"/>
          <w:sz w:val="24"/>
          <w:szCs w:val="24"/>
        </w:rPr>
      </w:pPr>
      <w:r>
        <w:fldChar w:fldCharType="begin"/>
      </w:r>
      <w:r>
        <w:instrText xml:space="preserve"> HYPERLINK \l "_Toc119336593" </w:instrText>
      </w:r>
      <w:r>
        <w:fldChar w:fldCharType="separate"/>
      </w:r>
      <w:r>
        <w:rPr>
          <w:rStyle w:val="39"/>
          <w:rFonts w:hint="eastAsia" w:hAnsi="黑体"/>
          <w:b/>
          <w:bCs/>
          <w:sz w:val="24"/>
          <w:szCs w:val="24"/>
        </w:rPr>
        <w:t>泵站工程运行一般危险源风险评价赋分表（指南）</w:t>
      </w:r>
      <w:r>
        <w:rPr>
          <w:rFonts w:hint="eastAsia"/>
          <w:sz w:val="24"/>
          <w:szCs w:val="24"/>
        </w:rPr>
        <w:tab/>
      </w:r>
      <w:r>
        <w:rPr>
          <w:rFonts w:hint="eastAsia"/>
          <w:sz w:val="24"/>
          <w:szCs w:val="24"/>
        </w:rPr>
        <w:fldChar w:fldCharType="begin"/>
      </w:r>
      <w:r>
        <w:rPr>
          <w:rFonts w:hint="eastAsia"/>
          <w:sz w:val="24"/>
          <w:szCs w:val="24"/>
        </w:rPr>
        <w:instrText xml:space="preserve"> PAGEREF _Toc119336593 \h </w:instrText>
      </w:r>
      <w:r>
        <w:rPr>
          <w:rFonts w:hint="eastAsia"/>
          <w:sz w:val="24"/>
          <w:szCs w:val="24"/>
        </w:rPr>
        <w:fldChar w:fldCharType="separate"/>
      </w:r>
      <w:r>
        <w:rPr>
          <w:sz w:val="24"/>
          <w:szCs w:val="24"/>
        </w:rPr>
        <w:t>72</w:t>
      </w:r>
      <w:r>
        <w:rPr>
          <w:rFonts w:hint="eastAsia"/>
          <w:sz w:val="24"/>
          <w:szCs w:val="24"/>
        </w:rPr>
        <w:fldChar w:fldCharType="end"/>
      </w:r>
      <w:r>
        <w:rPr>
          <w:rFonts w:hint="eastAsia"/>
          <w:sz w:val="24"/>
          <w:szCs w:val="24"/>
        </w:rPr>
        <w:fldChar w:fldCharType="end"/>
      </w:r>
    </w:p>
    <w:p>
      <w:pPr>
        <w:pStyle w:val="23"/>
        <w:tabs>
          <w:tab w:val="right" w:leader="dot" w:pos="8302"/>
        </w:tabs>
        <w:spacing w:line="300" w:lineRule="exact"/>
        <w:rPr>
          <w:rFonts w:hAnsiTheme="minorHAnsi" w:cstheme="minorBidi"/>
          <w:kern w:val="2"/>
          <w:sz w:val="24"/>
          <w:szCs w:val="24"/>
        </w:rPr>
      </w:pPr>
      <w:r>
        <w:fldChar w:fldCharType="begin"/>
      </w:r>
      <w:r>
        <w:instrText xml:space="preserve"> HYPERLINK \l "_Toc119336594" </w:instrText>
      </w:r>
      <w:r>
        <w:fldChar w:fldCharType="separate"/>
      </w:r>
      <w:r>
        <w:rPr>
          <w:rStyle w:val="39"/>
          <w:rFonts w:hint="eastAsia" w:hAnsi="黑体"/>
          <w:b/>
          <w:bCs/>
          <w:sz w:val="24"/>
          <w:szCs w:val="24"/>
        </w:rPr>
        <w:t>附录A.11</w:t>
      </w:r>
      <w:r>
        <w:rPr>
          <w:rFonts w:hint="eastAsia"/>
          <w:sz w:val="24"/>
          <w:szCs w:val="24"/>
        </w:rPr>
        <w:tab/>
      </w:r>
      <w:r>
        <w:rPr>
          <w:rFonts w:hint="eastAsia"/>
          <w:sz w:val="24"/>
          <w:szCs w:val="24"/>
        </w:rPr>
        <w:fldChar w:fldCharType="begin"/>
      </w:r>
      <w:r>
        <w:rPr>
          <w:rFonts w:hint="eastAsia"/>
          <w:sz w:val="24"/>
          <w:szCs w:val="24"/>
        </w:rPr>
        <w:instrText xml:space="preserve"> PAGEREF _Toc119336594 \h </w:instrText>
      </w:r>
      <w:r>
        <w:rPr>
          <w:rFonts w:hint="eastAsia"/>
          <w:sz w:val="24"/>
          <w:szCs w:val="24"/>
        </w:rPr>
        <w:fldChar w:fldCharType="separate"/>
      </w:r>
      <w:r>
        <w:rPr>
          <w:sz w:val="24"/>
          <w:szCs w:val="24"/>
        </w:rPr>
        <w:t>79</w:t>
      </w:r>
      <w:r>
        <w:rPr>
          <w:rFonts w:hint="eastAsia"/>
          <w:sz w:val="24"/>
          <w:szCs w:val="24"/>
        </w:rPr>
        <w:fldChar w:fldCharType="end"/>
      </w:r>
      <w:r>
        <w:rPr>
          <w:rFonts w:hint="eastAsia"/>
          <w:sz w:val="24"/>
          <w:szCs w:val="24"/>
        </w:rPr>
        <w:fldChar w:fldCharType="end"/>
      </w:r>
    </w:p>
    <w:p>
      <w:pPr>
        <w:pStyle w:val="28"/>
        <w:tabs>
          <w:tab w:val="right" w:leader="dot" w:pos="8302"/>
        </w:tabs>
        <w:spacing w:line="300" w:lineRule="exact"/>
        <w:ind w:left="640"/>
        <w:rPr>
          <w:rFonts w:hAnsiTheme="minorHAnsi" w:cstheme="minorBidi"/>
          <w:kern w:val="2"/>
          <w:sz w:val="24"/>
          <w:szCs w:val="24"/>
        </w:rPr>
      </w:pPr>
      <w:r>
        <w:fldChar w:fldCharType="begin"/>
      </w:r>
      <w:r>
        <w:instrText xml:space="preserve"> HYPERLINK \l "_Toc119336595" </w:instrText>
      </w:r>
      <w:r>
        <w:fldChar w:fldCharType="separate"/>
      </w:r>
      <w:r>
        <w:rPr>
          <w:rStyle w:val="39"/>
          <w:rFonts w:hint="eastAsia" w:hAnsi="黑体"/>
          <w:b/>
          <w:bCs/>
          <w:sz w:val="24"/>
          <w:szCs w:val="24"/>
        </w:rPr>
        <w:t>堤防工程运行重大危险源清单</w:t>
      </w:r>
      <w:r>
        <w:rPr>
          <w:rFonts w:hint="eastAsia"/>
          <w:sz w:val="24"/>
          <w:szCs w:val="24"/>
        </w:rPr>
        <w:tab/>
      </w:r>
      <w:r>
        <w:rPr>
          <w:rFonts w:hint="eastAsia"/>
          <w:sz w:val="24"/>
          <w:szCs w:val="24"/>
        </w:rPr>
        <w:fldChar w:fldCharType="begin"/>
      </w:r>
      <w:r>
        <w:rPr>
          <w:rFonts w:hint="eastAsia"/>
          <w:sz w:val="24"/>
          <w:szCs w:val="24"/>
        </w:rPr>
        <w:instrText xml:space="preserve"> PAGEREF _Toc119336595 \h </w:instrText>
      </w:r>
      <w:r>
        <w:rPr>
          <w:rFonts w:hint="eastAsia"/>
          <w:sz w:val="24"/>
          <w:szCs w:val="24"/>
        </w:rPr>
        <w:fldChar w:fldCharType="separate"/>
      </w:r>
      <w:r>
        <w:rPr>
          <w:sz w:val="24"/>
          <w:szCs w:val="24"/>
        </w:rPr>
        <w:t>79</w:t>
      </w:r>
      <w:r>
        <w:rPr>
          <w:rFonts w:hint="eastAsia"/>
          <w:sz w:val="24"/>
          <w:szCs w:val="24"/>
        </w:rPr>
        <w:fldChar w:fldCharType="end"/>
      </w:r>
      <w:r>
        <w:rPr>
          <w:rFonts w:hint="eastAsia"/>
          <w:sz w:val="24"/>
          <w:szCs w:val="24"/>
        </w:rPr>
        <w:fldChar w:fldCharType="end"/>
      </w:r>
    </w:p>
    <w:p>
      <w:pPr>
        <w:pStyle w:val="23"/>
        <w:tabs>
          <w:tab w:val="right" w:leader="dot" w:pos="8302"/>
        </w:tabs>
        <w:spacing w:line="300" w:lineRule="exact"/>
        <w:rPr>
          <w:rFonts w:hAnsiTheme="minorHAnsi" w:cstheme="minorBidi"/>
          <w:kern w:val="2"/>
          <w:sz w:val="24"/>
          <w:szCs w:val="24"/>
        </w:rPr>
      </w:pPr>
      <w:r>
        <w:fldChar w:fldCharType="begin"/>
      </w:r>
      <w:r>
        <w:instrText xml:space="preserve"> HYPERLINK \l "_Toc119336596" </w:instrText>
      </w:r>
      <w:r>
        <w:fldChar w:fldCharType="separate"/>
      </w:r>
      <w:r>
        <w:rPr>
          <w:rStyle w:val="39"/>
          <w:rFonts w:hint="eastAsia" w:hAnsi="黑体"/>
          <w:b/>
          <w:bCs/>
          <w:sz w:val="24"/>
          <w:szCs w:val="24"/>
        </w:rPr>
        <w:t>附录A.12</w:t>
      </w:r>
      <w:r>
        <w:rPr>
          <w:rFonts w:hint="eastAsia"/>
          <w:sz w:val="24"/>
          <w:szCs w:val="24"/>
        </w:rPr>
        <w:tab/>
      </w:r>
      <w:r>
        <w:rPr>
          <w:rFonts w:hint="eastAsia"/>
          <w:sz w:val="24"/>
          <w:szCs w:val="24"/>
        </w:rPr>
        <w:fldChar w:fldCharType="begin"/>
      </w:r>
      <w:r>
        <w:rPr>
          <w:rFonts w:hint="eastAsia"/>
          <w:sz w:val="24"/>
          <w:szCs w:val="24"/>
        </w:rPr>
        <w:instrText xml:space="preserve"> PAGEREF _Toc119336596 \h </w:instrText>
      </w:r>
      <w:r>
        <w:rPr>
          <w:rFonts w:hint="eastAsia"/>
          <w:sz w:val="24"/>
          <w:szCs w:val="24"/>
        </w:rPr>
        <w:fldChar w:fldCharType="separate"/>
      </w:r>
      <w:r>
        <w:rPr>
          <w:sz w:val="24"/>
          <w:szCs w:val="24"/>
        </w:rPr>
        <w:t>80</w:t>
      </w:r>
      <w:r>
        <w:rPr>
          <w:rFonts w:hint="eastAsia"/>
          <w:sz w:val="24"/>
          <w:szCs w:val="24"/>
        </w:rPr>
        <w:fldChar w:fldCharType="end"/>
      </w:r>
      <w:r>
        <w:rPr>
          <w:rFonts w:hint="eastAsia"/>
          <w:sz w:val="24"/>
          <w:szCs w:val="24"/>
        </w:rPr>
        <w:fldChar w:fldCharType="end"/>
      </w:r>
    </w:p>
    <w:p>
      <w:pPr>
        <w:pStyle w:val="28"/>
        <w:tabs>
          <w:tab w:val="right" w:leader="dot" w:pos="8302"/>
        </w:tabs>
        <w:spacing w:line="300" w:lineRule="exact"/>
        <w:ind w:left="640"/>
        <w:rPr>
          <w:rFonts w:hAnsiTheme="minorHAnsi" w:cstheme="minorBidi"/>
          <w:kern w:val="2"/>
          <w:sz w:val="24"/>
          <w:szCs w:val="24"/>
        </w:rPr>
      </w:pPr>
      <w:r>
        <w:fldChar w:fldCharType="begin"/>
      </w:r>
      <w:r>
        <w:instrText xml:space="preserve"> HYPERLINK \l "_Toc119336597" </w:instrText>
      </w:r>
      <w:r>
        <w:fldChar w:fldCharType="separate"/>
      </w:r>
      <w:r>
        <w:rPr>
          <w:rStyle w:val="39"/>
          <w:rFonts w:hint="eastAsia" w:hAnsi="黑体"/>
          <w:b/>
          <w:bCs/>
          <w:sz w:val="24"/>
          <w:szCs w:val="24"/>
        </w:rPr>
        <w:t>淤地坝工程运行重大危险源清单</w:t>
      </w:r>
      <w:r>
        <w:rPr>
          <w:rFonts w:hint="eastAsia"/>
          <w:sz w:val="24"/>
          <w:szCs w:val="24"/>
        </w:rPr>
        <w:tab/>
      </w:r>
      <w:r>
        <w:rPr>
          <w:rFonts w:hint="eastAsia"/>
          <w:sz w:val="24"/>
          <w:szCs w:val="24"/>
        </w:rPr>
        <w:fldChar w:fldCharType="begin"/>
      </w:r>
      <w:r>
        <w:rPr>
          <w:rFonts w:hint="eastAsia"/>
          <w:sz w:val="24"/>
          <w:szCs w:val="24"/>
        </w:rPr>
        <w:instrText xml:space="preserve"> PAGEREF _Toc119336597 \h </w:instrText>
      </w:r>
      <w:r>
        <w:rPr>
          <w:rFonts w:hint="eastAsia"/>
          <w:sz w:val="24"/>
          <w:szCs w:val="24"/>
        </w:rPr>
        <w:fldChar w:fldCharType="separate"/>
      </w:r>
      <w:r>
        <w:rPr>
          <w:sz w:val="24"/>
          <w:szCs w:val="24"/>
        </w:rPr>
        <w:t>80</w:t>
      </w:r>
      <w:r>
        <w:rPr>
          <w:rFonts w:hint="eastAsia"/>
          <w:sz w:val="24"/>
          <w:szCs w:val="24"/>
        </w:rPr>
        <w:fldChar w:fldCharType="end"/>
      </w:r>
      <w:r>
        <w:rPr>
          <w:rFonts w:hint="eastAsia"/>
          <w:sz w:val="24"/>
          <w:szCs w:val="24"/>
        </w:rPr>
        <w:fldChar w:fldCharType="end"/>
      </w:r>
    </w:p>
    <w:p>
      <w:pPr>
        <w:pStyle w:val="23"/>
        <w:tabs>
          <w:tab w:val="right" w:leader="dot" w:pos="8302"/>
        </w:tabs>
        <w:spacing w:line="300" w:lineRule="exact"/>
        <w:rPr>
          <w:rFonts w:hAnsiTheme="minorHAnsi" w:cstheme="minorBidi"/>
          <w:kern w:val="2"/>
          <w:sz w:val="24"/>
          <w:szCs w:val="24"/>
        </w:rPr>
      </w:pPr>
      <w:r>
        <w:fldChar w:fldCharType="begin"/>
      </w:r>
      <w:r>
        <w:instrText xml:space="preserve"> HYPERLINK \l "_Toc119336598" </w:instrText>
      </w:r>
      <w:r>
        <w:fldChar w:fldCharType="separate"/>
      </w:r>
      <w:r>
        <w:rPr>
          <w:rStyle w:val="39"/>
          <w:rFonts w:hint="eastAsia" w:hAnsi="黑体"/>
          <w:b/>
          <w:bCs/>
          <w:sz w:val="24"/>
          <w:szCs w:val="24"/>
        </w:rPr>
        <w:t>附录A.13</w:t>
      </w:r>
      <w:r>
        <w:rPr>
          <w:rFonts w:hint="eastAsia"/>
          <w:sz w:val="24"/>
          <w:szCs w:val="24"/>
        </w:rPr>
        <w:tab/>
      </w:r>
      <w:r>
        <w:rPr>
          <w:rFonts w:hint="eastAsia"/>
          <w:sz w:val="24"/>
          <w:szCs w:val="24"/>
        </w:rPr>
        <w:fldChar w:fldCharType="begin"/>
      </w:r>
      <w:r>
        <w:rPr>
          <w:rFonts w:hint="eastAsia"/>
          <w:sz w:val="24"/>
          <w:szCs w:val="24"/>
        </w:rPr>
        <w:instrText xml:space="preserve"> PAGEREF _Toc119336598 \h </w:instrText>
      </w:r>
      <w:r>
        <w:rPr>
          <w:rFonts w:hint="eastAsia"/>
          <w:sz w:val="24"/>
          <w:szCs w:val="24"/>
        </w:rPr>
        <w:fldChar w:fldCharType="separate"/>
      </w:r>
      <w:r>
        <w:rPr>
          <w:sz w:val="24"/>
          <w:szCs w:val="24"/>
        </w:rPr>
        <w:t>81</w:t>
      </w:r>
      <w:r>
        <w:rPr>
          <w:rFonts w:hint="eastAsia"/>
          <w:sz w:val="24"/>
          <w:szCs w:val="24"/>
        </w:rPr>
        <w:fldChar w:fldCharType="end"/>
      </w:r>
      <w:r>
        <w:rPr>
          <w:rFonts w:hint="eastAsia"/>
          <w:sz w:val="24"/>
          <w:szCs w:val="24"/>
        </w:rPr>
        <w:fldChar w:fldCharType="end"/>
      </w:r>
    </w:p>
    <w:p>
      <w:pPr>
        <w:pStyle w:val="28"/>
        <w:tabs>
          <w:tab w:val="right" w:leader="dot" w:pos="8302"/>
        </w:tabs>
        <w:spacing w:line="300" w:lineRule="exact"/>
        <w:ind w:left="640"/>
        <w:rPr>
          <w:rFonts w:hAnsiTheme="minorHAnsi" w:cstheme="minorBidi"/>
          <w:kern w:val="2"/>
          <w:sz w:val="24"/>
          <w:szCs w:val="24"/>
        </w:rPr>
      </w:pPr>
      <w:r>
        <w:fldChar w:fldCharType="begin"/>
      </w:r>
      <w:r>
        <w:instrText xml:space="preserve"> HYPERLINK \l "_Toc119336599" </w:instrText>
      </w:r>
      <w:r>
        <w:fldChar w:fldCharType="separate"/>
      </w:r>
      <w:r>
        <w:rPr>
          <w:rStyle w:val="39"/>
          <w:rFonts w:hint="eastAsia" w:hAnsi="黑体"/>
          <w:b/>
          <w:bCs/>
          <w:sz w:val="24"/>
          <w:szCs w:val="24"/>
        </w:rPr>
        <w:t>堤防工程运行一般危险源风险评价赋分表（指南）</w:t>
      </w:r>
      <w:r>
        <w:rPr>
          <w:rFonts w:hint="eastAsia"/>
          <w:sz w:val="24"/>
          <w:szCs w:val="24"/>
        </w:rPr>
        <w:tab/>
      </w:r>
      <w:r>
        <w:rPr>
          <w:rFonts w:hint="eastAsia"/>
          <w:sz w:val="24"/>
          <w:szCs w:val="24"/>
        </w:rPr>
        <w:fldChar w:fldCharType="begin"/>
      </w:r>
      <w:r>
        <w:rPr>
          <w:rFonts w:hint="eastAsia"/>
          <w:sz w:val="24"/>
          <w:szCs w:val="24"/>
        </w:rPr>
        <w:instrText xml:space="preserve"> PAGEREF _Toc119336599 \h </w:instrText>
      </w:r>
      <w:r>
        <w:rPr>
          <w:rFonts w:hint="eastAsia"/>
          <w:sz w:val="24"/>
          <w:szCs w:val="24"/>
        </w:rPr>
        <w:fldChar w:fldCharType="separate"/>
      </w:r>
      <w:r>
        <w:rPr>
          <w:sz w:val="24"/>
          <w:szCs w:val="24"/>
        </w:rPr>
        <w:t>81</w:t>
      </w:r>
      <w:r>
        <w:rPr>
          <w:rFonts w:hint="eastAsia"/>
          <w:sz w:val="24"/>
          <w:szCs w:val="24"/>
        </w:rPr>
        <w:fldChar w:fldCharType="end"/>
      </w:r>
      <w:r>
        <w:rPr>
          <w:rFonts w:hint="eastAsia"/>
          <w:sz w:val="24"/>
          <w:szCs w:val="24"/>
        </w:rPr>
        <w:fldChar w:fldCharType="end"/>
      </w:r>
    </w:p>
    <w:p>
      <w:pPr>
        <w:pStyle w:val="23"/>
        <w:tabs>
          <w:tab w:val="right" w:leader="dot" w:pos="8302"/>
        </w:tabs>
        <w:spacing w:line="300" w:lineRule="exact"/>
        <w:rPr>
          <w:rFonts w:hAnsiTheme="minorHAnsi" w:cstheme="minorBidi"/>
          <w:kern w:val="2"/>
          <w:sz w:val="24"/>
          <w:szCs w:val="24"/>
        </w:rPr>
      </w:pPr>
      <w:r>
        <w:fldChar w:fldCharType="begin"/>
      </w:r>
      <w:r>
        <w:instrText xml:space="preserve"> HYPERLINK \l "_Toc119336600" </w:instrText>
      </w:r>
      <w:r>
        <w:fldChar w:fldCharType="separate"/>
      </w:r>
      <w:r>
        <w:rPr>
          <w:rStyle w:val="39"/>
          <w:rFonts w:hint="eastAsia" w:hAnsi="黑体"/>
          <w:b/>
          <w:bCs/>
          <w:sz w:val="24"/>
          <w:szCs w:val="24"/>
        </w:rPr>
        <w:t>附录A.14</w:t>
      </w:r>
      <w:r>
        <w:rPr>
          <w:rFonts w:hint="eastAsia"/>
          <w:sz w:val="24"/>
          <w:szCs w:val="24"/>
        </w:rPr>
        <w:tab/>
      </w:r>
      <w:r>
        <w:rPr>
          <w:rFonts w:hint="eastAsia"/>
          <w:sz w:val="24"/>
          <w:szCs w:val="24"/>
        </w:rPr>
        <w:fldChar w:fldCharType="begin"/>
      </w:r>
      <w:r>
        <w:rPr>
          <w:rFonts w:hint="eastAsia"/>
          <w:sz w:val="24"/>
          <w:szCs w:val="24"/>
        </w:rPr>
        <w:instrText xml:space="preserve"> PAGEREF _Toc119336600 \h </w:instrText>
      </w:r>
      <w:r>
        <w:rPr>
          <w:rFonts w:hint="eastAsia"/>
          <w:sz w:val="24"/>
          <w:szCs w:val="24"/>
        </w:rPr>
        <w:fldChar w:fldCharType="separate"/>
      </w:r>
      <w:r>
        <w:rPr>
          <w:sz w:val="24"/>
          <w:szCs w:val="24"/>
        </w:rPr>
        <w:t>85</w:t>
      </w:r>
      <w:r>
        <w:rPr>
          <w:rFonts w:hint="eastAsia"/>
          <w:sz w:val="24"/>
          <w:szCs w:val="24"/>
        </w:rPr>
        <w:fldChar w:fldCharType="end"/>
      </w:r>
      <w:r>
        <w:rPr>
          <w:rFonts w:hint="eastAsia"/>
          <w:sz w:val="24"/>
          <w:szCs w:val="24"/>
        </w:rPr>
        <w:fldChar w:fldCharType="end"/>
      </w:r>
    </w:p>
    <w:p>
      <w:pPr>
        <w:pStyle w:val="28"/>
        <w:tabs>
          <w:tab w:val="right" w:leader="dot" w:pos="8302"/>
        </w:tabs>
        <w:spacing w:line="300" w:lineRule="exact"/>
        <w:ind w:left="640"/>
        <w:rPr>
          <w:rFonts w:hAnsiTheme="minorHAnsi" w:cstheme="minorBidi"/>
          <w:kern w:val="2"/>
          <w:sz w:val="24"/>
          <w:szCs w:val="24"/>
        </w:rPr>
      </w:pPr>
      <w:r>
        <w:fldChar w:fldCharType="begin"/>
      </w:r>
      <w:r>
        <w:instrText xml:space="preserve"> HYPERLINK \l "_Toc119336601" </w:instrText>
      </w:r>
      <w:r>
        <w:fldChar w:fldCharType="separate"/>
      </w:r>
      <w:r>
        <w:rPr>
          <w:rStyle w:val="39"/>
          <w:rFonts w:hint="eastAsia" w:hAnsi="黑体"/>
          <w:b/>
          <w:bCs/>
          <w:sz w:val="24"/>
          <w:szCs w:val="24"/>
        </w:rPr>
        <w:t>淤地坝工程运行一般危险源风险评价赋分表（指南）</w:t>
      </w:r>
      <w:r>
        <w:rPr>
          <w:rFonts w:hint="eastAsia"/>
          <w:sz w:val="24"/>
          <w:szCs w:val="24"/>
        </w:rPr>
        <w:tab/>
      </w:r>
      <w:r>
        <w:rPr>
          <w:rFonts w:hint="eastAsia"/>
          <w:sz w:val="24"/>
          <w:szCs w:val="24"/>
        </w:rPr>
        <w:fldChar w:fldCharType="begin"/>
      </w:r>
      <w:r>
        <w:rPr>
          <w:rFonts w:hint="eastAsia"/>
          <w:sz w:val="24"/>
          <w:szCs w:val="24"/>
        </w:rPr>
        <w:instrText xml:space="preserve"> PAGEREF _Toc119336601 \h </w:instrText>
      </w:r>
      <w:r>
        <w:rPr>
          <w:rFonts w:hint="eastAsia"/>
          <w:sz w:val="24"/>
          <w:szCs w:val="24"/>
        </w:rPr>
        <w:fldChar w:fldCharType="separate"/>
      </w:r>
      <w:r>
        <w:rPr>
          <w:sz w:val="24"/>
          <w:szCs w:val="24"/>
        </w:rPr>
        <w:t>85</w:t>
      </w:r>
      <w:r>
        <w:rPr>
          <w:rFonts w:hint="eastAsia"/>
          <w:sz w:val="24"/>
          <w:szCs w:val="24"/>
        </w:rPr>
        <w:fldChar w:fldCharType="end"/>
      </w:r>
      <w:r>
        <w:rPr>
          <w:rFonts w:hint="eastAsia"/>
          <w:sz w:val="24"/>
          <w:szCs w:val="24"/>
        </w:rPr>
        <w:fldChar w:fldCharType="end"/>
      </w:r>
    </w:p>
    <w:p>
      <w:pPr>
        <w:pStyle w:val="23"/>
        <w:tabs>
          <w:tab w:val="right" w:leader="dot" w:pos="8302"/>
        </w:tabs>
        <w:spacing w:line="300" w:lineRule="exact"/>
        <w:rPr>
          <w:rFonts w:hAnsiTheme="minorHAnsi" w:cstheme="minorBidi"/>
          <w:kern w:val="2"/>
          <w:sz w:val="24"/>
          <w:szCs w:val="24"/>
        </w:rPr>
      </w:pPr>
      <w:r>
        <w:fldChar w:fldCharType="begin"/>
      </w:r>
      <w:r>
        <w:instrText xml:space="preserve"> HYPERLINK \l "_Toc119336602" </w:instrText>
      </w:r>
      <w:r>
        <w:fldChar w:fldCharType="separate"/>
      </w:r>
      <w:r>
        <w:rPr>
          <w:rStyle w:val="39"/>
          <w:rFonts w:hint="eastAsia" w:hAnsi="黑体"/>
          <w:b/>
          <w:bCs/>
          <w:sz w:val="24"/>
          <w:szCs w:val="24"/>
        </w:rPr>
        <w:t>附录B.1</w:t>
      </w:r>
      <w:r>
        <w:rPr>
          <w:rFonts w:hint="eastAsia"/>
          <w:sz w:val="24"/>
          <w:szCs w:val="24"/>
        </w:rPr>
        <w:tab/>
      </w:r>
      <w:r>
        <w:rPr>
          <w:rFonts w:hint="eastAsia"/>
          <w:sz w:val="24"/>
          <w:szCs w:val="24"/>
        </w:rPr>
        <w:fldChar w:fldCharType="begin"/>
      </w:r>
      <w:r>
        <w:rPr>
          <w:rFonts w:hint="eastAsia"/>
          <w:sz w:val="24"/>
          <w:szCs w:val="24"/>
        </w:rPr>
        <w:instrText xml:space="preserve"> PAGEREF _Toc119336602 \h </w:instrText>
      </w:r>
      <w:r>
        <w:rPr>
          <w:rFonts w:hint="eastAsia"/>
          <w:sz w:val="24"/>
          <w:szCs w:val="24"/>
        </w:rPr>
        <w:fldChar w:fldCharType="separate"/>
      </w:r>
      <w:r>
        <w:rPr>
          <w:sz w:val="24"/>
          <w:szCs w:val="24"/>
        </w:rPr>
        <w:t>89</w:t>
      </w:r>
      <w:r>
        <w:rPr>
          <w:rFonts w:hint="eastAsia"/>
          <w:sz w:val="24"/>
          <w:szCs w:val="24"/>
        </w:rPr>
        <w:fldChar w:fldCharType="end"/>
      </w:r>
      <w:r>
        <w:rPr>
          <w:rFonts w:hint="eastAsia"/>
          <w:sz w:val="24"/>
          <w:szCs w:val="24"/>
        </w:rPr>
        <w:fldChar w:fldCharType="end"/>
      </w:r>
    </w:p>
    <w:p>
      <w:pPr>
        <w:pStyle w:val="28"/>
        <w:tabs>
          <w:tab w:val="right" w:leader="dot" w:pos="8302"/>
        </w:tabs>
        <w:spacing w:line="300" w:lineRule="exact"/>
        <w:ind w:left="640"/>
        <w:rPr>
          <w:rFonts w:hAnsiTheme="minorHAnsi" w:cstheme="minorBidi"/>
          <w:kern w:val="2"/>
          <w:sz w:val="24"/>
          <w:szCs w:val="24"/>
        </w:rPr>
      </w:pPr>
      <w:r>
        <w:fldChar w:fldCharType="begin"/>
      </w:r>
      <w:r>
        <w:instrText xml:space="preserve"> HYPERLINK \l "_Toc119336603" </w:instrText>
      </w:r>
      <w:r>
        <w:fldChar w:fldCharType="separate"/>
      </w:r>
      <w:r>
        <w:rPr>
          <w:rStyle w:val="39"/>
          <w:rFonts w:hint="eastAsia" w:hAnsi="黑体"/>
          <w:b/>
          <w:bCs/>
          <w:sz w:val="24"/>
          <w:szCs w:val="24"/>
        </w:rPr>
        <w:t>危险源辨识方法</w:t>
      </w:r>
      <w:r>
        <w:rPr>
          <w:rFonts w:hint="eastAsia"/>
          <w:sz w:val="24"/>
          <w:szCs w:val="24"/>
        </w:rPr>
        <w:tab/>
      </w:r>
      <w:r>
        <w:rPr>
          <w:rFonts w:hint="eastAsia"/>
          <w:sz w:val="24"/>
          <w:szCs w:val="24"/>
        </w:rPr>
        <w:fldChar w:fldCharType="begin"/>
      </w:r>
      <w:r>
        <w:rPr>
          <w:rFonts w:hint="eastAsia"/>
          <w:sz w:val="24"/>
          <w:szCs w:val="24"/>
        </w:rPr>
        <w:instrText xml:space="preserve"> PAGEREF _Toc119336603 \h </w:instrText>
      </w:r>
      <w:r>
        <w:rPr>
          <w:rFonts w:hint="eastAsia"/>
          <w:sz w:val="24"/>
          <w:szCs w:val="24"/>
        </w:rPr>
        <w:fldChar w:fldCharType="separate"/>
      </w:r>
      <w:r>
        <w:rPr>
          <w:sz w:val="24"/>
          <w:szCs w:val="24"/>
        </w:rPr>
        <w:t>89</w:t>
      </w:r>
      <w:r>
        <w:rPr>
          <w:rFonts w:hint="eastAsia"/>
          <w:sz w:val="24"/>
          <w:szCs w:val="24"/>
        </w:rPr>
        <w:fldChar w:fldCharType="end"/>
      </w:r>
      <w:r>
        <w:rPr>
          <w:rFonts w:hint="eastAsia"/>
          <w:sz w:val="24"/>
          <w:szCs w:val="24"/>
        </w:rPr>
        <w:fldChar w:fldCharType="end"/>
      </w:r>
    </w:p>
    <w:p>
      <w:pPr>
        <w:pStyle w:val="23"/>
        <w:tabs>
          <w:tab w:val="right" w:leader="dot" w:pos="8302"/>
        </w:tabs>
        <w:spacing w:line="300" w:lineRule="exact"/>
        <w:rPr>
          <w:rFonts w:hAnsiTheme="minorHAnsi" w:cstheme="minorBidi"/>
          <w:kern w:val="2"/>
          <w:sz w:val="24"/>
          <w:szCs w:val="24"/>
        </w:rPr>
      </w:pPr>
      <w:r>
        <w:fldChar w:fldCharType="begin"/>
      </w:r>
      <w:r>
        <w:instrText xml:space="preserve"> HYPERLINK \l "_Toc119336604" </w:instrText>
      </w:r>
      <w:r>
        <w:fldChar w:fldCharType="separate"/>
      </w:r>
      <w:r>
        <w:rPr>
          <w:rStyle w:val="39"/>
          <w:rFonts w:hint="eastAsia" w:hAnsi="黑体"/>
          <w:b/>
          <w:bCs/>
          <w:sz w:val="24"/>
          <w:szCs w:val="24"/>
        </w:rPr>
        <w:t>附录B.2</w:t>
      </w:r>
      <w:r>
        <w:rPr>
          <w:rFonts w:hint="eastAsia"/>
          <w:sz w:val="24"/>
          <w:szCs w:val="24"/>
        </w:rPr>
        <w:tab/>
      </w:r>
      <w:r>
        <w:rPr>
          <w:rFonts w:hint="eastAsia"/>
          <w:sz w:val="24"/>
          <w:szCs w:val="24"/>
        </w:rPr>
        <w:fldChar w:fldCharType="begin"/>
      </w:r>
      <w:r>
        <w:rPr>
          <w:rFonts w:hint="eastAsia"/>
          <w:sz w:val="24"/>
          <w:szCs w:val="24"/>
        </w:rPr>
        <w:instrText xml:space="preserve"> PAGEREF _Toc119336604 \h </w:instrText>
      </w:r>
      <w:r>
        <w:rPr>
          <w:rFonts w:hint="eastAsia"/>
          <w:sz w:val="24"/>
          <w:szCs w:val="24"/>
        </w:rPr>
        <w:fldChar w:fldCharType="separate"/>
      </w:r>
      <w:r>
        <w:rPr>
          <w:sz w:val="24"/>
          <w:szCs w:val="24"/>
        </w:rPr>
        <w:t>91</w:t>
      </w:r>
      <w:r>
        <w:rPr>
          <w:rFonts w:hint="eastAsia"/>
          <w:sz w:val="24"/>
          <w:szCs w:val="24"/>
        </w:rPr>
        <w:fldChar w:fldCharType="end"/>
      </w:r>
      <w:r>
        <w:rPr>
          <w:rFonts w:hint="eastAsia"/>
          <w:sz w:val="24"/>
          <w:szCs w:val="24"/>
        </w:rPr>
        <w:fldChar w:fldCharType="end"/>
      </w:r>
    </w:p>
    <w:p>
      <w:pPr>
        <w:pStyle w:val="28"/>
        <w:tabs>
          <w:tab w:val="right" w:leader="dot" w:pos="8302"/>
        </w:tabs>
        <w:spacing w:line="300" w:lineRule="exact"/>
        <w:ind w:left="640"/>
        <w:rPr>
          <w:rFonts w:hAnsiTheme="minorHAnsi" w:cstheme="minorBidi"/>
          <w:kern w:val="2"/>
          <w:sz w:val="24"/>
          <w:szCs w:val="24"/>
        </w:rPr>
      </w:pPr>
      <w:r>
        <w:fldChar w:fldCharType="begin"/>
      </w:r>
      <w:r>
        <w:instrText xml:space="preserve"> HYPERLINK \l "_Toc119336605" </w:instrText>
      </w:r>
      <w:r>
        <w:fldChar w:fldCharType="separate"/>
      </w:r>
      <w:r>
        <w:rPr>
          <w:rStyle w:val="39"/>
          <w:rFonts w:hint="eastAsia" w:hAnsi="黑体"/>
          <w:b/>
          <w:bCs/>
          <w:sz w:val="24"/>
          <w:szCs w:val="24"/>
        </w:rPr>
        <w:t>危险源种类示例</w:t>
      </w:r>
      <w:r>
        <w:rPr>
          <w:rFonts w:hint="eastAsia"/>
          <w:sz w:val="24"/>
          <w:szCs w:val="24"/>
        </w:rPr>
        <w:tab/>
      </w:r>
      <w:r>
        <w:rPr>
          <w:rFonts w:hint="eastAsia"/>
          <w:sz w:val="24"/>
          <w:szCs w:val="24"/>
        </w:rPr>
        <w:fldChar w:fldCharType="begin"/>
      </w:r>
      <w:r>
        <w:rPr>
          <w:rFonts w:hint="eastAsia"/>
          <w:sz w:val="24"/>
          <w:szCs w:val="24"/>
        </w:rPr>
        <w:instrText xml:space="preserve"> PAGEREF _Toc119336605 \h </w:instrText>
      </w:r>
      <w:r>
        <w:rPr>
          <w:rFonts w:hint="eastAsia"/>
          <w:sz w:val="24"/>
          <w:szCs w:val="24"/>
        </w:rPr>
        <w:fldChar w:fldCharType="separate"/>
      </w:r>
      <w:r>
        <w:rPr>
          <w:sz w:val="24"/>
          <w:szCs w:val="24"/>
        </w:rPr>
        <w:t>91</w:t>
      </w:r>
      <w:r>
        <w:rPr>
          <w:rFonts w:hint="eastAsia"/>
          <w:sz w:val="24"/>
          <w:szCs w:val="24"/>
        </w:rPr>
        <w:fldChar w:fldCharType="end"/>
      </w:r>
      <w:r>
        <w:rPr>
          <w:rFonts w:hint="eastAsia"/>
          <w:sz w:val="24"/>
          <w:szCs w:val="24"/>
        </w:rPr>
        <w:fldChar w:fldCharType="end"/>
      </w:r>
    </w:p>
    <w:p>
      <w:pPr>
        <w:pStyle w:val="23"/>
        <w:tabs>
          <w:tab w:val="right" w:leader="dot" w:pos="8302"/>
        </w:tabs>
        <w:spacing w:line="300" w:lineRule="exact"/>
        <w:rPr>
          <w:rFonts w:hAnsiTheme="minorHAnsi" w:cstheme="minorBidi"/>
          <w:kern w:val="2"/>
          <w:sz w:val="24"/>
          <w:szCs w:val="24"/>
        </w:rPr>
      </w:pPr>
      <w:r>
        <w:fldChar w:fldCharType="begin"/>
      </w:r>
      <w:r>
        <w:instrText xml:space="preserve"> HYPERLINK \l "_Toc119336606" </w:instrText>
      </w:r>
      <w:r>
        <w:fldChar w:fldCharType="separate"/>
      </w:r>
      <w:r>
        <w:rPr>
          <w:rStyle w:val="39"/>
          <w:rFonts w:hint="eastAsia" w:hAnsi="黑体"/>
          <w:b/>
          <w:bCs/>
          <w:sz w:val="24"/>
          <w:szCs w:val="24"/>
        </w:rPr>
        <w:t>附录B.3</w:t>
      </w:r>
      <w:r>
        <w:rPr>
          <w:rFonts w:hint="eastAsia"/>
          <w:sz w:val="24"/>
          <w:szCs w:val="24"/>
        </w:rPr>
        <w:tab/>
      </w:r>
      <w:r>
        <w:rPr>
          <w:rFonts w:hint="eastAsia"/>
          <w:sz w:val="24"/>
          <w:szCs w:val="24"/>
        </w:rPr>
        <w:fldChar w:fldCharType="begin"/>
      </w:r>
      <w:r>
        <w:rPr>
          <w:rFonts w:hint="eastAsia"/>
          <w:sz w:val="24"/>
          <w:szCs w:val="24"/>
        </w:rPr>
        <w:instrText xml:space="preserve"> PAGEREF _Toc119336606 \h </w:instrText>
      </w:r>
      <w:r>
        <w:rPr>
          <w:rFonts w:hint="eastAsia"/>
          <w:sz w:val="24"/>
          <w:szCs w:val="24"/>
        </w:rPr>
        <w:fldChar w:fldCharType="separate"/>
      </w:r>
      <w:r>
        <w:rPr>
          <w:sz w:val="24"/>
          <w:szCs w:val="24"/>
        </w:rPr>
        <w:t>92</w:t>
      </w:r>
      <w:r>
        <w:rPr>
          <w:rFonts w:hint="eastAsia"/>
          <w:sz w:val="24"/>
          <w:szCs w:val="24"/>
        </w:rPr>
        <w:fldChar w:fldCharType="end"/>
      </w:r>
      <w:r>
        <w:rPr>
          <w:rFonts w:hint="eastAsia"/>
          <w:sz w:val="24"/>
          <w:szCs w:val="24"/>
        </w:rPr>
        <w:fldChar w:fldCharType="end"/>
      </w:r>
    </w:p>
    <w:p>
      <w:pPr>
        <w:pStyle w:val="28"/>
        <w:tabs>
          <w:tab w:val="right" w:leader="dot" w:pos="8302"/>
        </w:tabs>
        <w:spacing w:line="300" w:lineRule="exact"/>
        <w:ind w:left="640"/>
        <w:rPr>
          <w:rFonts w:hAnsiTheme="minorHAnsi" w:cstheme="minorBidi"/>
          <w:kern w:val="2"/>
          <w:sz w:val="24"/>
          <w:szCs w:val="24"/>
        </w:rPr>
      </w:pPr>
      <w:r>
        <w:fldChar w:fldCharType="begin"/>
      </w:r>
      <w:r>
        <w:instrText xml:space="preserve"> HYPERLINK \l "_Toc119336607" </w:instrText>
      </w:r>
      <w:r>
        <w:fldChar w:fldCharType="separate"/>
      </w:r>
      <w:r>
        <w:rPr>
          <w:rStyle w:val="39"/>
          <w:rFonts w:hint="eastAsia" w:hAnsi="黑体"/>
          <w:b/>
          <w:bCs/>
          <w:sz w:val="24"/>
          <w:szCs w:val="24"/>
        </w:rPr>
        <w:t>危险源辨识范围示例</w:t>
      </w:r>
      <w:r>
        <w:rPr>
          <w:rFonts w:hint="eastAsia"/>
          <w:sz w:val="24"/>
          <w:szCs w:val="24"/>
        </w:rPr>
        <w:tab/>
      </w:r>
      <w:r>
        <w:rPr>
          <w:rFonts w:hint="eastAsia"/>
          <w:sz w:val="24"/>
          <w:szCs w:val="24"/>
        </w:rPr>
        <w:fldChar w:fldCharType="begin"/>
      </w:r>
      <w:r>
        <w:rPr>
          <w:rFonts w:hint="eastAsia"/>
          <w:sz w:val="24"/>
          <w:szCs w:val="24"/>
        </w:rPr>
        <w:instrText xml:space="preserve"> PAGEREF _Toc119336607 \h </w:instrText>
      </w:r>
      <w:r>
        <w:rPr>
          <w:rFonts w:hint="eastAsia"/>
          <w:sz w:val="24"/>
          <w:szCs w:val="24"/>
        </w:rPr>
        <w:fldChar w:fldCharType="separate"/>
      </w:r>
      <w:r>
        <w:rPr>
          <w:sz w:val="24"/>
          <w:szCs w:val="24"/>
        </w:rPr>
        <w:t>92</w:t>
      </w:r>
      <w:r>
        <w:rPr>
          <w:rFonts w:hint="eastAsia"/>
          <w:sz w:val="24"/>
          <w:szCs w:val="24"/>
        </w:rPr>
        <w:fldChar w:fldCharType="end"/>
      </w:r>
      <w:r>
        <w:rPr>
          <w:rFonts w:hint="eastAsia"/>
          <w:sz w:val="24"/>
          <w:szCs w:val="24"/>
        </w:rPr>
        <w:fldChar w:fldCharType="end"/>
      </w:r>
    </w:p>
    <w:p>
      <w:pPr>
        <w:pStyle w:val="23"/>
        <w:tabs>
          <w:tab w:val="right" w:leader="dot" w:pos="8302"/>
        </w:tabs>
        <w:spacing w:line="300" w:lineRule="exact"/>
        <w:rPr>
          <w:rFonts w:hAnsiTheme="minorHAnsi" w:cstheme="minorBidi"/>
          <w:kern w:val="2"/>
          <w:sz w:val="24"/>
          <w:szCs w:val="24"/>
        </w:rPr>
      </w:pPr>
      <w:r>
        <w:fldChar w:fldCharType="begin"/>
      </w:r>
      <w:r>
        <w:instrText xml:space="preserve"> HYPERLINK \l "_Toc119336608" </w:instrText>
      </w:r>
      <w:r>
        <w:fldChar w:fldCharType="separate"/>
      </w:r>
      <w:r>
        <w:rPr>
          <w:rStyle w:val="39"/>
          <w:rFonts w:hint="eastAsia" w:hAnsi="黑体"/>
          <w:b/>
          <w:bCs/>
          <w:sz w:val="24"/>
          <w:szCs w:val="24"/>
        </w:rPr>
        <w:t>附录B.4</w:t>
      </w:r>
      <w:r>
        <w:rPr>
          <w:rFonts w:hint="eastAsia"/>
          <w:sz w:val="24"/>
          <w:szCs w:val="24"/>
        </w:rPr>
        <w:tab/>
      </w:r>
      <w:r>
        <w:rPr>
          <w:rFonts w:hint="eastAsia"/>
          <w:sz w:val="24"/>
          <w:szCs w:val="24"/>
        </w:rPr>
        <w:fldChar w:fldCharType="begin"/>
      </w:r>
      <w:r>
        <w:rPr>
          <w:rFonts w:hint="eastAsia"/>
          <w:sz w:val="24"/>
          <w:szCs w:val="24"/>
        </w:rPr>
        <w:instrText xml:space="preserve"> PAGEREF _Toc119336608 \h </w:instrText>
      </w:r>
      <w:r>
        <w:rPr>
          <w:rFonts w:hint="eastAsia"/>
          <w:sz w:val="24"/>
          <w:szCs w:val="24"/>
        </w:rPr>
        <w:fldChar w:fldCharType="separate"/>
      </w:r>
      <w:r>
        <w:rPr>
          <w:sz w:val="24"/>
          <w:szCs w:val="24"/>
        </w:rPr>
        <w:t>93</w:t>
      </w:r>
      <w:r>
        <w:rPr>
          <w:rFonts w:hint="eastAsia"/>
          <w:sz w:val="24"/>
          <w:szCs w:val="24"/>
        </w:rPr>
        <w:fldChar w:fldCharType="end"/>
      </w:r>
      <w:r>
        <w:rPr>
          <w:rFonts w:hint="eastAsia"/>
          <w:sz w:val="24"/>
          <w:szCs w:val="24"/>
        </w:rPr>
        <w:fldChar w:fldCharType="end"/>
      </w:r>
    </w:p>
    <w:p>
      <w:pPr>
        <w:pStyle w:val="28"/>
        <w:tabs>
          <w:tab w:val="right" w:leader="dot" w:pos="8302"/>
        </w:tabs>
        <w:spacing w:line="300" w:lineRule="exact"/>
        <w:ind w:left="640"/>
        <w:rPr>
          <w:rFonts w:hAnsiTheme="minorHAnsi" w:cstheme="minorBidi"/>
          <w:kern w:val="2"/>
          <w:sz w:val="24"/>
          <w:szCs w:val="24"/>
        </w:rPr>
      </w:pPr>
      <w:r>
        <w:fldChar w:fldCharType="begin"/>
      </w:r>
      <w:r>
        <w:instrText xml:space="preserve"> HYPERLINK \l "_Toc119336609" </w:instrText>
      </w:r>
      <w:r>
        <w:fldChar w:fldCharType="separate"/>
      </w:r>
      <w:r>
        <w:rPr>
          <w:rStyle w:val="39"/>
          <w:rFonts w:hint="eastAsia" w:hAnsi="黑体"/>
          <w:b/>
          <w:bCs/>
          <w:sz w:val="24"/>
          <w:szCs w:val="24"/>
        </w:rPr>
        <w:t>危险源清单</w:t>
      </w:r>
      <w:r>
        <w:rPr>
          <w:rFonts w:hint="eastAsia"/>
          <w:sz w:val="24"/>
          <w:szCs w:val="24"/>
        </w:rPr>
        <w:tab/>
      </w:r>
      <w:r>
        <w:rPr>
          <w:rFonts w:hint="eastAsia"/>
          <w:sz w:val="24"/>
          <w:szCs w:val="24"/>
        </w:rPr>
        <w:fldChar w:fldCharType="begin"/>
      </w:r>
      <w:r>
        <w:rPr>
          <w:rFonts w:hint="eastAsia"/>
          <w:sz w:val="24"/>
          <w:szCs w:val="24"/>
        </w:rPr>
        <w:instrText xml:space="preserve"> PAGEREF _Toc119336609 \h </w:instrText>
      </w:r>
      <w:r>
        <w:rPr>
          <w:rFonts w:hint="eastAsia"/>
          <w:sz w:val="24"/>
          <w:szCs w:val="24"/>
        </w:rPr>
        <w:fldChar w:fldCharType="separate"/>
      </w:r>
      <w:r>
        <w:rPr>
          <w:sz w:val="24"/>
          <w:szCs w:val="24"/>
        </w:rPr>
        <w:t>93</w:t>
      </w:r>
      <w:r>
        <w:rPr>
          <w:rFonts w:hint="eastAsia"/>
          <w:sz w:val="24"/>
          <w:szCs w:val="24"/>
        </w:rPr>
        <w:fldChar w:fldCharType="end"/>
      </w:r>
      <w:r>
        <w:rPr>
          <w:rFonts w:hint="eastAsia"/>
          <w:sz w:val="24"/>
          <w:szCs w:val="24"/>
        </w:rPr>
        <w:fldChar w:fldCharType="end"/>
      </w:r>
    </w:p>
    <w:p>
      <w:pPr>
        <w:pStyle w:val="23"/>
        <w:tabs>
          <w:tab w:val="right" w:leader="dot" w:pos="8302"/>
        </w:tabs>
        <w:spacing w:line="300" w:lineRule="exact"/>
        <w:rPr>
          <w:rFonts w:hAnsiTheme="minorHAnsi" w:cstheme="minorBidi"/>
          <w:kern w:val="2"/>
          <w:sz w:val="24"/>
          <w:szCs w:val="24"/>
        </w:rPr>
      </w:pPr>
      <w:r>
        <w:fldChar w:fldCharType="begin"/>
      </w:r>
      <w:r>
        <w:instrText xml:space="preserve"> HYPERLINK \l "_Toc119336610" </w:instrText>
      </w:r>
      <w:r>
        <w:fldChar w:fldCharType="separate"/>
      </w:r>
      <w:r>
        <w:rPr>
          <w:rStyle w:val="39"/>
          <w:rFonts w:hint="eastAsia" w:hAnsi="黑体"/>
          <w:b/>
          <w:bCs/>
          <w:sz w:val="24"/>
          <w:szCs w:val="24"/>
        </w:rPr>
        <w:t>附录C</w:t>
      </w:r>
      <w:r>
        <w:rPr>
          <w:rFonts w:hint="eastAsia"/>
          <w:sz w:val="24"/>
          <w:szCs w:val="24"/>
        </w:rPr>
        <w:tab/>
      </w:r>
      <w:r>
        <w:rPr>
          <w:rFonts w:hint="eastAsia"/>
          <w:sz w:val="24"/>
          <w:szCs w:val="24"/>
        </w:rPr>
        <w:fldChar w:fldCharType="begin"/>
      </w:r>
      <w:r>
        <w:rPr>
          <w:rFonts w:hint="eastAsia"/>
          <w:sz w:val="24"/>
          <w:szCs w:val="24"/>
        </w:rPr>
        <w:instrText xml:space="preserve"> PAGEREF _Toc119336610 \h </w:instrText>
      </w:r>
      <w:r>
        <w:rPr>
          <w:rFonts w:hint="eastAsia"/>
          <w:sz w:val="24"/>
          <w:szCs w:val="24"/>
        </w:rPr>
        <w:fldChar w:fldCharType="separate"/>
      </w:r>
      <w:r>
        <w:rPr>
          <w:sz w:val="24"/>
          <w:szCs w:val="24"/>
        </w:rPr>
        <w:t>94</w:t>
      </w:r>
      <w:r>
        <w:rPr>
          <w:rFonts w:hint="eastAsia"/>
          <w:sz w:val="24"/>
          <w:szCs w:val="24"/>
        </w:rPr>
        <w:fldChar w:fldCharType="end"/>
      </w:r>
      <w:r>
        <w:rPr>
          <w:rFonts w:hint="eastAsia"/>
          <w:sz w:val="24"/>
          <w:szCs w:val="24"/>
        </w:rPr>
        <w:fldChar w:fldCharType="end"/>
      </w:r>
    </w:p>
    <w:p>
      <w:pPr>
        <w:pStyle w:val="28"/>
        <w:tabs>
          <w:tab w:val="right" w:leader="dot" w:pos="8302"/>
        </w:tabs>
        <w:spacing w:line="300" w:lineRule="exact"/>
        <w:ind w:left="640"/>
        <w:rPr>
          <w:rFonts w:hAnsiTheme="minorHAnsi" w:cstheme="minorBidi"/>
          <w:kern w:val="2"/>
          <w:sz w:val="24"/>
          <w:szCs w:val="24"/>
        </w:rPr>
      </w:pPr>
      <w:r>
        <w:fldChar w:fldCharType="begin"/>
      </w:r>
      <w:r>
        <w:instrText xml:space="preserve"> HYPERLINK \l "_Toc119336611" </w:instrText>
      </w:r>
      <w:r>
        <w:fldChar w:fldCharType="separate"/>
      </w:r>
      <w:r>
        <w:rPr>
          <w:rStyle w:val="39"/>
          <w:rFonts w:hint="eastAsia" w:hAnsi="黑体"/>
          <w:b/>
          <w:bCs/>
          <w:sz w:val="24"/>
          <w:szCs w:val="24"/>
        </w:rPr>
        <w:t>水利工程建设项目生产安全重大事故隐患清单指南</w:t>
      </w:r>
      <w:r>
        <w:rPr>
          <w:rFonts w:hint="eastAsia"/>
          <w:sz w:val="24"/>
          <w:szCs w:val="24"/>
        </w:rPr>
        <w:tab/>
      </w:r>
      <w:r>
        <w:rPr>
          <w:rFonts w:hint="eastAsia"/>
          <w:sz w:val="24"/>
          <w:szCs w:val="24"/>
        </w:rPr>
        <w:fldChar w:fldCharType="begin"/>
      </w:r>
      <w:r>
        <w:rPr>
          <w:rFonts w:hint="eastAsia"/>
          <w:sz w:val="24"/>
          <w:szCs w:val="24"/>
        </w:rPr>
        <w:instrText xml:space="preserve"> PAGEREF _Toc119336611 \h </w:instrText>
      </w:r>
      <w:r>
        <w:rPr>
          <w:rFonts w:hint="eastAsia"/>
          <w:sz w:val="24"/>
          <w:szCs w:val="24"/>
        </w:rPr>
        <w:fldChar w:fldCharType="separate"/>
      </w:r>
      <w:r>
        <w:rPr>
          <w:sz w:val="24"/>
          <w:szCs w:val="24"/>
        </w:rPr>
        <w:t>94</w:t>
      </w:r>
      <w:r>
        <w:rPr>
          <w:rFonts w:hint="eastAsia"/>
          <w:sz w:val="24"/>
          <w:szCs w:val="24"/>
        </w:rPr>
        <w:fldChar w:fldCharType="end"/>
      </w:r>
      <w:r>
        <w:rPr>
          <w:rFonts w:hint="eastAsia"/>
          <w:sz w:val="24"/>
          <w:szCs w:val="24"/>
        </w:rPr>
        <w:fldChar w:fldCharType="end"/>
      </w:r>
    </w:p>
    <w:p>
      <w:pPr>
        <w:pStyle w:val="28"/>
        <w:tabs>
          <w:tab w:val="right" w:leader="dot" w:pos="8302"/>
        </w:tabs>
        <w:spacing w:line="300" w:lineRule="exact"/>
        <w:ind w:left="640"/>
        <w:rPr>
          <w:rFonts w:hAnsiTheme="minorHAnsi" w:cstheme="minorBidi"/>
          <w:kern w:val="2"/>
          <w:sz w:val="24"/>
          <w:szCs w:val="24"/>
        </w:rPr>
      </w:pPr>
      <w:r>
        <w:fldChar w:fldCharType="begin"/>
      </w:r>
      <w:r>
        <w:instrText xml:space="preserve"> HYPERLINK \l "_Toc119336612" </w:instrText>
      </w:r>
      <w:r>
        <w:fldChar w:fldCharType="separate"/>
      </w:r>
      <w:r>
        <w:rPr>
          <w:rStyle w:val="39"/>
          <w:rFonts w:hint="eastAsia" w:hAnsi="黑体"/>
          <w:b/>
          <w:bCs/>
          <w:sz w:val="24"/>
          <w:szCs w:val="24"/>
        </w:rPr>
        <w:t>水利工程运行管理生产安全重大事故隐患清单指南</w:t>
      </w:r>
      <w:r>
        <w:rPr>
          <w:rFonts w:hint="eastAsia"/>
          <w:sz w:val="24"/>
          <w:szCs w:val="24"/>
        </w:rPr>
        <w:tab/>
      </w:r>
      <w:r>
        <w:rPr>
          <w:rFonts w:hint="eastAsia"/>
          <w:sz w:val="24"/>
          <w:szCs w:val="24"/>
        </w:rPr>
        <w:fldChar w:fldCharType="begin"/>
      </w:r>
      <w:r>
        <w:rPr>
          <w:rFonts w:hint="eastAsia"/>
          <w:sz w:val="24"/>
          <w:szCs w:val="24"/>
        </w:rPr>
        <w:instrText xml:space="preserve"> PAGEREF _Toc119336612 \h </w:instrText>
      </w:r>
      <w:r>
        <w:rPr>
          <w:rFonts w:hint="eastAsia"/>
          <w:sz w:val="24"/>
          <w:szCs w:val="24"/>
        </w:rPr>
        <w:fldChar w:fldCharType="separate"/>
      </w:r>
      <w:r>
        <w:rPr>
          <w:sz w:val="24"/>
          <w:szCs w:val="24"/>
        </w:rPr>
        <w:t>96</w:t>
      </w:r>
      <w:r>
        <w:rPr>
          <w:rFonts w:hint="eastAsia"/>
          <w:sz w:val="24"/>
          <w:szCs w:val="24"/>
        </w:rPr>
        <w:fldChar w:fldCharType="end"/>
      </w:r>
      <w:r>
        <w:rPr>
          <w:rFonts w:hint="eastAsia"/>
          <w:sz w:val="24"/>
          <w:szCs w:val="24"/>
        </w:rPr>
        <w:fldChar w:fldCharType="end"/>
      </w:r>
    </w:p>
    <w:p>
      <w:pPr>
        <w:pStyle w:val="23"/>
        <w:tabs>
          <w:tab w:val="right" w:leader="dot" w:pos="8302"/>
        </w:tabs>
        <w:spacing w:line="300" w:lineRule="exact"/>
        <w:rPr>
          <w:rFonts w:hAnsiTheme="minorHAnsi" w:cstheme="minorBidi"/>
          <w:kern w:val="2"/>
          <w:sz w:val="24"/>
          <w:szCs w:val="24"/>
        </w:rPr>
      </w:pPr>
      <w:r>
        <w:fldChar w:fldCharType="begin"/>
      </w:r>
      <w:r>
        <w:instrText xml:space="preserve"> HYPERLINK \l "_Toc119336613" </w:instrText>
      </w:r>
      <w:r>
        <w:fldChar w:fldCharType="separate"/>
      </w:r>
      <w:r>
        <w:rPr>
          <w:rStyle w:val="39"/>
          <w:rFonts w:hint="eastAsia" w:hAnsi="黑体"/>
          <w:b/>
          <w:bCs/>
          <w:sz w:val="24"/>
          <w:szCs w:val="24"/>
        </w:rPr>
        <w:t>附录D</w:t>
      </w:r>
      <w:r>
        <w:rPr>
          <w:rFonts w:hint="eastAsia"/>
          <w:sz w:val="24"/>
          <w:szCs w:val="24"/>
        </w:rPr>
        <w:tab/>
      </w:r>
      <w:r>
        <w:rPr>
          <w:rFonts w:hint="eastAsia"/>
          <w:sz w:val="24"/>
          <w:szCs w:val="24"/>
        </w:rPr>
        <w:fldChar w:fldCharType="begin"/>
      </w:r>
      <w:r>
        <w:rPr>
          <w:rFonts w:hint="eastAsia"/>
          <w:sz w:val="24"/>
          <w:szCs w:val="24"/>
        </w:rPr>
        <w:instrText xml:space="preserve"> PAGEREF _Toc119336613 \h </w:instrText>
      </w:r>
      <w:r>
        <w:rPr>
          <w:rFonts w:hint="eastAsia"/>
          <w:sz w:val="24"/>
          <w:szCs w:val="24"/>
        </w:rPr>
        <w:fldChar w:fldCharType="separate"/>
      </w:r>
      <w:r>
        <w:rPr>
          <w:sz w:val="24"/>
          <w:szCs w:val="24"/>
        </w:rPr>
        <w:t>97</w:t>
      </w:r>
      <w:r>
        <w:rPr>
          <w:rFonts w:hint="eastAsia"/>
          <w:sz w:val="24"/>
          <w:szCs w:val="24"/>
        </w:rPr>
        <w:fldChar w:fldCharType="end"/>
      </w:r>
      <w:r>
        <w:rPr>
          <w:rFonts w:hint="eastAsia"/>
          <w:sz w:val="24"/>
          <w:szCs w:val="24"/>
        </w:rPr>
        <w:fldChar w:fldCharType="end"/>
      </w:r>
    </w:p>
    <w:p>
      <w:pPr>
        <w:pStyle w:val="28"/>
        <w:tabs>
          <w:tab w:val="right" w:leader="dot" w:pos="8302"/>
        </w:tabs>
        <w:spacing w:line="300" w:lineRule="exact"/>
        <w:ind w:left="640"/>
        <w:rPr>
          <w:rFonts w:hAnsiTheme="minorHAnsi" w:cstheme="minorBidi"/>
          <w:kern w:val="2"/>
          <w:sz w:val="24"/>
          <w:szCs w:val="24"/>
        </w:rPr>
      </w:pPr>
      <w:r>
        <w:fldChar w:fldCharType="begin"/>
      </w:r>
      <w:r>
        <w:instrText xml:space="preserve"> HYPERLINK \l "_Toc119336614" </w:instrText>
      </w:r>
      <w:r>
        <w:fldChar w:fldCharType="separate"/>
      </w:r>
      <w:r>
        <w:rPr>
          <w:rStyle w:val="39"/>
          <w:rFonts w:hint="eastAsia" w:hAnsi="黑体"/>
          <w:b/>
          <w:bCs/>
          <w:sz w:val="24"/>
          <w:szCs w:val="24"/>
        </w:rPr>
        <w:t>一般危险源风险评价表（LEC法）</w:t>
      </w:r>
      <w:r>
        <w:rPr>
          <w:rFonts w:hint="eastAsia"/>
          <w:sz w:val="24"/>
          <w:szCs w:val="24"/>
        </w:rPr>
        <w:tab/>
      </w:r>
      <w:r>
        <w:rPr>
          <w:rFonts w:hint="eastAsia"/>
          <w:sz w:val="24"/>
          <w:szCs w:val="24"/>
        </w:rPr>
        <w:fldChar w:fldCharType="begin"/>
      </w:r>
      <w:r>
        <w:rPr>
          <w:rFonts w:hint="eastAsia"/>
          <w:sz w:val="24"/>
          <w:szCs w:val="24"/>
        </w:rPr>
        <w:instrText xml:space="preserve"> PAGEREF _Toc119336614 \h </w:instrText>
      </w:r>
      <w:r>
        <w:rPr>
          <w:rFonts w:hint="eastAsia"/>
          <w:sz w:val="24"/>
          <w:szCs w:val="24"/>
        </w:rPr>
        <w:fldChar w:fldCharType="separate"/>
      </w:r>
      <w:r>
        <w:rPr>
          <w:sz w:val="24"/>
          <w:szCs w:val="24"/>
        </w:rPr>
        <w:t>97</w:t>
      </w:r>
      <w:r>
        <w:rPr>
          <w:rFonts w:hint="eastAsia"/>
          <w:sz w:val="24"/>
          <w:szCs w:val="24"/>
        </w:rPr>
        <w:fldChar w:fldCharType="end"/>
      </w:r>
      <w:r>
        <w:rPr>
          <w:rFonts w:hint="eastAsia"/>
          <w:sz w:val="24"/>
          <w:szCs w:val="24"/>
        </w:rPr>
        <w:fldChar w:fldCharType="end"/>
      </w:r>
    </w:p>
    <w:p>
      <w:pPr>
        <w:pStyle w:val="28"/>
        <w:tabs>
          <w:tab w:val="right" w:leader="dot" w:pos="8302"/>
        </w:tabs>
        <w:spacing w:line="300" w:lineRule="exact"/>
        <w:ind w:left="640"/>
        <w:rPr>
          <w:rFonts w:hAnsiTheme="minorHAnsi" w:cstheme="minorBidi"/>
          <w:kern w:val="2"/>
          <w:sz w:val="24"/>
          <w:szCs w:val="24"/>
        </w:rPr>
      </w:pPr>
      <w:r>
        <w:fldChar w:fldCharType="begin"/>
      </w:r>
      <w:r>
        <w:instrText xml:space="preserve"> HYPERLINK \l "_Toc119336615" </w:instrText>
      </w:r>
      <w:r>
        <w:fldChar w:fldCharType="separate"/>
      </w:r>
      <w:r>
        <w:rPr>
          <w:rStyle w:val="39"/>
          <w:rFonts w:hint="eastAsia" w:hAnsi="黑体"/>
          <w:b/>
          <w:bCs/>
          <w:sz w:val="24"/>
          <w:szCs w:val="24"/>
        </w:rPr>
        <w:t>一般危险源风险评价表（LS法）</w:t>
      </w:r>
      <w:r>
        <w:rPr>
          <w:rFonts w:hint="eastAsia"/>
          <w:sz w:val="24"/>
          <w:szCs w:val="24"/>
        </w:rPr>
        <w:tab/>
      </w:r>
      <w:r>
        <w:rPr>
          <w:rFonts w:hint="eastAsia"/>
          <w:sz w:val="24"/>
          <w:szCs w:val="24"/>
        </w:rPr>
        <w:fldChar w:fldCharType="begin"/>
      </w:r>
      <w:r>
        <w:rPr>
          <w:rFonts w:hint="eastAsia"/>
          <w:sz w:val="24"/>
          <w:szCs w:val="24"/>
        </w:rPr>
        <w:instrText xml:space="preserve"> PAGEREF _Toc119336615 \h </w:instrText>
      </w:r>
      <w:r>
        <w:rPr>
          <w:rFonts w:hint="eastAsia"/>
          <w:sz w:val="24"/>
          <w:szCs w:val="24"/>
        </w:rPr>
        <w:fldChar w:fldCharType="separate"/>
      </w:r>
      <w:r>
        <w:rPr>
          <w:sz w:val="24"/>
          <w:szCs w:val="24"/>
        </w:rPr>
        <w:t>97</w:t>
      </w:r>
      <w:r>
        <w:rPr>
          <w:rFonts w:hint="eastAsia"/>
          <w:sz w:val="24"/>
          <w:szCs w:val="24"/>
        </w:rPr>
        <w:fldChar w:fldCharType="end"/>
      </w:r>
      <w:r>
        <w:rPr>
          <w:rFonts w:hint="eastAsia"/>
          <w:sz w:val="24"/>
          <w:szCs w:val="24"/>
        </w:rPr>
        <w:fldChar w:fldCharType="end"/>
      </w:r>
    </w:p>
    <w:p>
      <w:pPr>
        <w:pStyle w:val="23"/>
        <w:tabs>
          <w:tab w:val="right" w:leader="dot" w:pos="8302"/>
        </w:tabs>
        <w:spacing w:line="300" w:lineRule="exact"/>
        <w:rPr>
          <w:rFonts w:hAnsiTheme="minorHAnsi" w:cstheme="minorBidi"/>
          <w:kern w:val="2"/>
          <w:sz w:val="24"/>
          <w:szCs w:val="24"/>
        </w:rPr>
      </w:pPr>
      <w:r>
        <w:fldChar w:fldCharType="begin"/>
      </w:r>
      <w:r>
        <w:instrText xml:space="preserve"> HYPERLINK \l "_Toc119336616" </w:instrText>
      </w:r>
      <w:r>
        <w:fldChar w:fldCharType="separate"/>
      </w:r>
      <w:r>
        <w:rPr>
          <w:rStyle w:val="39"/>
          <w:rFonts w:hint="eastAsia" w:hAnsi="黑体"/>
          <w:b/>
          <w:bCs/>
          <w:sz w:val="24"/>
          <w:szCs w:val="24"/>
        </w:rPr>
        <w:t>附录E</w:t>
      </w:r>
      <w:r>
        <w:rPr>
          <w:rFonts w:hint="eastAsia"/>
          <w:sz w:val="24"/>
          <w:szCs w:val="24"/>
        </w:rPr>
        <w:tab/>
      </w:r>
      <w:r>
        <w:rPr>
          <w:rFonts w:hint="eastAsia"/>
          <w:sz w:val="24"/>
          <w:szCs w:val="24"/>
        </w:rPr>
        <w:fldChar w:fldCharType="begin"/>
      </w:r>
      <w:r>
        <w:rPr>
          <w:rFonts w:hint="eastAsia"/>
          <w:sz w:val="24"/>
          <w:szCs w:val="24"/>
        </w:rPr>
        <w:instrText xml:space="preserve"> PAGEREF _Toc119336616 \h </w:instrText>
      </w:r>
      <w:r>
        <w:rPr>
          <w:rFonts w:hint="eastAsia"/>
          <w:sz w:val="24"/>
          <w:szCs w:val="24"/>
        </w:rPr>
        <w:fldChar w:fldCharType="separate"/>
      </w:r>
      <w:r>
        <w:rPr>
          <w:sz w:val="24"/>
          <w:szCs w:val="24"/>
        </w:rPr>
        <w:t>98</w:t>
      </w:r>
      <w:r>
        <w:rPr>
          <w:rFonts w:hint="eastAsia"/>
          <w:sz w:val="24"/>
          <w:szCs w:val="24"/>
        </w:rPr>
        <w:fldChar w:fldCharType="end"/>
      </w:r>
      <w:r>
        <w:rPr>
          <w:rFonts w:hint="eastAsia"/>
          <w:sz w:val="24"/>
          <w:szCs w:val="24"/>
        </w:rPr>
        <w:fldChar w:fldCharType="end"/>
      </w:r>
    </w:p>
    <w:p>
      <w:pPr>
        <w:pStyle w:val="28"/>
        <w:tabs>
          <w:tab w:val="right" w:leader="dot" w:pos="8302"/>
        </w:tabs>
        <w:spacing w:line="300" w:lineRule="exact"/>
        <w:ind w:left="640"/>
        <w:rPr>
          <w:rFonts w:hAnsiTheme="minorHAnsi" w:cstheme="minorBidi"/>
          <w:kern w:val="2"/>
          <w:sz w:val="24"/>
          <w:szCs w:val="24"/>
        </w:rPr>
      </w:pPr>
      <w:r>
        <w:fldChar w:fldCharType="begin"/>
      </w:r>
      <w:r>
        <w:instrText xml:space="preserve"> HYPERLINK \l "_Toc119336617" </w:instrText>
      </w:r>
      <w:r>
        <w:fldChar w:fldCharType="separate"/>
      </w:r>
      <w:r>
        <w:rPr>
          <w:rStyle w:val="39"/>
          <w:rFonts w:hint="eastAsia" w:hAnsi="黑体"/>
          <w:b/>
          <w:bCs/>
          <w:sz w:val="24"/>
          <w:szCs w:val="24"/>
        </w:rPr>
        <w:t>作业危害分析 (JHA+LS) 评价表</w:t>
      </w:r>
      <w:r>
        <w:rPr>
          <w:rFonts w:hint="eastAsia"/>
          <w:sz w:val="24"/>
          <w:szCs w:val="24"/>
        </w:rPr>
        <w:tab/>
      </w:r>
      <w:r>
        <w:rPr>
          <w:rFonts w:hint="eastAsia"/>
          <w:sz w:val="24"/>
          <w:szCs w:val="24"/>
        </w:rPr>
        <w:fldChar w:fldCharType="begin"/>
      </w:r>
      <w:r>
        <w:rPr>
          <w:rFonts w:hint="eastAsia"/>
          <w:sz w:val="24"/>
          <w:szCs w:val="24"/>
        </w:rPr>
        <w:instrText xml:space="preserve"> PAGEREF _Toc119336617 \h </w:instrText>
      </w:r>
      <w:r>
        <w:rPr>
          <w:rFonts w:hint="eastAsia"/>
          <w:sz w:val="24"/>
          <w:szCs w:val="24"/>
        </w:rPr>
        <w:fldChar w:fldCharType="separate"/>
      </w:r>
      <w:r>
        <w:rPr>
          <w:sz w:val="24"/>
          <w:szCs w:val="24"/>
        </w:rPr>
        <w:t>98</w:t>
      </w:r>
      <w:r>
        <w:rPr>
          <w:rFonts w:hint="eastAsia"/>
          <w:sz w:val="24"/>
          <w:szCs w:val="24"/>
        </w:rPr>
        <w:fldChar w:fldCharType="end"/>
      </w:r>
      <w:r>
        <w:rPr>
          <w:rFonts w:hint="eastAsia"/>
          <w:sz w:val="24"/>
          <w:szCs w:val="24"/>
        </w:rPr>
        <w:fldChar w:fldCharType="end"/>
      </w:r>
    </w:p>
    <w:p>
      <w:pPr>
        <w:pStyle w:val="28"/>
        <w:tabs>
          <w:tab w:val="right" w:leader="dot" w:pos="8302"/>
        </w:tabs>
        <w:spacing w:line="300" w:lineRule="exact"/>
        <w:ind w:left="640"/>
        <w:rPr>
          <w:rFonts w:hAnsiTheme="minorHAnsi" w:cstheme="minorBidi"/>
          <w:kern w:val="2"/>
          <w:sz w:val="24"/>
          <w:szCs w:val="24"/>
        </w:rPr>
      </w:pPr>
      <w:r>
        <w:fldChar w:fldCharType="begin"/>
      </w:r>
      <w:r>
        <w:instrText xml:space="preserve"> HYPERLINK \l "_Toc119336618" </w:instrText>
      </w:r>
      <w:r>
        <w:fldChar w:fldCharType="separate"/>
      </w:r>
      <w:r>
        <w:rPr>
          <w:rStyle w:val="39"/>
          <w:rFonts w:hint="eastAsia" w:hAnsi="黑体"/>
          <w:b/>
          <w:bCs/>
          <w:sz w:val="24"/>
          <w:szCs w:val="24"/>
        </w:rPr>
        <w:t>作业危害分析 (JHA+LEC)评价表</w:t>
      </w:r>
      <w:r>
        <w:rPr>
          <w:rFonts w:hint="eastAsia"/>
          <w:sz w:val="24"/>
          <w:szCs w:val="24"/>
        </w:rPr>
        <w:tab/>
      </w:r>
      <w:r>
        <w:rPr>
          <w:rFonts w:hint="eastAsia"/>
          <w:sz w:val="24"/>
          <w:szCs w:val="24"/>
        </w:rPr>
        <w:fldChar w:fldCharType="begin"/>
      </w:r>
      <w:r>
        <w:rPr>
          <w:rFonts w:hint="eastAsia"/>
          <w:sz w:val="24"/>
          <w:szCs w:val="24"/>
        </w:rPr>
        <w:instrText xml:space="preserve"> PAGEREF _Toc119336618 \h </w:instrText>
      </w:r>
      <w:r>
        <w:rPr>
          <w:rFonts w:hint="eastAsia"/>
          <w:sz w:val="24"/>
          <w:szCs w:val="24"/>
        </w:rPr>
        <w:fldChar w:fldCharType="separate"/>
      </w:r>
      <w:r>
        <w:rPr>
          <w:sz w:val="24"/>
          <w:szCs w:val="24"/>
        </w:rPr>
        <w:t>98</w:t>
      </w:r>
      <w:r>
        <w:rPr>
          <w:rFonts w:hint="eastAsia"/>
          <w:sz w:val="24"/>
          <w:szCs w:val="24"/>
        </w:rPr>
        <w:fldChar w:fldCharType="end"/>
      </w:r>
      <w:r>
        <w:rPr>
          <w:rFonts w:hint="eastAsia"/>
          <w:sz w:val="24"/>
          <w:szCs w:val="24"/>
        </w:rPr>
        <w:fldChar w:fldCharType="end"/>
      </w:r>
    </w:p>
    <w:p>
      <w:pPr>
        <w:pStyle w:val="23"/>
        <w:tabs>
          <w:tab w:val="right" w:leader="dot" w:pos="8302"/>
        </w:tabs>
        <w:spacing w:line="300" w:lineRule="exact"/>
        <w:rPr>
          <w:rFonts w:hAnsiTheme="minorHAnsi" w:cstheme="minorBidi"/>
          <w:kern w:val="2"/>
          <w:sz w:val="24"/>
          <w:szCs w:val="24"/>
        </w:rPr>
      </w:pPr>
      <w:r>
        <w:fldChar w:fldCharType="begin"/>
      </w:r>
      <w:r>
        <w:instrText xml:space="preserve"> HYPERLINK \l "_Toc119336619" </w:instrText>
      </w:r>
      <w:r>
        <w:fldChar w:fldCharType="separate"/>
      </w:r>
      <w:r>
        <w:rPr>
          <w:rStyle w:val="39"/>
          <w:rFonts w:hint="eastAsia" w:hAnsi="黑体"/>
          <w:b/>
          <w:bCs/>
          <w:sz w:val="24"/>
          <w:szCs w:val="24"/>
        </w:rPr>
        <w:t>附录F.1</w:t>
      </w:r>
      <w:r>
        <w:rPr>
          <w:rFonts w:hint="eastAsia"/>
          <w:sz w:val="24"/>
          <w:szCs w:val="24"/>
        </w:rPr>
        <w:tab/>
      </w:r>
      <w:r>
        <w:rPr>
          <w:rFonts w:hint="eastAsia"/>
          <w:sz w:val="24"/>
          <w:szCs w:val="24"/>
        </w:rPr>
        <w:fldChar w:fldCharType="begin"/>
      </w:r>
      <w:r>
        <w:rPr>
          <w:rFonts w:hint="eastAsia"/>
          <w:sz w:val="24"/>
          <w:szCs w:val="24"/>
        </w:rPr>
        <w:instrText xml:space="preserve"> PAGEREF _Toc119336619 \h </w:instrText>
      </w:r>
      <w:r>
        <w:rPr>
          <w:rFonts w:hint="eastAsia"/>
          <w:sz w:val="24"/>
          <w:szCs w:val="24"/>
        </w:rPr>
        <w:fldChar w:fldCharType="separate"/>
      </w:r>
      <w:r>
        <w:rPr>
          <w:sz w:val="24"/>
          <w:szCs w:val="24"/>
        </w:rPr>
        <w:t>99</w:t>
      </w:r>
      <w:r>
        <w:rPr>
          <w:rFonts w:hint="eastAsia"/>
          <w:sz w:val="24"/>
          <w:szCs w:val="24"/>
        </w:rPr>
        <w:fldChar w:fldCharType="end"/>
      </w:r>
      <w:r>
        <w:rPr>
          <w:rFonts w:hint="eastAsia"/>
          <w:sz w:val="24"/>
          <w:szCs w:val="24"/>
        </w:rPr>
        <w:fldChar w:fldCharType="end"/>
      </w:r>
    </w:p>
    <w:p>
      <w:pPr>
        <w:pStyle w:val="28"/>
        <w:tabs>
          <w:tab w:val="right" w:leader="dot" w:pos="8302"/>
        </w:tabs>
        <w:spacing w:line="300" w:lineRule="exact"/>
        <w:ind w:left="640"/>
        <w:rPr>
          <w:rFonts w:hAnsiTheme="minorHAnsi" w:cstheme="minorBidi"/>
          <w:kern w:val="2"/>
          <w:sz w:val="24"/>
          <w:szCs w:val="24"/>
        </w:rPr>
      </w:pPr>
      <w:r>
        <w:fldChar w:fldCharType="begin"/>
      </w:r>
      <w:r>
        <w:instrText xml:space="preserve"> HYPERLINK \l "_Toc119336620" </w:instrText>
      </w:r>
      <w:r>
        <w:fldChar w:fldCharType="separate"/>
      </w:r>
      <w:r>
        <w:rPr>
          <w:rStyle w:val="39"/>
          <w:rFonts w:hint="eastAsia" w:hAnsi="黑体"/>
          <w:b/>
          <w:bCs/>
          <w:sz w:val="24"/>
          <w:szCs w:val="24"/>
        </w:rPr>
        <w:t>作业条件危险性评价法（LEC法）</w:t>
      </w:r>
      <w:r>
        <w:rPr>
          <w:rFonts w:hint="eastAsia"/>
          <w:sz w:val="24"/>
          <w:szCs w:val="24"/>
        </w:rPr>
        <w:tab/>
      </w:r>
      <w:r>
        <w:rPr>
          <w:rFonts w:hint="eastAsia"/>
          <w:sz w:val="24"/>
          <w:szCs w:val="24"/>
        </w:rPr>
        <w:fldChar w:fldCharType="begin"/>
      </w:r>
      <w:r>
        <w:rPr>
          <w:rFonts w:hint="eastAsia"/>
          <w:sz w:val="24"/>
          <w:szCs w:val="24"/>
        </w:rPr>
        <w:instrText xml:space="preserve"> PAGEREF _Toc119336620 \h </w:instrText>
      </w:r>
      <w:r>
        <w:rPr>
          <w:rFonts w:hint="eastAsia"/>
          <w:sz w:val="24"/>
          <w:szCs w:val="24"/>
        </w:rPr>
        <w:fldChar w:fldCharType="separate"/>
      </w:r>
      <w:r>
        <w:rPr>
          <w:sz w:val="24"/>
          <w:szCs w:val="24"/>
        </w:rPr>
        <w:t>99</w:t>
      </w:r>
      <w:r>
        <w:rPr>
          <w:rFonts w:hint="eastAsia"/>
          <w:sz w:val="24"/>
          <w:szCs w:val="24"/>
        </w:rPr>
        <w:fldChar w:fldCharType="end"/>
      </w:r>
      <w:r>
        <w:rPr>
          <w:rFonts w:hint="eastAsia"/>
          <w:sz w:val="24"/>
          <w:szCs w:val="24"/>
        </w:rPr>
        <w:fldChar w:fldCharType="end"/>
      </w:r>
    </w:p>
    <w:p>
      <w:pPr>
        <w:pStyle w:val="23"/>
        <w:tabs>
          <w:tab w:val="right" w:leader="dot" w:pos="8302"/>
        </w:tabs>
        <w:spacing w:line="300" w:lineRule="exact"/>
        <w:rPr>
          <w:rFonts w:hAnsiTheme="minorHAnsi" w:cstheme="minorBidi"/>
          <w:kern w:val="2"/>
          <w:sz w:val="24"/>
          <w:szCs w:val="24"/>
        </w:rPr>
      </w:pPr>
      <w:r>
        <w:fldChar w:fldCharType="begin"/>
      </w:r>
      <w:r>
        <w:instrText xml:space="preserve"> HYPERLINK \l "_Toc119336621" </w:instrText>
      </w:r>
      <w:r>
        <w:fldChar w:fldCharType="separate"/>
      </w:r>
      <w:r>
        <w:rPr>
          <w:rStyle w:val="39"/>
          <w:rFonts w:hint="eastAsia" w:hAnsi="黑体"/>
          <w:b/>
          <w:bCs/>
          <w:sz w:val="24"/>
          <w:szCs w:val="24"/>
        </w:rPr>
        <w:t>附录F.2</w:t>
      </w:r>
      <w:r>
        <w:rPr>
          <w:rFonts w:hint="eastAsia"/>
          <w:sz w:val="24"/>
          <w:szCs w:val="24"/>
        </w:rPr>
        <w:tab/>
      </w:r>
      <w:r>
        <w:rPr>
          <w:rFonts w:hint="eastAsia"/>
          <w:sz w:val="24"/>
          <w:szCs w:val="24"/>
        </w:rPr>
        <w:fldChar w:fldCharType="begin"/>
      </w:r>
      <w:r>
        <w:rPr>
          <w:rFonts w:hint="eastAsia"/>
          <w:sz w:val="24"/>
          <w:szCs w:val="24"/>
        </w:rPr>
        <w:instrText xml:space="preserve"> PAGEREF _Toc119336621 \h </w:instrText>
      </w:r>
      <w:r>
        <w:rPr>
          <w:rFonts w:hint="eastAsia"/>
          <w:sz w:val="24"/>
          <w:szCs w:val="24"/>
        </w:rPr>
        <w:fldChar w:fldCharType="separate"/>
      </w:r>
      <w:r>
        <w:rPr>
          <w:sz w:val="24"/>
          <w:szCs w:val="24"/>
        </w:rPr>
        <w:t>102</w:t>
      </w:r>
      <w:r>
        <w:rPr>
          <w:rFonts w:hint="eastAsia"/>
          <w:sz w:val="24"/>
          <w:szCs w:val="24"/>
        </w:rPr>
        <w:fldChar w:fldCharType="end"/>
      </w:r>
      <w:r>
        <w:rPr>
          <w:rFonts w:hint="eastAsia"/>
          <w:sz w:val="24"/>
          <w:szCs w:val="24"/>
        </w:rPr>
        <w:fldChar w:fldCharType="end"/>
      </w:r>
    </w:p>
    <w:p>
      <w:pPr>
        <w:pStyle w:val="28"/>
        <w:tabs>
          <w:tab w:val="right" w:leader="dot" w:pos="8302"/>
        </w:tabs>
        <w:spacing w:line="300" w:lineRule="exact"/>
        <w:ind w:left="640"/>
        <w:rPr>
          <w:rFonts w:hAnsiTheme="minorHAnsi" w:cstheme="minorBidi"/>
          <w:kern w:val="2"/>
          <w:sz w:val="24"/>
          <w:szCs w:val="24"/>
        </w:rPr>
      </w:pPr>
      <w:r>
        <w:fldChar w:fldCharType="begin"/>
      </w:r>
      <w:r>
        <w:instrText xml:space="preserve"> HYPERLINK \l "_Toc119336622" </w:instrText>
      </w:r>
      <w:r>
        <w:fldChar w:fldCharType="separate"/>
      </w:r>
      <w:r>
        <w:rPr>
          <w:rStyle w:val="39"/>
          <w:rFonts w:hint="eastAsia" w:hAnsi="黑体"/>
          <w:b/>
          <w:bCs/>
          <w:sz w:val="24"/>
          <w:szCs w:val="24"/>
        </w:rPr>
        <w:t>水库、水闸运行一般危险源风险评价方法—风险矩阵法（LS法）</w:t>
      </w:r>
      <w:r>
        <w:rPr>
          <w:rFonts w:hint="eastAsia"/>
          <w:sz w:val="24"/>
          <w:szCs w:val="24"/>
        </w:rPr>
        <w:tab/>
      </w:r>
      <w:r>
        <w:rPr>
          <w:rFonts w:hint="eastAsia"/>
          <w:sz w:val="24"/>
          <w:szCs w:val="24"/>
        </w:rPr>
        <w:fldChar w:fldCharType="begin"/>
      </w:r>
      <w:r>
        <w:rPr>
          <w:rFonts w:hint="eastAsia"/>
          <w:sz w:val="24"/>
          <w:szCs w:val="24"/>
        </w:rPr>
        <w:instrText xml:space="preserve"> PAGEREF _Toc119336622 \h </w:instrText>
      </w:r>
      <w:r>
        <w:rPr>
          <w:rFonts w:hint="eastAsia"/>
          <w:sz w:val="24"/>
          <w:szCs w:val="24"/>
        </w:rPr>
        <w:fldChar w:fldCharType="separate"/>
      </w:r>
      <w:r>
        <w:rPr>
          <w:sz w:val="24"/>
          <w:szCs w:val="24"/>
        </w:rPr>
        <w:t>102</w:t>
      </w:r>
      <w:r>
        <w:rPr>
          <w:rFonts w:hint="eastAsia"/>
          <w:sz w:val="24"/>
          <w:szCs w:val="24"/>
        </w:rPr>
        <w:fldChar w:fldCharType="end"/>
      </w:r>
      <w:r>
        <w:rPr>
          <w:rFonts w:hint="eastAsia"/>
          <w:sz w:val="24"/>
          <w:szCs w:val="24"/>
        </w:rPr>
        <w:fldChar w:fldCharType="end"/>
      </w:r>
    </w:p>
    <w:p>
      <w:pPr>
        <w:pStyle w:val="23"/>
        <w:tabs>
          <w:tab w:val="right" w:leader="dot" w:pos="8302"/>
        </w:tabs>
        <w:spacing w:line="300" w:lineRule="exact"/>
        <w:rPr>
          <w:rFonts w:hAnsiTheme="minorHAnsi" w:cstheme="minorBidi"/>
          <w:kern w:val="2"/>
          <w:sz w:val="24"/>
          <w:szCs w:val="24"/>
        </w:rPr>
      </w:pPr>
      <w:r>
        <w:fldChar w:fldCharType="begin"/>
      </w:r>
      <w:r>
        <w:instrText xml:space="preserve"> HYPERLINK \l "_Toc119336623" </w:instrText>
      </w:r>
      <w:r>
        <w:fldChar w:fldCharType="separate"/>
      </w:r>
      <w:r>
        <w:rPr>
          <w:rStyle w:val="39"/>
          <w:rFonts w:hint="eastAsia" w:hAnsi="黑体"/>
          <w:b/>
          <w:bCs/>
          <w:sz w:val="24"/>
          <w:szCs w:val="24"/>
        </w:rPr>
        <w:t>附录F.3</w:t>
      </w:r>
      <w:r>
        <w:rPr>
          <w:rFonts w:hint="eastAsia"/>
          <w:sz w:val="24"/>
          <w:szCs w:val="24"/>
        </w:rPr>
        <w:tab/>
      </w:r>
      <w:r>
        <w:rPr>
          <w:rFonts w:hint="eastAsia"/>
          <w:sz w:val="24"/>
          <w:szCs w:val="24"/>
        </w:rPr>
        <w:fldChar w:fldCharType="begin"/>
      </w:r>
      <w:r>
        <w:rPr>
          <w:rFonts w:hint="eastAsia"/>
          <w:sz w:val="24"/>
          <w:szCs w:val="24"/>
        </w:rPr>
        <w:instrText xml:space="preserve"> PAGEREF _Toc119336623 \h </w:instrText>
      </w:r>
      <w:r>
        <w:rPr>
          <w:rFonts w:hint="eastAsia"/>
          <w:sz w:val="24"/>
          <w:szCs w:val="24"/>
        </w:rPr>
        <w:fldChar w:fldCharType="separate"/>
      </w:r>
      <w:r>
        <w:rPr>
          <w:sz w:val="24"/>
          <w:szCs w:val="24"/>
        </w:rPr>
        <w:t>105</w:t>
      </w:r>
      <w:r>
        <w:rPr>
          <w:rFonts w:hint="eastAsia"/>
          <w:sz w:val="24"/>
          <w:szCs w:val="24"/>
        </w:rPr>
        <w:fldChar w:fldCharType="end"/>
      </w:r>
      <w:r>
        <w:rPr>
          <w:rFonts w:hint="eastAsia"/>
          <w:sz w:val="24"/>
          <w:szCs w:val="24"/>
        </w:rPr>
        <w:fldChar w:fldCharType="end"/>
      </w:r>
    </w:p>
    <w:p>
      <w:pPr>
        <w:pStyle w:val="28"/>
        <w:tabs>
          <w:tab w:val="right" w:leader="dot" w:pos="8302"/>
        </w:tabs>
        <w:spacing w:line="300" w:lineRule="exact"/>
        <w:ind w:left="640"/>
        <w:rPr>
          <w:rFonts w:hAnsiTheme="minorHAnsi" w:cstheme="minorBidi"/>
          <w:kern w:val="2"/>
          <w:sz w:val="24"/>
          <w:szCs w:val="24"/>
        </w:rPr>
      </w:pPr>
      <w:r>
        <w:fldChar w:fldCharType="begin"/>
      </w:r>
      <w:r>
        <w:instrText xml:space="preserve"> HYPERLINK \l "_Toc119336624" </w:instrText>
      </w:r>
      <w:r>
        <w:fldChar w:fldCharType="separate"/>
      </w:r>
      <w:r>
        <w:rPr>
          <w:rStyle w:val="39"/>
          <w:rFonts w:hint="eastAsia" w:hAnsi="黑体"/>
          <w:b/>
          <w:bCs/>
          <w:sz w:val="24"/>
          <w:szCs w:val="24"/>
        </w:rPr>
        <w:t>水电站、泵站运行一般危险源风险评价方法—风险矩阵法（LS法）</w:t>
      </w:r>
      <w:r>
        <w:rPr>
          <w:rFonts w:hint="eastAsia"/>
          <w:sz w:val="24"/>
          <w:szCs w:val="24"/>
        </w:rPr>
        <w:tab/>
      </w:r>
      <w:r>
        <w:rPr>
          <w:rFonts w:hint="eastAsia"/>
          <w:sz w:val="24"/>
          <w:szCs w:val="24"/>
        </w:rPr>
        <w:fldChar w:fldCharType="begin"/>
      </w:r>
      <w:r>
        <w:rPr>
          <w:rFonts w:hint="eastAsia"/>
          <w:sz w:val="24"/>
          <w:szCs w:val="24"/>
        </w:rPr>
        <w:instrText xml:space="preserve"> PAGEREF _Toc119336624 \h </w:instrText>
      </w:r>
      <w:r>
        <w:rPr>
          <w:rFonts w:hint="eastAsia"/>
          <w:sz w:val="24"/>
          <w:szCs w:val="24"/>
        </w:rPr>
        <w:fldChar w:fldCharType="separate"/>
      </w:r>
      <w:r>
        <w:rPr>
          <w:sz w:val="24"/>
          <w:szCs w:val="24"/>
        </w:rPr>
        <w:t>105</w:t>
      </w:r>
      <w:r>
        <w:rPr>
          <w:rFonts w:hint="eastAsia"/>
          <w:sz w:val="24"/>
          <w:szCs w:val="24"/>
        </w:rPr>
        <w:fldChar w:fldCharType="end"/>
      </w:r>
      <w:r>
        <w:rPr>
          <w:rFonts w:hint="eastAsia"/>
          <w:sz w:val="24"/>
          <w:szCs w:val="24"/>
        </w:rPr>
        <w:fldChar w:fldCharType="end"/>
      </w:r>
    </w:p>
    <w:p>
      <w:pPr>
        <w:pStyle w:val="23"/>
        <w:tabs>
          <w:tab w:val="right" w:leader="dot" w:pos="8302"/>
        </w:tabs>
        <w:spacing w:line="300" w:lineRule="exact"/>
        <w:rPr>
          <w:rFonts w:hAnsiTheme="minorHAnsi" w:cstheme="minorBidi"/>
          <w:kern w:val="2"/>
          <w:sz w:val="24"/>
          <w:szCs w:val="24"/>
        </w:rPr>
      </w:pPr>
      <w:r>
        <w:fldChar w:fldCharType="begin"/>
      </w:r>
      <w:r>
        <w:instrText xml:space="preserve"> HYPERLINK \l "_Toc119336625" </w:instrText>
      </w:r>
      <w:r>
        <w:fldChar w:fldCharType="separate"/>
      </w:r>
      <w:r>
        <w:rPr>
          <w:rStyle w:val="39"/>
          <w:rFonts w:hint="eastAsia" w:hAnsi="黑体"/>
          <w:b/>
          <w:bCs/>
          <w:sz w:val="24"/>
          <w:szCs w:val="24"/>
        </w:rPr>
        <w:t>附录F.4</w:t>
      </w:r>
      <w:r>
        <w:rPr>
          <w:rFonts w:hint="eastAsia"/>
          <w:sz w:val="24"/>
          <w:szCs w:val="24"/>
        </w:rPr>
        <w:tab/>
      </w:r>
      <w:r>
        <w:rPr>
          <w:rFonts w:hint="eastAsia"/>
          <w:sz w:val="24"/>
          <w:szCs w:val="24"/>
        </w:rPr>
        <w:fldChar w:fldCharType="begin"/>
      </w:r>
      <w:r>
        <w:rPr>
          <w:rFonts w:hint="eastAsia"/>
          <w:sz w:val="24"/>
          <w:szCs w:val="24"/>
        </w:rPr>
        <w:instrText xml:space="preserve"> PAGEREF _Toc119336625 \h </w:instrText>
      </w:r>
      <w:r>
        <w:rPr>
          <w:rFonts w:hint="eastAsia"/>
          <w:sz w:val="24"/>
          <w:szCs w:val="24"/>
        </w:rPr>
        <w:fldChar w:fldCharType="separate"/>
      </w:r>
      <w:r>
        <w:rPr>
          <w:sz w:val="24"/>
          <w:szCs w:val="24"/>
        </w:rPr>
        <w:t>108</w:t>
      </w:r>
      <w:r>
        <w:rPr>
          <w:rFonts w:hint="eastAsia"/>
          <w:sz w:val="24"/>
          <w:szCs w:val="24"/>
        </w:rPr>
        <w:fldChar w:fldCharType="end"/>
      </w:r>
      <w:r>
        <w:rPr>
          <w:rFonts w:hint="eastAsia"/>
          <w:sz w:val="24"/>
          <w:szCs w:val="24"/>
        </w:rPr>
        <w:fldChar w:fldCharType="end"/>
      </w:r>
    </w:p>
    <w:p>
      <w:pPr>
        <w:pStyle w:val="28"/>
        <w:tabs>
          <w:tab w:val="right" w:leader="dot" w:pos="8302"/>
        </w:tabs>
        <w:spacing w:line="300" w:lineRule="exact"/>
        <w:ind w:left="640"/>
        <w:rPr>
          <w:rFonts w:hAnsiTheme="minorHAnsi" w:cstheme="minorBidi"/>
          <w:kern w:val="2"/>
          <w:sz w:val="24"/>
          <w:szCs w:val="24"/>
        </w:rPr>
      </w:pPr>
      <w:r>
        <w:fldChar w:fldCharType="begin"/>
      </w:r>
      <w:r>
        <w:instrText xml:space="preserve"> HYPERLINK \l "_Toc119336626" </w:instrText>
      </w:r>
      <w:r>
        <w:fldChar w:fldCharType="separate"/>
      </w:r>
      <w:r>
        <w:rPr>
          <w:rStyle w:val="39"/>
          <w:rFonts w:hint="eastAsia" w:hAnsi="黑体"/>
          <w:b/>
          <w:bCs/>
          <w:sz w:val="24"/>
          <w:szCs w:val="24"/>
        </w:rPr>
        <w:t>堤防、淤地坝运行一般危险源风险评价方法—风险矩阵法（LS法）</w:t>
      </w:r>
      <w:r>
        <w:rPr>
          <w:rFonts w:hint="eastAsia"/>
          <w:sz w:val="24"/>
          <w:szCs w:val="24"/>
        </w:rPr>
        <w:tab/>
      </w:r>
      <w:r>
        <w:rPr>
          <w:rFonts w:hint="eastAsia"/>
          <w:sz w:val="24"/>
          <w:szCs w:val="24"/>
        </w:rPr>
        <w:fldChar w:fldCharType="begin"/>
      </w:r>
      <w:r>
        <w:rPr>
          <w:rFonts w:hint="eastAsia"/>
          <w:sz w:val="24"/>
          <w:szCs w:val="24"/>
        </w:rPr>
        <w:instrText xml:space="preserve"> PAGEREF _Toc119336626 \h </w:instrText>
      </w:r>
      <w:r>
        <w:rPr>
          <w:rFonts w:hint="eastAsia"/>
          <w:sz w:val="24"/>
          <w:szCs w:val="24"/>
        </w:rPr>
        <w:fldChar w:fldCharType="separate"/>
      </w:r>
      <w:r>
        <w:rPr>
          <w:sz w:val="24"/>
          <w:szCs w:val="24"/>
        </w:rPr>
        <w:t>108</w:t>
      </w:r>
      <w:r>
        <w:rPr>
          <w:rFonts w:hint="eastAsia"/>
          <w:sz w:val="24"/>
          <w:szCs w:val="24"/>
        </w:rPr>
        <w:fldChar w:fldCharType="end"/>
      </w:r>
      <w:r>
        <w:rPr>
          <w:rFonts w:hint="eastAsia"/>
          <w:sz w:val="24"/>
          <w:szCs w:val="24"/>
        </w:rPr>
        <w:fldChar w:fldCharType="end"/>
      </w:r>
    </w:p>
    <w:p>
      <w:pPr>
        <w:pStyle w:val="23"/>
        <w:tabs>
          <w:tab w:val="right" w:leader="dot" w:pos="8302"/>
        </w:tabs>
        <w:spacing w:line="300" w:lineRule="exact"/>
        <w:rPr>
          <w:rFonts w:hAnsiTheme="minorHAnsi" w:cstheme="minorBidi"/>
          <w:kern w:val="2"/>
          <w:sz w:val="24"/>
          <w:szCs w:val="24"/>
        </w:rPr>
      </w:pPr>
      <w:r>
        <w:fldChar w:fldCharType="begin"/>
      </w:r>
      <w:r>
        <w:instrText xml:space="preserve"> HYPERLINK \l "_Toc119336627" </w:instrText>
      </w:r>
      <w:r>
        <w:fldChar w:fldCharType="separate"/>
      </w:r>
      <w:r>
        <w:rPr>
          <w:rStyle w:val="39"/>
          <w:rFonts w:hint="eastAsia" w:hAnsi="黑体"/>
          <w:b/>
          <w:bCs/>
          <w:sz w:val="24"/>
          <w:szCs w:val="24"/>
        </w:rPr>
        <w:t>附录F.5</w:t>
      </w:r>
      <w:r>
        <w:rPr>
          <w:rFonts w:hint="eastAsia"/>
          <w:sz w:val="24"/>
          <w:szCs w:val="24"/>
        </w:rPr>
        <w:tab/>
      </w:r>
      <w:r>
        <w:rPr>
          <w:rFonts w:hint="eastAsia"/>
          <w:sz w:val="24"/>
          <w:szCs w:val="24"/>
        </w:rPr>
        <w:fldChar w:fldCharType="begin"/>
      </w:r>
      <w:r>
        <w:rPr>
          <w:rFonts w:hint="eastAsia"/>
          <w:sz w:val="24"/>
          <w:szCs w:val="24"/>
        </w:rPr>
        <w:instrText xml:space="preserve"> PAGEREF _Toc119336627 \h </w:instrText>
      </w:r>
      <w:r>
        <w:rPr>
          <w:rFonts w:hint="eastAsia"/>
          <w:sz w:val="24"/>
          <w:szCs w:val="24"/>
        </w:rPr>
        <w:fldChar w:fldCharType="separate"/>
      </w:r>
      <w:r>
        <w:rPr>
          <w:sz w:val="24"/>
          <w:szCs w:val="24"/>
        </w:rPr>
        <w:t>111</w:t>
      </w:r>
      <w:r>
        <w:rPr>
          <w:rFonts w:hint="eastAsia"/>
          <w:sz w:val="24"/>
          <w:szCs w:val="24"/>
        </w:rPr>
        <w:fldChar w:fldCharType="end"/>
      </w:r>
      <w:r>
        <w:rPr>
          <w:rFonts w:hint="eastAsia"/>
          <w:sz w:val="24"/>
          <w:szCs w:val="24"/>
        </w:rPr>
        <w:fldChar w:fldCharType="end"/>
      </w:r>
    </w:p>
    <w:p>
      <w:pPr>
        <w:pStyle w:val="28"/>
        <w:tabs>
          <w:tab w:val="right" w:leader="dot" w:pos="8302"/>
        </w:tabs>
        <w:spacing w:line="300" w:lineRule="exact"/>
        <w:ind w:left="640"/>
        <w:rPr>
          <w:rFonts w:hAnsiTheme="minorHAnsi" w:cstheme="minorBidi"/>
          <w:kern w:val="2"/>
          <w:sz w:val="24"/>
          <w:szCs w:val="24"/>
        </w:rPr>
      </w:pPr>
      <w:r>
        <w:fldChar w:fldCharType="begin"/>
      </w:r>
      <w:r>
        <w:instrText xml:space="preserve"> HYPERLINK \l "_Toc119336628" </w:instrText>
      </w:r>
      <w:r>
        <w:fldChar w:fldCharType="separate"/>
      </w:r>
      <w:r>
        <w:rPr>
          <w:rStyle w:val="39"/>
          <w:rFonts w:hint="eastAsia" w:hAnsi="黑体"/>
          <w:b/>
          <w:bCs/>
          <w:sz w:val="24"/>
          <w:szCs w:val="24"/>
        </w:rPr>
        <w:t>风险矩阵表</w:t>
      </w:r>
      <w:r>
        <w:rPr>
          <w:rFonts w:hint="eastAsia"/>
          <w:sz w:val="24"/>
          <w:szCs w:val="24"/>
        </w:rPr>
        <w:tab/>
      </w:r>
      <w:r>
        <w:rPr>
          <w:rFonts w:hint="eastAsia"/>
          <w:sz w:val="24"/>
          <w:szCs w:val="24"/>
        </w:rPr>
        <w:fldChar w:fldCharType="begin"/>
      </w:r>
      <w:r>
        <w:rPr>
          <w:rFonts w:hint="eastAsia"/>
          <w:sz w:val="24"/>
          <w:szCs w:val="24"/>
        </w:rPr>
        <w:instrText xml:space="preserve"> PAGEREF _Toc119336628 \h </w:instrText>
      </w:r>
      <w:r>
        <w:rPr>
          <w:rFonts w:hint="eastAsia"/>
          <w:sz w:val="24"/>
          <w:szCs w:val="24"/>
        </w:rPr>
        <w:fldChar w:fldCharType="separate"/>
      </w:r>
      <w:r>
        <w:rPr>
          <w:sz w:val="24"/>
          <w:szCs w:val="24"/>
        </w:rPr>
        <w:t>111</w:t>
      </w:r>
      <w:r>
        <w:rPr>
          <w:rFonts w:hint="eastAsia"/>
          <w:sz w:val="24"/>
          <w:szCs w:val="24"/>
        </w:rPr>
        <w:fldChar w:fldCharType="end"/>
      </w:r>
      <w:r>
        <w:rPr>
          <w:rFonts w:hint="eastAsia"/>
          <w:sz w:val="24"/>
          <w:szCs w:val="24"/>
        </w:rPr>
        <w:fldChar w:fldCharType="end"/>
      </w:r>
    </w:p>
    <w:p>
      <w:pPr>
        <w:pStyle w:val="28"/>
        <w:tabs>
          <w:tab w:val="right" w:leader="dot" w:pos="8302"/>
        </w:tabs>
        <w:spacing w:line="300" w:lineRule="exact"/>
        <w:ind w:left="640"/>
        <w:rPr>
          <w:rFonts w:hAnsiTheme="minorHAnsi" w:cstheme="minorBidi"/>
          <w:kern w:val="2"/>
          <w:sz w:val="24"/>
          <w:szCs w:val="24"/>
        </w:rPr>
      </w:pPr>
      <w:r>
        <w:fldChar w:fldCharType="begin"/>
      </w:r>
      <w:r>
        <w:instrText xml:space="preserve"> HYPERLINK \l "_Toc119336629" </w:instrText>
      </w:r>
      <w:r>
        <w:fldChar w:fldCharType="separate"/>
      </w:r>
      <w:r>
        <w:rPr>
          <w:rStyle w:val="39"/>
          <w:rFonts w:hint="eastAsia" w:hAnsi="黑体"/>
          <w:b/>
          <w:bCs/>
          <w:sz w:val="24"/>
          <w:szCs w:val="24"/>
        </w:rPr>
        <w:t>事故发生的可能性（L）判定准则</w:t>
      </w:r>
      <w:r>
        <w:rPr>
          <w:rFonts w:hint="eastAsia"/>
          <w:sz w:val="24"/>
          <w:szCs w:val="24"/>
        </w:rPr>
        <w:tab/>
      </w:r>
      <w:r>
        <w:rPr>
          <w:rFonts w:hint="eastAsia"/>
          <w:sz w:val="24"/>
          <w:szCs w:val="24"/>
        </w:rPr>
        <w:fldChar w:fldCharType="begin"/>
      </w:r>
      <w:r>
        <w:rPr>
          <w:rFonts w:hint="eastAsia"/>
          <w:sz w:val="24"/>
          <w:szCs w:val="24"/>
        </w:rPr>
        <w:instrText xml:space="preserve"> PAGEREF _Toc119336629 \h </w:instrText>
      </w:r>
      <w:r>
        <w:rPr>
          <w:rFonts w:hint="eastAsia"/>
          <w:sz w:val="24"/>
          <w:szCs w:val="24"/>
        </w:rPr>
        <w:fldChar w:fldCharType="separate"/>
      </w:r>
      <w:r>
        <w:rPr>
          <w:sz w:val="24"/>
          <w:szCs w:val="24"/>
        </w:rPr>
        <w:t>111</w:t>
      </w:r>
      <w:r>
        <w:rPr>
          <w:rFonts w:hint="eastAsia"/>
          <w:sz w:val="24"/>
          <w:szCs w:val="24"/>
        </w:rPr>
        <w:fldChar w:fldCharType="end"/>
      </w:r>
      <w:r>
        <w:rPr>
          <w:rFonts w:hint="eastAsia"/>
          <w:sz w:val="24"/>
          <w:szCs w:val="24"/>
        </w:rPr>
        <w:fldChar w:fldCharType="end"/>
      </w:r>
    </w:p>
    <w:p>
      <w:pPr>
        <w:pStyle w:val="28"/>
        <w:tabs>
          <w:tab w:val="right" w:leader="dot" w:pos="8302"/>
        </w:tabs>
        <w:spacing w:line="300" w:lineRule="exact"/>
        <w:ind w:left="640"/>
        <w:rPr>
          <w:rFonts w:hAnsiTheme="minorHAnsi" w:cstheme="minorBidi"/>
          <w:kern w:val="2"/>
          <w:sz w:val="24"/>
          <w:szCs w:val="24"/>
        </w:rPr>
      </w:pPr>
      <w:r>
        <w:fldChar w:fldCharType="begin"/>
      </w:r>
      <w:r>
        <w:instrText xml:space="preserve"> HYPERLINK \l "_Toc119336630" </w:instrText>
      </w:r>
      <w:r>
        <w:fldChar w:fldCharType="separate"/>
      </w:r>
      <w:r>
        <w:rPr>
          <w:rStyle w:val="39"/>
          <w:rFonts w:hint="eastAsia" w:hAnsi="黑体"/>
          <w:b/>
          <w:bCs/>
          <w:sz w:val="24"/>
          <w:szCs w:val="24"/>
        </w:rPr>
        <w:t>事件后果严重性 (S) 判定准则</w:t>
      </w:r>
      <w:r>
        <w:rPr>
          <w:rFonts w:hint="eastAsia"/>
          <w:sz w:val="24"/>
          <w:szCs w:val="24"/>
        </w:rPr>
        <w:tab/>
      </w:r>
      <w:r>
        <w:rPr>
          <w:rFonts w:hint="eastAsia"/>
          <w:sz w:val="24"/>
          <w:szCs w:val="24"/>
        </w:rPr>
        <w:fldChar w:fldCharType="begin"/>
      </w:r>
      <w:r>
        <w:rPr>
          <w:rFonts w:hint="eastAsia"/>
          <w:sz w:val="24"/>
          <w:szCs w:val="24"/>
        </w:rPr>
        <w:instrText xml:space="preserve"> PAGEREF _Toc119336630 \h </w:instrText>
      </w:r>
      <w:r>
        <w:rPr>
          <w:rFonts w:hint="eastAsia"/>
          <w:sz w:val="24"/>
          <w:szCs w:val="24"/>
        </w:rPr>
        <w:fldChar w:fldCharType="separate"/>
      </w:r>
      <w:r>
        <w:rPr>
          <w:sz w:val="24"/>
          <w:szCs w:val="24"/>
        </w:rPr>
        <w:t>112</w:t>
      </w:r>
      <w:r>
        <w:rPr>
          <w:rFonts w:hint="eastAsia"/>
          <w:sz w:val="24"/>
          <w:szCs w:val="24"/>
        </w:rPr>
        <w:fldChar w:fldCharType="end"/>
      </w:r>
      <w:r>
        <w:rPr>
          <w:rFonts w:hint="eastAsia"/>
          <w:sz w:val="24"/>
          <w:szCs w:val="24"/>
        </w:rPr>
        <w:fldChar w:fldCharType="end"/>
      </w:r>
    </w:p>
    <w:p>
      <w:pPr>
        <w:pStyle w:val="28"/>
        <w:tabs>
          <w:tab w:val="right" w:leader="dot" w:pos="8302"/>
        </w:tabs>
        <w:spacing w:line="300" w:lineRule="exact"/>
        <w:ind w:left="640"/>
        <w:rPr>
          <w:rFonts w:hAnsiTheme="minorHAnsi" w:cstheme="minorBidi"/>
          <w:kern w:val="2"/>
          <w:sz w:val="24"/>
          <w:szCs w:val="24"/>
        </w:rPr>
      </w:pPr>
      <w:r>
        <w:fldChar w:fldCharType="begin"/>
      </w:r>
      <w:r>
        <w:instrText xml:space="preserve"> HYPERLINK \l "_Toc119336631" </w:instrText>
      </w:r>
      <w:r>
        <w:fldChar w:fldCharType="separate"/>
      </w:r>
      <w:r>
        <w:rPr>
          <w:rStyle w:val="39"/>
          <w:rFonts w:hint="eastAsia" w:hAnsi="黑体"/>
          <w:b/>
          <w:bCs/>
          <w:sz w:val="24"/>
          <w:szCs w:val="24"/>
        </w:rPr>
        <w:t>安全风险等级判定准则 (R) 及控制措施</w:t>
      </w:r>
      <w:r>
        <w:rPr>
          <w:rFonts w:hint="eastAsia"/>
          <w:sz w:val="24"/>
          <w:szCs w:val="24"/>
        </w:rPr>
        <w:tab/>
      </w:r>
      <w:r>
        <w:rPr>
          <w:rFonts w:hint="eastAsia"/>
          <w:sz w:val="24"/>
          <w:szCs w:val="24"/>
        </w:rPr>
        <w:fldChar w:fldCharType="begin"/>
      </w:r>
      <w:r>
        <w:rPr>
          <w:rFonts w:hint="eastAsia"/>
          <w:sz w:val="24"/>
          <w:szCs w:val="24"/>
        </w:rPr>
        <w:instrText xml:space="preserve"> PAGEREF _Toc119336631 \h </w:instrText>
      </w:r>
      <w:r>
        <w:rPr>
          <w:rFonts w:hint="eastAsia"/>
          <w:sz w:val="24"/>
          <w:szCs w:val="24"/>
        </w:rPr>
        <w:fldChar w:fldCharType="separate"/>
      </w:r>
      <w:r>
        <w:rPr>
          <w:sz w:val="24"/>
          <w:szCs w:val="24"/>
        </w:rPr>
        <w:t>112</w:t>
      </w:r>
      <w:r>
        <w:rPr>
          <w:rFonts w:hint="eastAsia"/>
          <w:sz w:val="24"/>
          <w:szCs w:val="24"/>
        </w:rPr>
        <w:fldChar w:fldCharType="end"/>
      </w:r>
      <w:r>
        <w:rPr>
          <w:rFonts w:hint="eastAsia"/>
          <w:sz w:val="24"/>
          <w:szCs w:val="24"/>
        </w:rPr>
        <w:fldChar w:fldCharType="end"/>
      </w:r>
    </w:p>
    <w:p>
      <w:pPr>
        <w:pStyle w:val="23"/>
        <w:tabs>
          <w:tab w:val="right" w:leader="dot" w:pos="8302"/>
        </w:tabs>
        <w:spacing w:line="300" w:lineRule="exact"/>
        <w:rPr>
          <w:rFonts w:hAnsiTheme="minorHAnsi" w:cstheme="minorBidi"/>
          <w:kern w:val="2"/>
          <w:sz w:val="24"/>
          <w:szCs w:val="24"/>
        </w:rPr>
      </w:pPr>
      <w:r>
        <w:fldChar w:fldCharType="begin"/>
      </w:r>
      <w:r>
        <w:instrText xml:space="preserve"> HYPERLINK \l "_Toc119336632" </w:instrText>
      </w:r>
      <w:r>
        <w:fldChar w:fldCharType="separate"/>
      </w:r>
      <w:r>
        <w:rPr>
          <w:rStyle w:val="39"/>
          <w:rFonts w:hint="eastAsia" w:hAnsi="黑体"/>
          <w:b/>
          <w:bCs/>
          <w:sz w:val="24"/>
          <w:szCs w:val="24"/>
        </w:rPr>
        <w:t>附录G.1（资料性附录）</w:t>
      </w:r>
      <w:r>
        <w:rPr>
          <w:rFonts w:hint="eastAsia"/>
          <w:sz w:val="24"/>
          <w:szCs w:val="24"/>
        </w:rPr>
        <w:tab/>
      </w:r>
      <w:r>
        <w:rPr>
          <w:rFonts w:hint="eastAsia"/>
          <w:sz w:val="24"/>
          <w:szCs w:val="24"/>
        </w:rPr>
        <w:fldChar w:fldCharType="begin"/>
      </w:r>
      <w:r>
        <w:rPr>
          <w:rFonts w:hint="eastAsia"/>
          <w:sz w:val="24"/>
          <w:szCs w:val="24"/>
        </w:rPr>
        <w:instrText xml:space="preserve"> PAGEREF _Toc119336632 \h </w:instrText>
      </w:r>
      <w:r>
        <w:rPr>
          <w:rFonts w:hint="eastAsia"/>
          <w:sz w:val="24"/>
          <w:szCs w:val="24"/>
        </w:rPr>
        <w:fldChar w:fldCharType="separate"/>
      </w:r>
      <w:r>
        <w:rPr>
          <w:sz w:val="24"/>
          <w:szCs w:val="24"/>
        </w:rPr>
        <w:t>113</w:t>
      </w:r>
      <w:r>
        <w:rPr>
          <w:rFonts w:hint="eastAsia"/>
          <w:sz w:val="24"/>
          <w:szCs w:val="24"/>
        </w:rPr>
        <w:fldChar w:fldCharType="end"/>
      </w:r>
      <w:r>
        <w:rPr>
          <w:rFonts w:hint="eastAsia"/>
          <w:sz w:val="24"/>
          <w:szCs w:val="24"/>
        </w:rPr>
        <w:fldChar w:fldCharType="end"/>
      </w:r>
    </w:p>
    <w:p>
      <w:pPr>
        <w:pStyle w:val="28"/>
        <w:tabs>
          <w:tab w:val="right" w:leader="dot" w:pos="8302"/>
        </w:tabs>
        <w:spacing w:line="300" w:lineRule="exact"/>
        <w:ind w:left="640"/>
        <w:rPr>
          <w:rFonts w:hAnsiTheme="minorHAnsi" w:cstheme="minorBidi"/>
          <w:kern w:val="2"/>
          <w:sz w:val="24"/>
          <w:szCs w:val="24"/>
        </w:rPr>
      </w:pPr>
      <w:r>
        <w:fldChar w:fldCharType="begin"/>
      </w:r>
      <w:r>
        <w:instrText xml:space="preserve"> HYPERLINK \l "_Toc119336633" </w:instrText>
      </w:r>
      <w:r>
        <w:fldChar w:fldCharType="separate"/>
      </w:r>
      <w:r>
        <w:rPr>
          <w:rStyle w:val="39"/>
          <w:rFonts w:hint="eastAsia" w:hAnsi="黑体"/>
          <w:b/>
          <w:bCs/>
          <w:sz w:val="24"/>
          <w:szCs w:val="24"/>
        </w:rPr>
        <w:t>危险化学品重大危险源辨识评价结论（示例）</w:t>
      </w:r>
      <w:r>
        <w:rPr>
          <w:rFonts w:hint="eastAsia"/>
          <w:sz w:val="24"/>
          <w:szCs w:val="24"/>
        </w:rPr>
        <w:tab/>
      </w:r>
      <w:r>
        <w:rPr>
          <w:rFonts w:hint="eastAsia"/>
          <w:sz w:val="24"/>
          <w:szCs w:val="24"/>
        </w:rPr>
        <w:fldChar w:fldCharType="begin"/>
      </w:r>
      <w:r>
        <w:rPr>
          <w:rFonts w:hint="eastAsia"/>
          <w:sz w:val="24"/>
          <w:szCs w:val="24"/>
        </w:rPr>
        <w:instrText xml:space="preserve"> PAGEREF _Toc119336633 \h </w:instrText>
      </w:r>
      <w:r>
        <w:rPr>
          <w:rFonts w:hint="eastAsia"/>
          <w:sz w:val="24"/>
          <w:szCs w:val="24"/>
        </w:rPr>
        <w:fldChar w:fldCharType="separate"/>
      </w:r>
      <w:r>
        <w:rPr>
          <w:sz w:val="24"/>
          <w:szCs w:val="24"/>
        </w:rPr>
        <w:t>113</w:t>
      </w:r>
      <w:r>
        <w:rPr>
          <w:rFonts w:hint="eastAsia"/>
          <w:sz w:val="24"/>
          <w:szCs w:val="24"/>
        </w:rPr>
        <w:fldChar w:fldCharType="end"/>
      </w:r>
      <w:r>
        <w:rPr>
          <w:rFonts w:hint="eastAsia"/>
          <w:sz w:val="24"/>
          <w:szCs w:val="24"/>
        </w:rPr>
        <w:fldChar w:fldCharType="end"/>
      </w:r>
    </w:p>
    <w:p>
      <w:pPr>
        <w:pStyle w:val="23"/>
        <w:tabs>
          <w:tab w:val="right" w:leader="dot" w:pos="8302"/>
        </w:tabs>
        <w:spacing w:line="300" w:lineRule="exact"/>
        <w:rPr>
          <w:rFonts w:hAnsiTheme="minorHAnsi" w:cstheme="minorBidi"/>
          <w:kern w:val="2"/>
          <w:sz w:val="24"/>
          <w:szCs w:val="24"/>
        </w:rPr>
      </w:pPr>
      <w:r>
        <w:fldChar w:fldCharType="begin"/>
      </w:r>
      <w:r>
        <w:instrText xml:space="preserve"> HYPERLINK \l "_Toc119336634" </w:instrText>
      </w:r>
      <w:r>
        <w:fldChar w:fldCharType="separate"/>
      </w:r>
      <w:r>
        <w:rPr>
          <w:rStyle w:val="39"/>
          <w:rFonts w:hint="eastAsia" w:hAnsi="黑体"/>
          <w:b/>
          <w:bCs/>
          <w:sz w:val="24"/>
          <w:szCs w:val="24"/>
        </w:rPr>
        <w:t>附录G.2</w:t>
      </w:r>
      <w:r>
        <w:rPr>
          <w:rFonts w:hint="eastAsia"/>
          <w:sz w:val="24"/>
          <w:szCs w:val="24"/>
        </w:rPr>
        <w:tab/>
      </w:r>
      <w:r>
        <w:rPr>
          <w:rFonts w:hint="eastAsia"/>
          <w:sz w:val="24"/>
          <w:szCs w:val="24"/>
        </w:rPr>
        <w:fldChar w:fldCharType="begin"/>
      </w:r>
      <w:r>
        <w:rPr>
          <w:rFonts w:hint="eastAsia"/>
          <w:sz w:val="24"/>
          <w:szCs w:val="24"/>
        </w:rPr>
        <w:instrText xml:space="preserve"> PAGEREF _Toc119336634 \h </w:instrText>
      </w:r>
      <w:r>
        <w:rPr>
          <w:rFonts w:hint="eastAsia"/>
          <w:sz w:val="24"/>
          <w:szCs w:val="24"/>
        </w:rPr>
        <w:fldChar w:fldCharType="separate"/>
      </w:r>
      <w:r>
        <w:rPr>
          <w:sz w:val="24"/>
          <w:szCs w:val="24"/>
        </w:rPr>
        <w:t>115</w:t>
      </w:r>
      <w:r>
        <w:rPr>
          <w:rFonts w:hint="eastAsia"/>
          <w:sz w:val="24"/>
          <w:szCs w:val="24"/>
        </w:rPr>
        <w:fldChar w:fldCharType="end"/>
      </w:r>
      <w:r>
        <w:rPr>
          <w:rFonts w:hint="eastAsia"/>
          <w:sz w:val="24"/>
          <w:szCs w:val="24"/>
        </w:rPr>
        <w:fldChar w:fldCharType="end"/>
      </w:r>
    </w:p>
    <w:p>
      <w:pPr>
        <w:pStyle w:val="28"/>
        <w:tabs>
          <w:tab w:val="right" w:leader="dot" w:pos="8302"/>
        </w:tabs>
        <w:spacing w:line="300" w:lineRule="exact"/>
        <w:ind w:left="640"/>
        <w:rPr>
          <w:rFonts w:hAnsiTheme="minorHAnsi" w:cstheme="minorBidi"/>
          <w:kern w:val="2"/>
          <w:sz w:val="24"/>
          <w:szCs w:val="24"/>
        </w:rPr>
      </w:pPr>
      <w:r>
        <w:fldChar w:fldCharType="begin"/>
      </w:r>
      <w:r>
        <w:instrText xml:space="preserve"> HYPERLINK \l "_Toc119336635" </w:instrText>
      </w:r>
      <w:r>
        <w:fldChar w:fldCharType="separate"/>
      </w:r>
      <w:r>
        <w:rPr>
          <w:rStyle w:val="39"/>
          <w:rFonts w:hint="eastAsia" w:hAnsi="黑体"/>
          <w:b/>
          <w:bCs/>
          <w:sz w:val="24"/>
          <w:szCs w:val="24"/>
        </w:rPr>
        <w:t>某单位水利工程运行管理生产安全重大事故隐患判定表</w:t>
      </w:r>
      <w:r>
        <w:rPr>
          <w:rFonts w:hint="eastAsia"/>
          <w:sz w:val="24"/>
          <w:szCs w:val="24"/>
        </w:rPr>
        <w:tab/>
      </w:r>
      <w:r>
        <w:rPr>
          <w:rFonts w:hint="eastAsia"/>
          <w:sz w:val="24"/>
          <w:szCs w:val="24"/>
        </w:rPr>
        <w:fldChar w:fldCharType="begin"/>
      </w:r>
      <w:r>
        <w:rPr>
          <w:rFonts w:hint="eastAsia"/>
          <w:sz w:val="24"/>
          <w:szCs w:val="24"/>
        </w:rPr>
        <w:instrText xml:space="preserve"> PAGEREF _Toc119336635 \h </w:instrText>
      </w:r>
      <w:r>
        <w:rPr>
          <w:rFonts w:hint="eastAsia"/>
          <w:sz w:val="24"/>
          <w:szCs w:val="24"/>
        </w:rPr>
        <w:fldChar w:fldCharType="separate"/>
      </w:r>
      <w:r>
        <w:rPr>
          <w:sz w:val="24"/>
          <w:szCs w:val="24"/>
        </w:rPr>
        <w:t>115</w:t>
      </w:r>
      <w:r>
        <w:rPr>
          <w:rFonts w:hint="eastAsia"/>
          <w:sz w:val="24"/>
          <w:szCs w:val="24"/>
        </w:rPr>
        <w:fldChar w:fldCharType="end"/>
      </w:r>
      <w:r>
        <w:rPr>
          <w:rFonts w:hint="eastAsia"/>
          <w:sz w:val="24"/>
          <w:szCs w:val="24"/>
        </w:rPr>
        <w:fldChar w:fldCharType="end"/>
      </w:r>
    </w:p>
    <w:p>
      <w:pPr>
        <w:pStyle w:val="23"/>
        <w:tabs>
          <w:tab w:val="right" w:leader="dot" w:pos="8302"/>
        </w:tabs>
        <w:spacing w:line="300" w:lineRule="exact"/>
        <w:rPr>
          <w:rFonts w:hAnsiTheme="minorHAnsi" w:cstheme="minorBidi"/>
          <w:kern w:val="2"/>
          <w:sz w:val="24"/>
          <w:szCs w:val="24"/>
        </w:rPr>
      </w:pPr>
      <w:r>
        <w:fldChar w:fldCharType="begin"/>
      </w:r>
      <w:r>
        <w:instrText xml:space="preserve"> HYPERLINK \l "_Toc119336636" </w:instrText>
      </w:r>
      <w:r>
        <w:fldChar w:fldCharType="separate"/>
      </w:r>
      <w:r>
        <w:rPr>
          <w:rStyle w:val="39"/>
          <w:rFonts w:hint="eastAsia" w:hAnsi="黑体"/>
          <w:b/>
          <w:bCs/>
          <w:sz w:val="24"/>
          <w:szCs w:val="24"/>
        </w:rPr>
        <w:t>附录G.3</w:t>
      </w:r>
      <w:r>
        <w:rPr>
          <w:rFonts w:hint="eastAsia"/>
          <w:sz w:val="24"/>
          <w:szCs w:val="24"/>
        </w:rPr>
        <w:tab/>
      </w:r>
      <w:r>
        <w:rPr>
          <w:rFonts w:hint="eastAsia"/>
          <w:sz w:val="24"/>
          <w:szCs w:val="24"/>
        </w:rPr>
        <w:fldChar w:fldCharType="begin"/>
      </w:r>
      <w:r>
        <w:rPr>
          <w:rFonts w:hint="eastAsia"/>
          <w:sz w:val="24"/>
          <w:szCs w:val="24"/>
        </w:rPr>
        <w:instrText xml:space="preserve"> PAGEREF _Toc119336636 \h </w:instrText>
      </w:r>
      <w:r>
        <w:rPr>
          <w:rFonts w:hint="eastAsia"/>
          <w:sz w:val="24"/>
          <w:szCs w:val="24"/>
        </w:rPr>
        <w:fldChar w:fldCharType="separate"/>
      </w:r>
      <w:r>
        <w:rPr>
          <w:sz w:val="24"/>
          <w:szCs w:val="24"/>
        </w:rPr>
        <w:t>118</w:t>
      </w:r>
      <w:r>
        <w:rPr>
          <w:rFonts w:hint="eastAsia"/>
          <w:sz w:val="24"/>
          <w:szCs w:val="24"/>
        </w:rPr>
        <w:fldChar w:fldCharType="end"/>
      </w:r>
      <w:r>
        <w:rPr>
          <w:rFonts w:hint="eastAsia"/>
          <w:sz w:val="24"/>
          <w:szCs w:val="24"/>
        </w:rPr>
        <w:fldChar w:fldCharType="end"/>
      </w:r>
    </w:p>
    <w:p>
      <w:pPr>
        <w:pStyle w:val="28"/>
        <w:tabs>
          <w:tab w:val="right" w:leader="dot" w:pos="8302"/>
        </w:tabs>
        <w:spacing w:line="300" w:lineRule="exact"/>
        <w:ind w:left="640"/>
        <w:rPr>
          <w:rFonts w:hAnsiTheme="minorHAnsi" w:cstheme="minorBidi"/>
          <w:kern w:val="2"/>
          <w:sz w:val="24"/>
          <w:szCs w:val="24"/>
        </w:rPr>
      </w:pPr>
      <w:r>
        <w:fldChar w:fldCharType="begin"/>
      </w:r>
      <w:r>
        <w:instrText xml:space="preserve"> HYPERLINK \l "_Toc119336637" </w:instrText>
      </w:r>
      <w:r>
        <w:fldChar w:fldCharType="separate"/>
      </w:r>
      <w:r>
        <w:rPr>
          <w:rStyle w:val="39"/>
          <w:rFonts w:hint="eastAsia" w:hAnsi="黑体"/>
          <w:b/>
          <w:bCs/>
          <w:sz w:val="24"/>
          <w:szCs w:val="24"/>
        </w:rPr>
        <w:t>《危险源辨识与风险评价报告》主要内容及要求</w:t>
      </w:r>
      <w:r>
        <w:rPr>
          <w:rFonts w:hint="eastAsia"/>
          <w:sz w:val="24"/>
          <w:szCs w:val="24"/>
        </w:rPr>
        <w:tab/>
      </w:r>
      <w:r>
        <w:rPr>
          <w:rFonts w:hint="eastAsia"/>
          <w:sz w:val="24"/>
          <w:szCs w:val="24"/>
        </w:rPr>
        <w:fldChar w:fldCharType="begin"/>
      </w:r>
      <w:r>
        <w:rPr>
          <w:rFonts w:hint="eastAsia"/>
          <w:sz w:val="24"/>
          <w:szCs w:val="24"/>
        </w:rPr>
        <w:instrText xml:space="preserve"> PAGEREF _Toc119336637 \h </w:instrText>
      </w:r>
      <w:r>
        <w:rPr>
          <w:rFonts w:hint="eastAsia"/>
          <w:sz w:val="24"/>
          <w:szCs w:val="24"/>
        </w:rPr>
        <w:fldChar w:fldCharType="separate"/>
      </w:r>
      <w:r>
        <w:rPr>
          <w:sz w:val="24"/>
          <w:szCs w:val="24"/>
        </w:rPr>
        <w:t>118</w:t>
      </w:r>
      <w:r>
        <w:rPr>
          <w:rFonts w:hint="eastAsia"/>
          <w:sz w:val="24"/>
          <w:szCs w:val="24"/>
        </w:rPr>
        <w:fldChar w:fldCharType="end"/>
      </w:r>
      <w:r>
        <w:rPr>
          <w:rFonts w:hint="eastAsia"/>
          <w:sz w:val="24"/>
          <w:szCs w:val="24"/>
        </w:rPr>
        <w:fldChar w:fldCharType="end"/>
      </w:r>
    </w:p>
    <w:p>
      <w:pPr>
        <w:pStyle w:val="23"/>
        <w:tabs>
          <w:tab w:val="right" w:leader="dot" w:pos="8302"/>
        </w:tabs>
        <w:spacing w:line="300" w:lineRule="exact"/>
        <w:rPr>
          <w:rFonts w:hAnsiTheme="minorHAnsi" w:cstheme="minorBidi"/>
          <w:kern w:val="2"/>
          <w:sz w:val="24"/>
          <w:szCs w:val="24"/>
        </w:rPr>
      </w:pPr>
      <w:r>
        <w:fldChar w:fldCharType="begin"/>
      </w:r>
      <w:r>
        <w:instrText xml:space="preserve"> HYPERLINK \l "_Toc119336638" </w:instrText>
      </w:r>
      <w:r>
        <w:fldChar w:fldCharType="separate"/>
      </w:r>
      <w:r>
        <w:rPr>
          <w:rStyle w:val="39"/>
          <w:rFonts w:hint="eastAsia" w:hAnsi="黑体"/>
          <w:b/>
          <w:bCs/>
          <w:sz w:val="24"/>
          <w:szCs w:val="24"/>
        </w:rPr>
        <w:t>附录H.1</w:t>
      </w:r>
      <w:r>
        <w:rPr>
          <w:rFonts w:hint="eastAsia"/>
          <w:sz w:val="24"/>
          <w:szCs w:val="24"/>
        </w:rPr>
        <w:tab/>
      </w:r>
      <w:r>
        <w:rPr>
          <w:rFonts w:hint="eastAsia"/>
          <w:sz w:val="24"/>
          <w:szCs w:val="24"/>
        </w:rPr>
        <w:fldChar w:fldCharType="begin"/>
      </w:r>
      <w:r>
        <w:rPr>
          <w:rFonts w:hint="eastAsia"/>
          <w:sz w:val="24"/>
          <w:szCs w:val="24"/>
        </w:rPr>
        <w:instrText xml:space="preserve"> PAGEREF _Toc119336638 \h </w:instrText>
      </w:r>
      <w:r>
        <w:rPr>
          <w:rFonts w:hint="eastAsia"/>
          <w:sz w:val="24"/>
          <w:szCs w:val="24"/>
        </w:rPr>
        <w:fldChar w:fldCharType="separate"/>
      </w:r>
      <w:r>
        <w:rPr>
          <w:sz w:val="24"/>
          <w:szCs w:val="24"/>
        </w:rPr>
        <w:t>119</w:t>
      </w:r>
      <w:r>
        <w:rPr>
          <w:rFonts w:hint="eastAsia"/>
          <w:sz w:val="24"/>
          <w:szCs w:val="24"/>
        </w:rPr>
        <w:fldChar w:fldCharType="end"/>
      </w:r>
      <w:r>
        <w:rPr>
          <w:rFonts w:hint="eastAsia"/>
          <w:sz w:val="24"/>
          <w:szCs w:val="24"/>
        </w:rPr>
        <w:fldChar w:fldCharType="end"/>
      </w:r>
    </w:p>
    <w:p>
      <w:pPr>
        <w:pStyle w:val="28"/>
        <w:tabs>
          <w:tab w:val="right" w:leader="dot" w:pos="8302"/>
        </w:tabs>
        <w:spacing w:line="300" w:lineRule="exact"/>
        <w:ind w:left="640"/>
        <w:rPr>
          <w:rFonts w:hAnsiTheme="minorHAnsi" w:cstheme="minorBidi"/>
          <w:kern w:val="2"/>
          <w:sz w:val="24"/>
          <w:szCs w:val="24"/>
        </w:rPr>
      </w:pPr>
      <w:r>
        <w:fldChar w:fldCharType="begin"/>
      </w:r>
      <w:r>
        <w:instrText xml:space="preserve"> HYPERLINK \l "_Toc119336639" </w:instrText>
      </w:r>
      <w:r>
        <w:fldChar w:fldCharType="separate"/>
      </w:r>
      <w:r>
        <w:rPr>
          <w:rStyle w:val="39"/>
          <w:rFonts w:hint="eastAsia" w:hAnsi="黑体"/>
          <w:b/>
          <w:bCs/>
          <w:sz w:val="24"/>
          <w:szCs w:val="24"/>
        </w:rPr>
        <w:t>风险分级管控清单</w:t>
      </w:r>
      <w:r>
        <w:rPr>
          <w:rFonts w:hint="eastAsia"/>
          <w:sz w:val="24"/>
          <w:szCs w:val="24"/>
        </w:rPr>
        <w:tab/>
      </w:r>
      <w:r>
        <w:rPr>
          <w:rFonts w:hint="eastAsia"/>
          <w:sz w:val="24"/>
          <w:szCs w:val="24"/>
        </w:rPr>
        <w:fldChar w:fldCharType="begin"/>
      </w:r>
      <w:r>
        <w:rPr>
          <w:rFonts w:hint="eastAsia"/>
          <w:sz w:val="24"/>
          <w:szCs w:val="24"/>
        </w:rPr>
        <w:instrText xml:space="preserve"> PAGEREF _Toc119336639 \h </w:instrText>
      </w:r>
      <w:r>
        <w:rPr>
          <w:rFonts w:hint="eastAsia"/>
          <w:sz w:val="24"/>
          <w:szCs w:val="24"/>
        </w:rPr>
        <w:fldChar w:fldCharType="separate"/>
      </w:r>
      <w:r>
        <w:rPr>
          <w:sz w:val="24"/>
          <w:szCs w:val="24"/>
        </w:rPr>
        <w:t>119</w:t>
      </w:r>
      <w:r>
        <w:rPr>
          <w:rFonts w:hint="eastAsia"/>
          <w:sz w:val="24"/>
          <w:szCs w:val="24"/>
        </w:rPr>
        <w:fldChar w:fldCharType="end"/>
      </w:r>
      <w:r>
        <w:rPr>
          <w:rFonts w:hint="eastAsia"/>
          <w:sz w:val="24"/>
          <w:szCs w:val="24"/>
        </w:rPr>
        <w:fldChar w:fldCharType="end"/>
      </w:r>
    </w:p>
    <w:p>
      <w:pPr>
        <w:pStyle w:val="23"/>
        <w:tabs>
          <w:tab w:val="right" w:leader="dot" w:pos="8302"/>
        </w:tabs>
        <w:spacing w:line="300" w:lineRule="exact"/>
        <w:rPr>
          <w:rFonts w:hAnsiTheme="minorHAnsi" w:cstheme="minorBidi"/>
          <w:kern w:val="2"/>
          <w:sz w:val="24"/>
          <w:szCs w:val="24"/>
        </w:rPr>
      </w:pPr>
      <w:r>
        <w:fldChar w:fldCharType="begin"/>
      </w:r>
      <w:r>
        <w:instrText xml:space="preserve"> HYPERLINK \l "_Toc119336640" </w:instrText>
      </w:r>
      <w:r>
        <w:fldChar w:fldCharType="separate"/>
      </w:r>
      <w:r>
        <w:rPr>
          <w:rStyle w:val="39"/>
          <w:rFonts w:hint="eastAsia" w:hAnsi="黑体"/>
          <w:b/>
          <w:bCs/>
          <w:sz w:val="24"/>
          <w:szCs w:val="24"/>
        </w:rPr>
        <w:t>附录H.2</w:t>
      </w:r>
      <w:r>
        <w:rPr>
          <w:rFonts w:hint="eastAsia"/>
          <w:sz w:val="24"/>
          <w:szCs w:val="24"/>
        </w:rPr>
        <w:tab/>
      </w:r>
      <w:r>
        <w:rPr>
          <w:rFonts w:hint="eastAsia"/>
          <w:sz w:val="24"/>
          <w:szCs w:val="24"/>
        </w:rPr>
        <w:fldChar w:fldCharType="begin"/>
      </w:r>
      <w:r>
        <w:rPr>
          <w:rFonts w:hint="eastAsia"/>
          <w:sz w:val="24"/>
          <w:szCs w:val="24"/>
        </w:rPr>
        <w:instrText xml:space="preserve"> PAGEREF _Toc119336640 \h </w:instrText>
      </w:r>
      <w:r>
        <w:rPr>
          <w:rFonts w:hint="eastAsia"/>
          <w:sz w:val="24"/>
          <w:szCs w:val="24"/>
        </w:rPr>
        <w:fldChar w:fldCharType="separate"/>
      </w:r>
      <w:r>
        <w:rPr>
          <w:sz w:val="24"/>
          <w:szCs w:val="24"/>
        </w:rPr>
        <w:t>120</w:t>
      </w:r>
      <w:r>
        <w:rPr>
          <w:rFonts w:hint="eastAsia"/>
          <w:sz w:val="24"/>
          <w:szCs w:val="24"/>
        </w:rPr>
        <w:fldChar w:fldCharType="end"/>
      </w:r>
      <w:r>
        <w:rPr>
          <w:rFonts w:hint="eastAsia"/>
          <w:sz w:val="24"/>
          <w:szCs w:val="24"/>
        </w:rPr>
        <w:fldChar w:fldCharType="end"/>
      </w:r>
    </w:p>
    <w:p>
      <w:pPr>
        <w:pStyle w:val="28"/>
        <w:tabs>
          <w:tab w:val="right" w:leader="dot" w:pos="8302"/>
        </w:tabs>
        <w:spacing w:line="300" w:lineRule="exact"/>
        <w:ind w:left="640"/>
        <w:rPr>
          <w:rFonts w:hAnsiTheme="minorHAnsi" w:cstheme="minorBidi"/>
          <w:kern w:val="2"/>
          <w:sz w:val="24"/>
          <w:szCs w:val="24"/>
        </w:rPr>
      </w:pPr>
      <w:r>
        <w:fldChar w:fldCharType="begin"/>
      </w:r>
      <w:r>
        <w:instrText xml:space="preserve"> HYPERLINK \l "_Toc119336641" </w:instrText>
      </w:r>
      <w:r>
        <w:fldChar w:fldCharType="separate"/>
      </w:r>
      <w:r>
        <w:rPr>
          <w:rStyle w:val="39"/>
          <w:rFonts w:hint="eastAsia" w:hAnsi="黑体"/>
          <w:b/>
          <w:bCs/>
          <w:sz w:val="24"/>
          <w:szCs w:val="24"/>
        </w:rPr>
        <w:t>风险管控措施评审记录表</w:t>
      </w:r>
      <w:r>
        <w:rPr>
          <w:rFonts w:hint="eastAsia"/>
          <w:sz w:val="24"/>
          <w:szCs w:val="24"/>
        </w:rPr>
        <w:tab/>
      </w:r>
      <w:r>
        <w:rPr>
          <w:rFonts w:hint="eastAsia"/>
          <w:sz w:val="24"/>
          <w:szCs w:val="24"/>
        </w:rPr>
        <w:fldChar w:fldCharType="begin"/>
      </w:r>
      <w:r>
        <w:rPr>
          <w:rFonts w:hint="eastAsia"/>
          <w:sz w:val="24"/>
          <w:szCs w:val="24"/>
        </w:rPr>
        <w:instrText xml:space="preserve"> PAGEREF _Toc119336641 \h </w:instrText>
      </w:r>
      <w:r>
        <w:rPr>
          <w:rFonts w:hint="eastAsia"/>
          <w:sz w:val="24"/>
          <w:szCs w:val="24"/>
        </w:rPr>
        <w:fldChar w:fldCharType="separate"/>
      </w:r>
      <w:r>
        <w:rPr>
          <w:sz w:val="24"/>
          <w:szCs w:val="24"/>
        </w:rPr>
        <w:t>120</w:t>
      </w:r>
      <w:r>
        <w:rPr>
          <w:rFonts w:hint="eastAsia"/>
          <w:sz w:val="24"/>
          <w:szCs w:val="24"/>
        </w:rPr>
        <w:fldChar w:fldCharType="end"/>
      </w:r>
      <w:r>
        <w:rPr>
          <w:rFonts w:hint="eastAsia"/>
          <w:sz w:val="24"/>
          <w:szCs w:val="24"/>
        </w:rPr>
        <w:fldChar w:fldCharType="end"/>
      </w:r>
    </w:p>
    <w:p>
      <w:pPr>
        <w:pStyle w:val="23"/>
        <w:tabs>
          <w:tab w:val="right" w:leader="dot" w:pos="8302"/>
        </w:tabs>
        <w:spacing w:line="300" w:lineRule="exact"/>
        <w:rPr>
          <w:rFonts w:hAnsiTheme="minorHAnsi" w:cstheme="minorBidi"/>
          <w:kern w:val="2"/>
          <w:sz w:val="24"/>
          <w:szCs w:val="24"/>
        </w:rPr>
      </w:pPr>
      <w:r>
        <w:fldChar w:fldCharType="begin"/>
      </w:r>
      <w:r>
        <w:instrText xml:space="preserve"> HYPERLINK \l "_Toc119336642" </w:instrText>
      </w:r>
      <w:r>
        <w:fldChar w:fldCharType="separate"/>
      </w:r>
      <w:r>
        <w:rPr>
          <w:rStyle w:val="39"/>
          <w:rFonts w:hint="eastAsia" w:hAnsi="黑体"/>
          <w:b/>
          <w:bCs/>
          <w:sz w:val="24"/>
          <w:szCs w:val="24"/>
        </w:rPr>
        <w:t>附录I.1</w:t>
      </w:r>
      <w:r>
        <w:rPr>
          <w:rFonts w:hint="eastAsia"/>
          <w:sz w:val="24"/>
          <w:szCs w:val="24"/>
        </w:rPr>
        <w:tab/>
      </w:r>
      <w:r>
        <w:rPr>
          <w:rFonts w:hint="eastAsia"/>
          <w:sz w:val="24"/>
          <w:szCs w:val="24"/>
        </w:rPr>
        <w:fldChar w:fldCharType="begin"/>
      </w:r>
      <w:r>
        <w:rPr>
          <w:rFonts w:hint="eastAsia"/>
          <w:sz w:val="24"/>
          <w:szCs w:val="24"/>
        </w:rPr>
        <w:instrText xml:space="preserve"> PAGEREF _Toc119336642 \h </w:instrText>
      </w:r>
      <w:r>
        <w:rPr>
          <w:rFonts w:hint="eastAsia"/>
          <w:sz w:val="24"/>
          <w:szCs w:val="24"/>
        </w:rPr>
        <w:fldChar w:fldCharType="separate"/>
      </w:r>
      <w:r>
        <w:rPr>
          <w:sz w:val="24"/>
          <w:szCs w:val="24"/>
        </w:rPr>
        <w:t>121</w:t>
      </w:r>
      <w:r>
        <w:rPr>
          <w:rFonts w:hint="eastAsia"/>
          <w:sz w:val="24"/>
          <w:szCs w:val="24"/>
        </w:rPr>
        <w:fldChar w:fldCharType="end"/>
      </w:r>
      <w:r>
        <w:rPr>
          <w:rFonts w:hint="eastAsia"/>
          <w:sz w:val="24"/>
          <w:szCs w:val="24"/>
        </w:rPr>
        <w:fldChar w:fldCharType="end"/>
      </w:r>
    </w:p>
    <w:p>
      <w:pPr>
        <w:pStyle w:val="28"/>
        <w:tabs>
          <w:tab w:val="right" w:leader="dot" w:pos="8302"/>
        </w:tabs>
        <w:spacing w:line="300" w:lineRule="exact"/>
        <w:ind w:left="640"/>
        <w:rPr>
          <w:rFonts w:hAnsiTheme="minorHAnsi" w:cstheme="minorBidi"/>
          <w:kern w:val="2"/>
          <w:sz w:val="24"/>
          <w:szCs w:val="24"/>
        </w:rPr>
      </w:pPr>
      <w:r>
        <w:fldChar w:fldCharType="begin"/>
      </w:r>
      <w:r>
        <w:instrText xml:space="preserve"> HYPERLINK \l "_Toc119336643" </w:instrText>
      </w:r>
      <w:r>
        <w:fldChar w:fldCharType="separate"/>
      </w:r>
      <w:r>
        <w:rPr>
          <w:rStyle w:val="39"/>
          <w:rFonts w:hint="eastAsia" w:hAnsi="黑体"/>
          <w:b/>
          <w:bCs/>
          <w:sz w:val="24"/>
          <w:szCs w:val="24"/>
        </w:rPr>
        <w:t>四色安全风险空间分布图（示例）</w:t>
      </w:r>
      <w:r>
        <w:rPr>
          <w:rFonts w:hint="eastAsia"/>
          <w:sz w:val="24"/>
          <w:szCs w:val="24"/>
        </w:rPr>
        <w:tab/>
      </w:r>
      <w:r>
        <w:rPr>
          <w:rFonts w:hint="eastAsia"/>
          <w:sz w:val="24"/>
          <w:szCs w:val="24"/>
        </w:rPr>
        <w:fldChar w:fldCharType="begin"/>
      </w:r>
      <w:r>
        <w:rPr>
          <w:rFonts w:hint="eastAsia"/>
          <w:sz w:val="24"/>
          <w:szCs w:val="24"/>
        </w:rPr>
        <w:instrText xml:space="preserve"> PAGEREF _Toc119336643 \h </w:instrText>
      </w:r>
      <w:r>
        <w:rPr>
          <w:rFonts w:hint="eastAsia"/>
          <w:sz w:val="24"/>
          <w:szCs w:val="24"/>
        </w:rPr>
        <w:fldChar w:fldCharType="separate"/>
      </w:r>
      <w:r>
        <w:rPr>
          <w:sz w:val="24"/>
          <w:szCs w:val="24"/>
        </w:rPr>
        <w:t>121</w:t>
      </w:r>
      <w:r>
        <w:rPr>
          <w:rFonts w:hint="eastAsia"/>
          <w:sz w:val="24"/>
          <w:szCs w:val="24"/>
        </w:rPr>
        <w:fldChar w:fldCharType="end"/>
      </w:r>
      <w:r>
        <w:rPr>
          <w:rFonts w:hint="eastAsia"/>
          <w:sz w:val="24"/>
          <w:szCs w:val="24"/>
        </w:rPr>
        <w:fldChar w:fldCharType="end"/>
      </w:r>
    </w:p>
    <w:p>
      <w:pPr>
        <w:pStyle w:val="23"/>
        <w:tabs>
          <w:tab w:val="right" w:leader="dot" w:pos="8302"/>
        </w:tabs>
        <w:spacing w:line="300" w:lineRule="exact"/>
        <w:rPr>
          <w:rFonts w:hAnsiTheme="minorHAnsi" w:cstheme="minorBidi"/>
          <w:kern w:val="2"/>
          <w:sz w:val="24"/>
          <w:szCs w:val="24"/>
        </w:rPr>
      </w:pPr>
      <w:r>
        <w:fldChar w:fldCharType="begin"/>
      </w:r>
      <w:r>
        <w:instrText xml:space="preserve"> HYPERLINK \l "_Toc119336644" </w:instrText>
      </w:r>
      <w:r>
        <w:fldChar w:fldCharType="separate"/>
      </w:r>
      <w:r>
        <w:rPr>
          <w:rStyle w:val="39"/>
          <w:rFonts w:hint="eastAsia" w:hAnsi="黑体"/>
          <w:b/>
          <w:bCs/>
          <w:sz w:val="24"/>
          <w:szCs w:val="24"/>
        </w:rPr>
        <w:t>附录I.2</w:t>
      </w:r>
      <w:r>
        <w:rPr>
          <w:rFonts w:hint="eastAsia"/>
          <w:sz w:val="24"/>
          <w:szCs w:val="24"/>
        </w:rPr>
        <w:tab/>
      </w:r>
      <w:r>
        <w:rPr>
          <w:rFonts w:hint="eastAsia"/>
          <w:sz w:val="24"/>
          <w:szCs w:val="24"/>
        </w:rPr>
        <w:fldChar w:fldCharType="begin"/>
      </w:r>
      <w:r>
        <w:rPr>
          <w:rFonts w:hint="eastAsia"/>
          <w:sz w:val="24"/>
          <w:szCs w:val="24"/>
        </w:rPr>
        <w:instrText xml:space="preserve"> PAGEREF _Toc119336644 \h </w:instrText>
      </w:r>
      <w:r>
        <w:rPr>
          <w:rFonts w:hint="eastAsia"/>
          <w:sz w:val="24"/>
          <w:szCs w:val="24"/>
        </w:rPr>
        <w:fldChar w:fldCharType="separate"/>
      </w:r>
      <w:r>
        <w:rPr>
          <w:sz w:val="24"/>
          <w:szCs w:val="24"/>
        </w:rPr>
        <w:t>122</w:t>
      </w:r>
      <w:r>
        <w:rPr>
          <w:rFonts w:hint="eastAsia"/>
          <w:sz w:val="24"/>
          <w:szCs w:val="24"/>
        </w:rPr>
        <w:fldChar w:fldCharType="end"/>
      </w:r>
      <w:r>
        <w:rPr>
          <w:rFonts w:hint="eastAsia"/>
          <w:sz w:val="24"/>
          <w:szCs w:val="24"/>
        </w:rPr>
        <w:fldChar w:fldCharType="end"/>
      </w:r>
    </w:p>
    <w:p>
      <w:pPr>
        <w:pStyle w:val="28"/>
        <w:tabs>
          <w:tab w:val="right" w:leader="dot" w:pos="8302"/>
        </w:tabs>
        <w:spacing w:line="300" w:lineRule="exact"/>
        <w:ind w:left="640"/>
        <w:rPr>
          <w:rFonts w:hAnsiTheme="minorHAnsi" w:cstheme="minorBidi"/>
          <w:kern w:val="2"/>
          <w:sz w:val="24"/>
          <w:szCs w:val="24"/>
        </w:rPr>
      </w:pPr>
      <w:r>
        <w:fldChar w:fldCharType="begin"/>
      </w:r>
      <w:r>
        <w:instrText xml:space="preserve"> HYPERLINK \l "_Toc119336645" </w:instrText>
      </w:r>
      <w:r>
        <w:fldChar w:fldCharType="separate"/>
      </w:r>
      <w:r>
        <w:rPr>
          <w:rStyle w:val="39"/>
          <w:rFonts w:hint="eastAsia" w:hAnsi="黑体"/>
          <w:b/>
          <w:bCs/>
          <w:sz w:val="24"/>
          <w:szCs w:val="24"/>
          <w:lang w:val="zh-CN"/>
        </w:rPr>
        <w:t>某项目现场高风险区域（重大风险）告知牌</w:t>
      </w:r>
      <w:r>
        <w:rPr>
          <w:rFonts w:hint="eastAsia"/>
          <w:sz w:val="24"/>
          <w:szCs w:val="24"/>
        </w:rPr>
        <w:tab/>
      </w:r>
      <w:r>
        <w:rPr>
          <w:rFonts w:hint="eastAsia"/>
          <w:sz w:val="24"/>
          <w:szCs w:val="24"/>
        </w:rPr>
        <w:fldChar w:fldCharType="begin"/>
      </w:r>
      <w:r>
        <w:rPr>
          <w:rFonts w:hint="eastAsia"/>
          <w:sz w:val="24"/>
          <w:szCs w:val="24"/>
        </w:rPr>
        <w:instrText xml:space="preserve"> PAGEREF _Toc119336645 \h </w:instrText>
      </w:r>
      <w:r>
        <w:rPr>
          <w:rFonts w:hint="eastAsia"/>
          <w:sz w:val="24"/>
          <w:szCs w:val="24"/>
        </w:rPr>
        <w:fldChar w:fldCharType="separate"/>
      </w:r>
      <w:r>
        <w:rPr>
          <w:sz w:val="24"/>
          <w:szCs w:val="24"/>
        </w:rPr>
        <w:t>122</w:t>
      </w:r>
      <w:r>
        <w:rPr>
          <w:rFonts w:hint="eastAsia"/>
          <w:sz w:val="24"/>
          <w:szCs w:val="24"/>
        </w:rPr>
        <w:fldChar w:fldCharType="end"/>
      </w:r>
      <w:r>
        <w:rPr>
          <w:rFonts w:hint="eastAsia"/>
          <w:sz w:val="24"/>
          <w:szCs w:val="24"/>
        </w:rPr>
        <w:fldChar w:fldCharType="end"/>
      </w:r>
    </w:p>
    <w:p>
      <w:pPr>
        <w:pStyle w:val="23"/>
        <w:tabs>
          <w:tab w:val="right" w:leader="dot" w:pos="8302"/>
        </w:tabs>
        <w:spacing w:line="300" w:lineRule="exact"/>
        <w:rPr>
          <w:rFonts w:hAnsiTheme="minorHAnsi" w:cstheme="minorBidi"/>
          <w:kern w:val="2"/>
          <w:sz w:val="24"/>
          <w:szCs w:val="24"/>
        </w:rPr>
      </w:pPr>
      <w:r>
        <w:fldChar w:fldCharType="begin"/>
      </w:r>
      <w:r>
        <w:instrText xml:space="preserve"> HYPERLINK \l "_Toc119336646" </w:instrText>
      </w:r>
      <w:r>
        <w:fldChar w:fldCharType="separate"/>
      </w:r>
      <w:r>
        <w:rPr>
          <w:rStyle w:val="39"/>
          <w:rFonts w:hint="eastAsia" w:hAnsi="黑体"/>
          <w:b/>
          <w:bCs/>
          <w:sz w:val="24"/>
          <w:szCs w:val="24"/>
        </w:rPr>
        <w:t>附录I.3</w:t>
      </w:r>
      <w:r>
        <w:rPr>
          <w:rFonts w:hint="eastAsia"/>
          <w:sz w:val="24"/>
          <w:szCs w:val="24"/>
        </w:rPr>
        <w:tab/>
      </w:r>
      <w:r>
        <w:rPr>
          <w:rFonts w:hint="eastAsia"/>
          <w:sz w:val="24"/>
          <w:szCs w:val="24"/>
        </w:rPr>
        <w:fldChar w:fldCharType="begin"/>
      </w:r>
      <w:r>
        <w:rPr>
          <w:rFonts w:hint="eastAsia"/>
          <w:sz w:val="24"/>
          <w:szCs w:val="24"/>
        </w:rPr>
        <w:instrText xml:space="preserve"> PAGEREF _Toc119336646 \h </w:instrText>
      </w:r>
      <w:r>
        <w:rPr>
          <w:rFonts w:hint="eastAsia"/>
          <w:sz w:val="24"/>
          <w:szCs w:val="24"/>
        </w:rPr>
        <w:fldChar w:fldCharType="separate"/>
      </w:r>
      <w:r>
        <w:rPr>
          <w:sz w:val="24"/>
          <w:szCs w:val="24"/>
        </w:rPr>
        <w:t>123</w:t>
      </w:r>
      <w:r>
        <w:rPr>
          <w:rFonts w:hint="eastAsia"/>
          <w:sz w:val="24"/>
          <w:szCs w:val="24"/>
        </w:rPr>
        <w:fldChar w:fldCharType="end"/>
      </w:r>
      <w:r>
        <w:rPr>
          <w:rFonts w:hint="eastAsia"/>
          <w:sz w:val="24"/>
          <w:szCs w:val="24"/>
        </w:rPr>
        <w:fldChar w:fldCharType="end"/>
      </w:r>
    </w:p>
    <w:p>
      <w:pPr>
        <w:pStyle w:val="28"/>
        <w:tabs>
          <w:tab w:val="right" w:leader="dot" w:pos="8302"/>
        </w:tabs>
        <w:spacing w:line="300" w:lineRule="exact"/>
        <w:ind w:left="640"/>
        <w:rPr>
          <w:rFonts w:hAnsiTheme="minorHAnsi" w:cstheme="minorBidi"/>
          <w:kern w:val="2"/>
          <w:sz w:val="24"/>
          <w:szCs w:val="24"/>
        </w:rPr>
      </w:pPr>
      <w:r>
        <w:fldChar w:fldCharType="begin"/>
      </w:r>
      <w:r>
        <w:instrText xml:space="preserve"> HYPERLINK \l "_Toc119336647" </w:instrText>
      </w:r>
      <w:r>
        <w:fldChar w:fldCharType="separate"/>
      </w:r>
      <w:r>
        <w:rPr>
          <w:rStyle w:val="39"/>
          <w:rFonts w:hint="eastAsia" w:hAnsi="黑体"/>
          <w:b/>
          <w:bCs/>
          <w:sz w:val="24"/>
          <w:szCs w:val="24"/>
        </w:rPr>
        <w:t>作业安全风险比较图示例</w:t>
      </w:r>
      <w:r>
        <w:rPr>
          <w:rFonts w:hint="eastAsia"/>
          <w:sz w:val="24"/>
          <w:szCs w:val="24"/>
        </w:rPr>
        <w:tab/>
      </w:r>
      <w:r>
        <w:rPr>
          <w:rFonts w:hint="eastAsia"/>
          <w:sz w:val="24"/>
          <w:szCs w:val="24"/>
        </w:rPr>
        <w:fldChar w:fldCharType="begin"/>
      </w:r>
      <w:r>
        <w:rPr>
          <w:rFonts w:hint="eastAsia"/>
          <w:sz w:val="24"/>
          <w:szCs w:val="24"/>
        </w:rPr>
        <w:instrText xml:space="preserve"> PAGEREF _Toc119336647 \h </w:instrText>
      </w:r>
      <w:r>
        <w:rPr>
          <w:rFonts w:hint="eastAsia"/>
          <w:sz w:val="24"/>
          <w:szCs w:val="24"/>
        </w:rPr>
        <w:fldChar w:fldCharType="separate"/>
      </w:r>
      <w:r>
        <w:rPr>
          <w:sz w:val="24"/>
          <w:szCs w:val="24"/>
        </w:rPr>
        <w:t>123</w:t>
      </w:r>
      <w:r>
        <w:rPr>
          <w:rFonts w:hint="eastAsia"/>
          <w:sz w:val="24"/>
          <w:szCs w:val="24"/>
        </w:rPr>
        <w:fldChar w:fldCharType="end"/>
      </w:r>
      <w:r>
        <w:rPr>
          <w:rFonts w:hint="eastAsia"/>
          <w:sz w:val="24"/>
          <w:szCs w:val="24"/>
        </w:rPr>
        <w:fldChar w:fldCharType="end"/>
      </w:r>
    </w:p>
    <w:p>
      <w:pPr>
        <w:pStyle w:val="23"/>
        <w:tabs>
          <w:tab w:val="right" w:leader="dot" w:pos="8302"/>
        </w:tabs>
        <w:spacing w:line="300" w:lineRule="exact"/>
        <w:rPr>
          <w:rFonts w:hAnsiTheme="minorHAnsi" w:cstheme="minorBidi"/>
          <w:kern w:val="2"/>
          <w:sz w:val="24"/>
          <w:szCs w:val="24"/>
        </w:rPr>
      </w:pPr>
      <w:r>
        <w:fldChar w:fldCharType="begin"/>
      </w:r>
      <w:r>
        <w:instrText xml:space="preserve"> HYPERLINK \l "_Toc119336648" </w:instrText>
      </w:r>
      <w:r>
        <w:fldChar w:fldCharType="separate"/>
      </w:r>
      <w:r>
        <w:rPr>
          <w:rStyle w:val="39"/>
          <w:rFonts w:hint="eastAsia" w:hAnsi="黑体"/>
          <w:b/>
          <w:bCs/>
          <w:sz w:val="24"/>
          <w:szCs w:val="24"/>
        </w:rPr>
        <w:t>附录I.4</w:t>
      </w:r>
      <w:r>
        <w:rPr>
          <w:rFonts w:hint="eastAsia"/>
          <w:sz w:val="24"/>
          <w:szCs w:val="24"/>
        </w:rPr>
        <w:tab/>
      </w:r>
      <w:r>
        <w:rPr>
          <w:rFonts w:hint="eastAsia"/>
          <w:sz w:val="24"/>
          <w:szCs w:val="24"/>
        </w:rPr>
        <w:fldChar w:fldCharType="begin"/>
      </w:r>
      <w:r>
        <w:rPr>
          <w:rFonts w:hint="eastAsia"/>
          <w:sz w:val="24"/>
          <w:szCs w:val="24"/>
        </w:rPr>
        <w:instrText xml:space="preserve"> PAGEREF _Toc119336648 \h </w:instrText>
      </w:r>
      <w:r>
        <w:rPr>
          <w:rFonts w:hint="eastAsia"/>
          <w:sz w:val="24"/>
          <w:szCs w:val="24"/>
        </w:rPr>
        <w:fldChar w:fldCharType="separate"/>
      </w:r>
      <w:r>
        <w:rPr>
          <w:sz w:val="24"/>
          <w:szCs w:val="24"/>
        </w:rPr>
        <w:t>124</w:t>
      </w:r>
      <w:r>
        <w:rPr>
          <w:rFonts w:hint="eastAsia"/>
          <w:sz w:val="24"/>
          <w:szCs w:val="24"/>
        </w:rPr>
        <w:fldChar w:fldCharType="end"/>
      </w:r>
      <w:r>
        <w:rPr>
          <w:rFonts w:hint="eastAsia"/>
          <w:sz w:val="24"/>
          <w:szCs w:val="24"/>
        </w:rPr>
        <w:fldChar w:fldCharType="end"/>
      </w:r>
    </w:p>
    <w:p>
      <w:pPr>
        <w:pStyle w:val="28"/>
        <w:tabs>
          <w:tab w:val="right" w:leader="dot" w:pos="8302"/>
        </w:tabs>
        <w:spacing w:line="300" w:lineRule="exact"/>
        <w:ind w:left="640"/>
        <w:rPr>
          <w:rFonts w:hAnsiTheme="minorHAnsi" w:cstheme="minorBidi"/>
          <w:kern w:val="2"/>
          <w:sz w:val="24"/>
          <w:szCs w:val="24"/>
        </w:rPr>
      </w:pPr>
      <w:r>
        <w:fldChar w:fldCharType="begin"/>
      </w:r>
      <w:r>
        <w:instrText xml:space="preserve"> HYPERLINK \l "_Toc119336649" </w:instrText>
      </w:r>
      <w:r>
        <w:fldChar w:fldCharType="separate"/>
      </w:r>
      <w:r>
        <w:rPr>
          <w:rStyle w:val="39"/>
          <w:rFonts w:hint="eastAsia" w:hAnsi="黑体"/>
          <w:b/>
          <w:bCs/>
          <w:sz w:val="24"/>
          <w:szCs w:val="24"/>
        </w:rPr>
        <w:t>岗位安全风险告知卡（示例）</w:t>
      </w:r>
      <w:r>
        <w:rPr>
          <w:rFonts w:hint="eastAsia"/>
          <w:sz w:val="24"/>
          <w:szCs w:val="24"/>
        </w:rPr>
        <w:tab/>
      </w:r>
      <w:r>
        <w:rPr>
          <w:rFonts w:hint="eastAsia"/>
          <w:sz w:val="24"/>
          <w:szCs w:val="24"/>
        </w:rPr>
        <w:fldChar w:fldCharType="begin"/>
      </w:r>
      <w:r>
        <w:rPr>
          <w:rFonts w:hint="eastAsia"/>
          <w:sz w:val="24"/>
          <w:szCs w:val="24"/>
        </w:rPr>
        <w:instrText xml:space="preserve"> PAGEREF _Toc119336649 \h </w:instrText>
      </w:r>
      <w:r>
        <w:rPr>
          <w:rFonts w:hint="eastAsia"/>
          <w:sz w:val="24"/>
          <w:szCs w:val="24"/>
        </w:rPr>
        <w:fldChar w:fldCharType="separate"/>
      </w:r>
      <w:r>
        <w:rPr>
          <w:sz w:val="24"/>
          <w:szCs w:val="24"/>
        </w:rPr>
        <w:t>124</w:t>
      </w:r>
      <w:r>
        <w:rPr>
          <w:rFonts w:hint="eastAsia"/>
          <w:sz w:val="24"/>
          <w:szCs w:val="24"/>
        </w:rPr>
        <w:fldChar w:fldCharType="end"/>
      </w:r>
      <w:r>
        <w:rPr>
          <w:rFonts w:hint="eastAsia"/>
          <w:sz w:val="24"/>
          <w:szCs w:val="24"/>
        </w:rPr>
        <w:fldChar w:fldCharType="end"/>
      </w:r>
    </w:p>
    <w:p>
      <w:pPr>
        <w:pStyle w:val="23"/>
        <w:tabs>
          <w:tab w:val="right" w:leader="dot" w:pos="8302"/>
        </w:tabs>
        <w:spacing w:line="300" w:lineRule="exact"/>
        <w:rPr>
          <w:rFonts w:hAnsiTheme="minorHAnsi" w:cstheme="minorBidi"/>
          <w:kern w:val="2"/>
          <w:sz w:val="24"/>
          <w:szCs w:val="24"/>
        </w:rPr>
      </w:pPr>
      <w:r>
        <w:fldChar w:fldCharType="begin"/>
      </w:r>
      <w:r>
        <w:instrText xml:space="preserve"> HYPERLINK \l "_Toc119336650" </w:instrText>
      </w:r>
      <w:r>
        <w:fldChar w:fldCharType="separate"/>
      </w:r>
      <w:r>
        <w:rPr>
          <w:rStyle w:val="39"/>
          <w:rFonts w:hint="eastAsia" w:hAnsi="黑体"/>
          <w:b/>
          <w:bCs/>
          <w:sz w:val="24"/>
          <w:szCs w:val="24"/>
        </w:rPr>
        <w:t>附录I.5</w:t>
      </w:r>
      <w:r>
        <w:rPr>
          <w:rFonts w:hint="eastAsia"/>
          <w:sz w:val="24"/>
          <w:szCs w:val="24"/>
        </w:rPr>
        <w:tab/>
      </w:r>
      <w:r>
        <w:rPr>
          <w:rFonts w:hint="eastAsia"/>
          <w:sz w:val="24"/>
          <w:szCs w:val="24"/>
        </w:rPr>
        <w:fldChar w:fldCharType="begin"/>
      </w:r>
      <w:r>
        <w:rPr>
          <w:rFonts w:hint="eastAsia"/>
          <w:sz w:val="24"/>
          <w:szCs w:val="24"/>
        </w:rPr>
        <w:instrText xml:space="preserve"> PAGEREF _Toc119336650 \h </w:instrText>
      </w:r>
      <w:r>
        <w:rPr>
          <w:rFonts w:hint="eastAsia"/>
          <w:sz w:val="24"/>
          <w:szCs w:val="24"/>
        </w:rPr>
        <w:fldChar w:fldCharType="separate"/>
      </w:r>
      <w:r>
        <w:rPr>
          <w:sz w:val="24"/>
          <w:szCs w:val="24"/>
        </w:rPr>
        <w:t>125</w:t>
      </w:r>
      <w:r>
        <w:rPr>
          <w:rFonts w:hint="eastAsia"/>
          <w:sz w:val="24"/>
          <w:szCs w:val="24"/>
        </w:rPr>
        <w:fldChar w:fldCharType="end"/>
      </w:r>
      <w:r>
        <w:rPr>
          <w:rFonts w:hint="eastAsia"/>
          <w:sz w:val="24"/>
          <w:szCs w:val="24"/>
        </w:rPr>
        <w:fldChar w:fldCharType="end"/>
      </w:r>
    </w:p>
    <w:p>
      <w:pPr>
        <w:pStyle w:val="28"/>
        <w:tabs>
          <w:tab w:val="right" w:leader="dot" w:pos="8302"/>
        </w:tabs>
        <w:spacing w:line="300" w:lineRule="exact"/>
        <w:ind w:left="640"/>
        <w:rPr>
          <w:rFonts w:hAnsiTheme="minorHAnsi" w:cstheme="minorBidi"/>
          <w:kern w:val="2"/>
          <w:sz w:val="24"/>
          <w:szCs w:val="24"/>
        </w:rPr>
      </w:pPr>
      <w:r>
        <w:fldChar w:fldCharType="begin"/>
      </w:r>
      <w:r>
        <w:instrText xml:space="preserve"> HYPERLINK \l "_Toc119336651" </w:instrText>
      </w:r>
      <w:r>
        <w:fldChar w:fldCharType="separate"/>
      </w:r>
      <w:r>
        <w:rPr>
          <w:rStyle w:val="39"/>
          <w:rFonts w:hint="eastAsia" w:hAnsi="黑体"/>
          <w:b/>
          <w:bCs/>
          <w:sz w:val="24"/>
          <w:szCs w:val="24"/>
        </w:rPr>
        <w:t>安全风险公告栏示例</w:t>
      </w:r>
      <w:r>
        <w:rPr>
          <w:rFonts w:hint="eastAsia"/>
          <w:sz w:val="24"/>
          <w:szCs w:val="24"/>
        </w:rPr>
        <w:tab/>
      </w:r>
      <w:r>
        <w:rPr>
          <w:rFonts w:hint="eastAsia"/>
          <w:sz w:val="24"/>
          <w:szCs w:val="24"/>
        </w:rPr>
        <w:fldChar w:fldCharType="begin"/>
      </w:r>
      <w:r>
        <w:rPr>
          <w:rFonts w:hint="eastAsia"/>
          <w:sz w:val="24"/>
          <w:szCs w:val="24"/>
        </w:rPr>
        <w:instrText xml:space="preserve"> PAGEREF _Toc119336651 \h </w:instrText>
      </w:r>
      <w:r>
        <w:rPr>
          <w:rFonts w:hint="eastAsia"/>
          <w:sz w:val="24"/>
          <w:szCs w:val="24"/>
        </w:rPr>
        <w:fldChar w:fldCharType="separate"/>
      </w:r>
      <w:r>
        <w:rPr>
          <w:sz w:val="24"/>
          <w:szCs w:val="24"/>
        </w:rPr>
        <w:t>125</w:t>
      </w:r>
      <w:r>
        <w:rPr>
          <w:rFonts w:hint="eastAsia"/>
          <w:sz w:val="24"/>
          <w:szCs w:val="24"/>
        </w:rPr>
        <w:fldChar w:fldCharType="end"/>
      </w:r>
      <w:r>
        <w:rPr>
          <w:rFonts w:hint="eastAsia"/>
          <w:sz w:val="24"/>
          <w:szCs w:val="24"/>
        </w:rPr>
        <w:fldChar w:fldCharType="end"/>
      </w:r>
    </w:p>
    <w:p>
      <w:pPr>
        <w:pStyle w:val="23"/>
        <w:tabs>
          <w:tab w:val="right" w:leader="dot" w:pos="8302"/>
        </w:tabs>
        <w:spacing w:line="300" w:lineRule="exact"/>
        <w:rPr>
          <w:rFonts w:hAnsiTheme="minorHAnsi" w:cstheme="minorBidi"/>
          <w:kern w:val="2"/>
          <w:sz w:val="24"/>
          <w:szCs w:val="24"/>
        </w:rPr>
      </w:pPr>
      <w:r>
        <w:fldChar w:fldCharType="begin"/>
      </w:r>
      <w:r>
        <w:instrText xml:space="preserve"> HYPERLINK \l "_Toc119336652" </w:instrText>
      </w:r>
      <w:r>
        <w:fldChar w:fldCharType="separate"/>
      </w:r>
      <w:r>
        <w:rPr>
          <w:rStyle w:val="39"/>
          <w:rFonts w:hint="eastAsia" w:hAnsi="黑体"/>
          <w:b/>
          <w:bCs/>
          <w:sz w:val="24"/>
          <w:szCs w:val="24"/>
        </w:rPr>
        <w:t>附录J</w:t>
      </w:r>
      <w:r>
        <w:rPr>
          <w:rFonts w:hint="eastAsia"/>
          <w:sz w:val="24"/>
          <w:szCs w:val="24"/>
        </w:rPr>
        <w:tab/>
      </w:r>
      <w:r>
        <w:rPr>
          <w:rFonts w:hint="eastAsia"/>
          <w:sz w:val="24"/>
          <w:szCs w:val="24"/>
        </w:rPr>
        <w:fldChar w:fldCharType="begin"/>
      </w:r>
      <w:r>
        <w:rPr>
          <w:rFonts w:hint="eastAsia"/>
          <w:sz w:val="24"/>
          <w:szCs w:val="24"/>
        </w:rPr>
        <w:instrText xml:space="preserve"> PAGEREF _Toc119336652 \h </w:instrText>
      </w:r>
      <w:r>
        <w:rPr>
          <w:rFonts w:hint="eastAsia"/>
          <w:sz w:val="24"/>
          <w:szCs w:val="24"/>
        </w:rPr>
        <w:fldChar w:fldCharType="separate"/>
      </w:r>
      <w:r>
        <w:rPr>
          <w:sz w:val="24"/>
          <w:szCs w:val="24"/>
        </w:rPr>
        <w:t>126</w:t>
      </w:r>
      <w:r>
        <w:rPr>
          <w:rFonts w:hint="eastAsia"/>
          <w:sz w:val="24"/>
          <w:szCs w:val="24"/>
        </w:rPr>
        <w:fldChar w:fldCharType="end"/>
      </w:r>
      <w:r>
        <w:rPr>
          <w:rFonts w:hint="eastAsia"/>
          <w:sz w:val="24"/>
          <w:szCs w:val="24"/>
        </w:rPr>
        <w:fldChar w:fldCharType="end"/>
      </w:r>
    </w:p>
    <w:p>
      <w:pPr>
        <w:pStyle w:val="28"/>
        <w:tabs>
          <w:tab w:val="right" w:leader="dot" w:pos="8302"/>
        </w:tabs>
        <w:spacing w:line="300" w:lineRule="exact"/>
        <w:ind w:left="640"/>
        <w:rPr>
          <w:rFonts w:hAnsiTheme="minorHAnsi" w:cstheme="minorBidi"/>
          <w:kern w:val="2"/>
          <w:sz w:val="24"/>
          <w:szCs w:val="24"/>
        </w:rPr>
      </w:pPr>
      <w:r>
        <w:fldChar w:fldCharType="begin"/>
      </w:r>
      <w:r>
        <w:instrText xml:space="preserve"> HYPERLINK \l "_Toc119336653" </w:instrText>
      </w:r>
      <w:r>
        <w:fldChar w:fldCharType="separate"/>
      </w:r>
      <w:r>
        <w:rPr>
          <w:rStyle w:val="39"/>
          <w:rFonts w:hint="eastAsia" w:hAnsi="黑体"/>
          <w:b/>
          <w:bCs/>
          <w:sz w:val="24"/>
          <w:szCs w:val="24"/>
        </w:rPr>
        <w:t>重大隐患排查治理公示表</w:t>
      </w:r>
      <w:r>
        <w:rPr>
          <w:rFonts w:hint="eastAsia"/>
          <w:sz w:val="24"/>
          <w:szCs w:val="24"/>
        </w:rPr>
        <w:tab/>
      </w:r>
      <w:r>
        <w:rPr>
          <w:rFonts w:hint="eastAsia"/>
          <w:sz w:val="24"/>
          <w:szCs w:val="24"/>
        </w:rPr>
        <w:fldChar w:fldCharType="begin"/>
      </w:r>
      <w:r>
        <w:rPr>
          <w:rFonts w:hint="eastAsia"/>
          <w:sz w:val="24"/>
          <w:szCs w:val="24"/>
        </w:rPr>
        <w:instrText xml:space="preserve"> PAGEREF _Toc119336653 \h </w:instrText>
      </w:r>
      <w:r>
        <w:rPr>
          <w:rFonts w:hint="eastAsia"/>
          <w:sz w:val="24"/>
          <w:szCs w:val="24"/>
        </w:rPr>
        <w:fldChar w:fldCharType="separate"/>
      </w:r>
      <w:r>
        <w:rPr>
          <w:sz w:val="24"/>
          <w:szCs w:val="24"/>
        </w:rPr>
        <w:t>126</w:t>
      </w:r>
      <w:r>
        <w:rPr>
          <w:rFonts w:hint="eastAsia"/>
          <w:sz w:val="24"/>
          <w:szCs w:val="24"/>
        </w:rPr>
        <w:fldChar w:fldCharType="end"/>
      </w:r>
      <w:r>
        <w:rPr>
          <w:rFonts w:hint="eastAsia"/>
          <w:sz w:val="24"/>
          <w:szCs w:val="24"/>
        </w:rPr>
        <w:fldChar w:fldCharType="end"/>
      </w:r>
    </w:p>
    <w:p>
      <w:pPr>
        <w:pStyle w:val="23"/>
        <w:tabs>
          <w:tab w:val="right" w:leader="dot" w:pos="8302"/>
        </w:tabs>
        <w:spacing w:line="300" w:lineRule="exact"/>
        <w:rPr>
          <w:rFonts w:hAnsiTheme="minorHAnsi" w:cstheme="minorBidi"/>
          <w:kern w:val="2"/>
          <w:sz w:val="24"/>
          <w:szCs w:val="24"/>
        </w:rPr>
      </w:pPr>
      <w:r>
        <w:fldChar w:fldCharType="begin"/>
      </w:r>
      <w:r>
        <w:instrText xml:space="preserve"> HYPERLINK \l "_Toc119336654" </w:instrText>
      </w:r>
      <w:r>
        <w:fldChar w:fldCharType="separate"/>
      </w:r>
      <w:r>
        <w:rPr>
          <w:rStyle w:val="39"/>
          <w:rFonts w:hint="eastAsia" w:hAnsi="黑体"/>
          <w:b/>
          <w:bCs/>
          <w:sz w:val="24"/>
          <w:szCs w:val="24"/>
        </w:rPr>
        <w:t>附录K</w:t>
      </w:r>
      <w:r>
        <w:rPr>
          <w:rFonts w:hint="eastAsia"/>
          <w:sz w:val="24"/>
          <w:szCs w:val="24"/>
        </w:rPr>
        <w:tab/>
      </w:r>
      <w:r>
        <w:rPr>
          <w:rFonts w:hint="eastAsia"/>
          <w:sz w:val="24"/>
          <w:szCs w:val="24"/>
        </w:rPr>
        <w:fldChar w:fldCharType="begin"/>
      </w:r>
      <w:r>
        <w:rPr>
          <w:rFonts w:hint="eastAsia"/>
          <w:sz w:val="24"/>
          <w:szCs w:val="24"/>
        </w:rPr>
        <w:instrText xml:space="preserve"> PAGEREF _Toc119336654 \h </w:instrText>
      </w:r>
      <w:r>
        <w:rPr>
          <w:rFonts w:hint="eastAsia"/>
          <w:sz w:val="24"/>
          <w:szCs w:val="24"/>
        </w:rPr>
        <w:fldChar w:fldCharType="separate"/>
      </w:r>
      <w:r>
        <w:rPr>
          <w:sz w:val="24"/>
          <w:szCs w:val="24"/>
        </w:rPr>
        <w:t>127</w:t>
      </w:r>
      <w:r>
        <w:rPr>
          <w:rFonts w:hint="eastAsia"/>
          <w:sz w:val="24"/>
          <w:szCs w:val="24"/>
        </w:rPr>
        <w:fldChar w:fldCharType="end"/>
      </w:r>
      <w:r>
        <w:rPr>
          <w:rFonts w:hint="eastAsia"/>
          <w:sz w:val="24"/>
          <w:szCs w:val="24"/>
        </w:rPr>
        <w:fldChar w:fldCharType="end"/>
      </w:r>
    </w:p>
    <w:p>
      <w:pPr>
        <w:pStyle w:val="28"/>
        <w:tabs>
          <w:tab w:val="right" w:leader="dot" w:pos="8302"/>
        </w:tabs>
        <w:spacing w:line="300" w:lineRule="exact"/>
        <w:ind w:left="640"/>
        <w:rPr>
          <w:rFonts w:hAnsiTheme="minorHAnsi" w:cstheme="minorBidi"/>
          <w:kern w:val="2"/>
          <w:sz w:val="24"/>
          <w:szCs w:val="24"/>
        </w:rPr>
      </w:pPr>
      <w:r>
        <w:fldChar w:fldCharType="begin"/>
      </w:r>
      <w:r>
        <w:instrText xml:space="preserve"> HYPERLINK \l "_Toc119336655" </w:instrText>
      </w:r>
      <w:r>
        <w:fldChar w:fldCharType="separate"/>
      </w:r>
      <w:r>
        <w:rPr>
          <w:rStyle w:val="39"/>
          <w:rFonts w:hint="eastAsia" w:hAnsi="黑体"/>
          <w:b/>
          <w:bCs/>
          <w:sz w:val="24"/>
          <w:szCs w:val="24"/>
        </w:rPr>
        <w:t>需录入信息系统的规模以上水利工程</w:t>
      </w:r>
      <w:r>
        <w:rPr>
          <w:rFonts w:hint="eastAsia"/>
          <w:sz w:val="24"/>
          <w:szCs w:val="24"/>
        </w:rPr>
        <w:tab/>
      </w:r>
      <w:r>
        <w:rPr>
          <w:rFonts w:hint="eastAsia"/>
          <w:sz w:val="24"/>
          <w:szCs w:val="24"/>
        </w:rPr>
        <w:fldChar w:fldCharType="begin"/>
      </w:r>
      <w:r>
        <w:rPr>
          <w:rFonts w:hint="eastAsia"/>
          <w:sz w:val="24"/>
          <w:szCs w:val="24"/>
        </w:rPr>
        <w:instrText xml:space="preserve"> PAGEREF _Toc119336655 \h </w:instrText>
      </w:r>
      <w:r>
        <w:rPr>
          <w:rFonts w:hint="eastAsia"/>
          <w:sz w:val="24"/>
          <w:szCs w:val="24"/>
        </w:rPr>
        <w:fldChar w:fldCharType="separate"/>
      </w:r>
      <w:r>
        <w:rPr>
          <w:sz w:val="24"/>
          <w:szCs w:val="24"/>
        </w:rPr>
        <w:t>127</w:t>
      </w:r>
      <w:r>
        <w:rPr>
          <w:rFonts w:hint="eastAsia"/>
          <w:sz w:val="24"/>
          <w:szCs w:val="24"/>
        </w:rPr>
        <w:fldChar w:fldCharType="end"/>
      </w:r>
      <w:r>
        <w:rPr>
          <w:rFonts w:hint="eastAsia"/>
          <w:sz w:val="24"/>
          <w:szCs w:val="24"/>
        </w:rPr>
        <w:fldChar w:fldCharType="end"/>
      </w:r>
    </w:p>
    <w:p>
      <w:pPr>
        <w:pStyle w:val="23"/>
        <w:tabs>
          <w:tab w:val="right" w:leader="dot" w:pos="8302"/>
        </w:tabs>
        <w:spacing w:line="300" w:lineRule="exact"/>
        <w:rPr>
          <w:rFonts w:hAnsiTheme="minorHAnsi" w:cstheme="minorBidi"/>
          <w:kern w:val="2"/>
          <w:sz w:val="24"/>
          <w:szCs w:val="24"/>
        </w:rPr>
      </w:pPr>
      <w:r>
        <w:fldChar w:fldCharType="begin"/>
      </w:r>
      <w:r>
        <w:instrText xml:space="preserve"> HYPERLINK \l "_Toc119336656" </w:instrText>
      </w:r>
      <w:r>
        <w:fldChar w:fldCharType="separate"/>
      </w:r>
      <w:r>
        <w:rPr>
          <w:rStyle w:val="39"/>
          <w:rFonts w:hint="eastAsia" w:hAnsi="黑体"/>
          <w:b/>
          <w:bCs/>
          <w:sz w:val="24"/>
          <w:szCs w:val="24"/>
        </w:rPr>
        <w:t>附录L</w:t>
      </w:r>
      <w:r>
        <w:rPr>
          <w:rFonts w:hint="eastAsia"/>
          <w:sz w:val="24"/>
          <w:szCs w:val="24"/>
        </w:rPr>
        <w:tab/>
      </w:r>
      <w:r>
        <w:rPr>
          <w:rFonts w:hint="eastAsia"/>
          <w:sz w:val="24"/>
          <w:szCs w:val="24"/>
        </w:rPr>
        <w:fldChar w:fldCharType="begin"/>
      </w:r>
      <w:r>
        <w:rPr>
          <w:rFonts w:hint="eastAsia"/>
          <w:sz w:val="24"/>
          <w:szCs w:val="24"/>
        </w:rPr>
        <w:instrText xml:space="preserve"> PAGEREF _Toc119336656 \h </w:instrText>
      </w:r>
      <w:r>
        <w:rPr>
          <w:rFonts w:hint="eastAsia"/>
          <w:sz w:val="24"/>
          <w:szCs w:val="24"/>
        </w:rPr>
        <w:fldChar w:fldCharType="separate"/>
      </w:r>
      <w:r>
        <w:rPr>
          <w:sz w:val="24"/>
          <w:szCs w:val="24"/>
        </w:rPr>
        <w:t>128</w:t>
      </w:r>
      <w:r>
        <w:rPr>
          <w:rFonts w:hint="eastAsia"/>
          <w:sz w:val="24"/>
          <w:szCs w:val="24"/>
        </w:rPr>
        <w:fldChar w:fldCharType="end"/>
      </w:r>
      <w:r>
        <w:rPr>
          <w:rFonts w:hint="eastAsia"/>
          <w:sz w:val="24"/>
          <w:szCs w:val="24"/>
        </w:rPr>
        <w:fldChar w:fldCharType="end"/>
      </w:r>
    </w:p>
    <w:p>
      <w:pPr>
        <w:pStyle w:val="28"/>
        <w:tabs>
          <w:tab w:val="right" w:leader="dot" w:pos="8302"/>
        </w:tabs>
        <w:spacing w:line="300" w:lineRule="exact"/>
        <w:ind w:left="640"/>
        <w:rPr>
          <w:rFonts w:hAnsiTheme="minorHAnsi" w:cstheme="minorBidi"/>
          <w:kern w:val="2"/>
          <w:sz w:val="24"/>
          <w:szCs w:val="24"/>
        </w:rPr>
      </w:pPr>
      <w:r>
        <w:fldChar w:fldCharType="begin"/>
      </w:r>
      <w:r>
        <w:instrText xml:space="preserve"> HYPERLINK \l "_Toc119336657" </w:instrText>
      </w:r>
      <w:r>
        <w:fldChar w:fldCharType="separate"/>
      </w:r>
      <w:r>
        <w:rPr>
          <w:rStyle w:val="39"/>
          <w:rFonts w:hint="eastAsia" w:hAnsi="黑体"/>
          <w:b/>
          <w:bCs/>
          <w:sz w:val="24"/>
          <w:szCs w:val="24"/>
        </w:rPr>
        <w:t>专家评审意见</w:t>
      </w:r>
      <w:r>
        <w:rPr>
          <w:rFonts w:hint="eastAsia"/>
          <w:sz w:val="24"/>
          <w:szCs w:val="24"/>
        </w:rPr>
        <w:tab/>
      </w:r>
      <w:r>
        <w:rPr>
          <w:rFonts w:hint="eastAsia"/>
          <w:sz w:val="24"/>
          <w:szCs w:val="24"/>
        </w:rPr>
        <w:fldChar w:fldCharType="begin"/>
      </w:r>
      <w:r>
        <w:rPr>
          <w:rFonts w:hint="eastAsia"/>
          <w:sz w:val="24"/>
          <w:szCs w:val="24"/>
        </w:rPr>
        <w:instrText xml:space="preserve"> PAGEREF _Toc119336657 \h </w:instrText>
      </w:r>
      <w:r>
        <w:rPr>
          <w:rFonts w:hint="eastAsia"/>
          <w:sz w:val="24"/>
          <w:szCs w:val="24"/>
        </w:rPr>
        <w:fldChar w:fldCharType="separate"/>
      </w:r>
      <w:r>
        <w:rPr>
          <w:sz w:val="24"/>
          <w:szCs w:val="24"/>
        </w:rPr>
        <w:t>128</w:t>
      </w:r>
      <w:r>
        <w:rPr>
          <w:rFonts w:hint="eastAsia"/>
          <w:sz w:val="24"/>
          <w:szCs w:val="24"/>
        </w:rPr>
        <w:fldChar w:fldCharType="end"/>
      </w:r>
      <w:r>
        <w:rPr>
          <w:rFonts w:hint="eastAsia"/>
          <w:sz w:val="24"/>
          <w:szCs w:val="24"/>
        </w:rPr>
        <w:fldChar w:fldCharType="end"/>
      </w:r>
    </w:p>
    <w:p>
      <w:pPr>
        <w:pStyle w:val="23"/>
        <w:tabs>
          <w:tab w:val="right" w:leader="dot" w:pos="8302"/>
        </w:tabs>
        <w:spacing w:line="300" w:lineRule="exact"/>
        <w:rPr>
          <w:rFonts w:hAnsiTheme="minorHAnsi" w:cstheme="minorBidi"/>
          <w:kern w:val="2"/>
          <w:sz w:val="24"/>
          <w:szCs w:val="24"/>
        </w:rPr>
      </w:pPr>
      <w:r>
        <w:fldChar w:fldCharType="begin"/>
      </w:r>
      <w:r>
        <w:instrText xml:space="preserve"> HYPERLINK \l "_Toc119336658" </w:instrText>
      </w:r>
      <w:r>
        <w:fldChar w:fldCharType="separate"/>
      </w:r>
      <w:r>
        <w:rPr>
          <w:rStyle w:val="39"/>
          <w:rFonts w:hint="eastAsia" w:hAnsi="黑体"/>
          <w:b/>
          <w:bCs/>
          <w:sz w:val="24"/>
          <w:szCs w:val="24"/>
        </w:rPr>
        <w:t>附录M</w:t>
      </w:r>
      <w:r>
        <w:rPr>
          <w:rFonts w:hint="eastAsia"/>
          <w:sz w:val="24"/>
          <w:szCs w:val="24"/>
        </w:rPr>
        <w:tab/>
      </w:r>
      <w:r>
        <w:rPr>
          <w:rFonts w:hint="eastAsia"/>
          <w:sz w:val="24"/>
          <w:szCs w:val="24"/>
        </w:rPr>
        <w:fldChar w:fldCharType="begin"/>
      </w:r>
      <w:r>
        <w:rPr>
          <w:rFonts w:hint="eastAsia"/>
          <w:sz w:val="24"/>
          <w:szCs w:val="24"/>
        </w:rPr>
        <w:instrText xml:space="preserve"> PAGEREF _Toc119336658 \h </w:instrText>
      </w:r>
      <w:r>
        <w:rPr>
          <w:rFonts w:hint="eastAsia"/>
          <w:sz w:val="24"/>
          <w:szCs w:val="24"/>
        </w:rPr>
        <w:fldChar w:fldCharType="separate"/>
      </w:r>
      <w:r>
        <w:rPr>
          <w:sz w:val="24"/>
          <w:szCs w:val="24"/>
        </w:rPr>
        <w:t>129</w:t>
      </w:r>
      <w:r>
        <w:rPr>
          <w:rFonts w:hint="eastAsia"/>
          <w:sz w:val="24"/>
          <w:szCs w:val="24"/>
        </w:rPr>
        <w:fldChar w:fldCharType="end"/>
      </w:r>
      <w:r>
        <w:rPr>
          <w:rFonts w:hint="eastAsia"/>
          <w:sz w:val="24"/>
          <w:szCs w:val="24"/>
        </w:rPr>
        <w:fldChar w:fldCharType="end"/>
      </w:r>
    </w:p>
    <w:p>
      <w:pPr>
        <w:pStyle w:val="28"/>
        <w:tabs>
          <w:tab w:val="right" w:leader="dot" w:pos="8302"/>
        </w:tabs>
        <w:spacing w:line="300" w:lineRule="exact"/>
        <w:ind w:left="640"/>
        <w:rPr>
          <w:rFonts w:hAnsiTheme="minorHAnsi" w:cstheme="minorBidi"/>
          <w:kern w:val="2"/>
          <w:sz w:val="24"/>
          <w:szCs w:val="24"/>
        </w:rPr>
      </w:pPr>
      <w:r>
        <w:fldChar w:fldCharType="begin"/>
      </w:r>
      <w:r>
        <w:instrText xml:space="preserve"> HYPERLINK \l "_Toc119336659" </w:instrText>
      </w:r>
      <w:r>
        <w:fldChar w:fldCharType="separate"/>
      </w:r>
      <w:r>
        <w:rPr>
          <w:rStyle w:val="39"/>
          <w:rFonts w:hint="eastAsia" w:hAnsi="黑体"/>
          <w:b/>
          <w:bCs/>
          <w:sz w:val="24"/>
          <w:szCs w:val="24"/>
        </w:rPr>
        <w:t>专家评审会议签到表</w:t>
      </w:r>
      <w:r>
        <w:rPr>
          <w:rFonts w:hint="eastAsia"/>
          <w:sz w:val="24"/>
          <w:szCs w:val="24"/>
        </w:rPr>
        <w:tab/>
      </w:r>
      <w:r>
        <w:rPr>
          <w:rFonts w:hint="eastAsia"/>
          <w:sz w:val="24"/>
          <w:szCs w:val="24"/>
        </w:rPr>
        <w:fldChar w:fldCharType="begin"/>
      </w:r>
      <w:r>
        <w:rPr>
          <w:rFonts w:hint="eastAsia"/>
          <w:sz w:val="24"/>
          <w:szCs w:val="24"/>
        </w:rPr>
        <w:instrText xml:space="preserve"> PAGEREF _Toc119336659 \h </w:instrText>
      </w:r>
      <w:r>
        <w:rPr>
          <w:rFonts w:hint="eastAsia"/>
          <w:sz w:val="24"/>
          <w:szCs w:val="24"/>
        </w:rPr>
        <w:fldChar w:fldCharType="separate"/>
      </w:r>
      <w:r>
        <w:rPr>
          <w:sz w:val="24"/>
          <w:szCs w:val="24"/>
        </w:rPr>
        <w:t>129</w:t>
      </w:r>
      <w:r>
        <w:rPr>
          <w:rFonts w:hint="eastAsia"/>
          <w:sz w:val="24"/>
          <w:szCs w:val="24"/>
        </w:rPr>
        <w:fldChar w:fldCharType="end"/>
      </w:r>
      <w:r>
        <w:rPr>
          <w:rFonts w:hint="eastAsia"/>
          <w:sz w:val="24"/>
          <w:szCs w:val="24"/>
        </w:rPr>
        <w:fldChar w:fldCharType="end"/>
      </w:r>
    </w:p>
    <w:p>
      <w:pPr>
        <w:pStyle w:val="23"/>
        <w:tabs>
          <w:tab w:val="right" w:leader="dot" w:pos="8302"/>
        </w:tabs>
        <w:spacing w:line="300" w:lineRule="exact"/>
        <w:rPr>
          <w:rFonts w:hAnsiTheme="minorHAnsi" w:cstheme="minorBidi"/>
          <w:kern w:val="2"/>
          <w:sz w:val="24"/>
          <w:szCs w:val="24"/>
        </w:rPr>
      </w:pPr>
      <w:r>
        <w:fldChar w:fldCharType="begin"/>
      </w:r>
      <w:r>
        <w:instrText xml:space="preserve"> HYPERLINK \l "_Toc119336660" </w:instrText>
      </w:r>
      <w:r>
        <w:fldChar w:fldCharType="separate"/>
      </w:r>
      <w:r>
        <w:rPr>
          <w:rStyle w:val="39"/>
          <w:rFonts w:hint="eastAsia" w:hAnsi="黑体"/>
          <w:b/>
          <w:bCs/>
          <w:sz w:val="24"/>
          <w:szCs w:val="24"/>
        </w:rPr>
        <w:t>本实施细则编制及审查人员名单</w:t>
      </w:r>
      <w:r>
        <w:rPr>
          <w:rFonts w:hint="eastAsia"/>
          <w:sz w:val="24"/>
          <w:szCs w:val="24"/>
        </w:rPr>
        <w:tab/>
      </w:r>
      <w:r>
        <w:rPr>
          <w:rFonts w:hint="eastAsia"/>
          <w:sz w:val="24"/>
          <w:szCs w:val="24"/>
        </w:rPr>
        <w:fldChar w:fldCharType="begin"/>
      </w:r>
      <w:r>
        <w:rPr>
          <w:rFonts w:hint="eastAsia"/>
          <w:sz w:val="24"/>
          <w:szCs w:val="24"/>
        </w:rPr>
        <w:instrText xml:space="preserve"> PAGEREF _Toc119336660 \h </w:instrText>
      </w:r>
      <w:r>
        <w:rPr>
          <w:rFonts w:hint="eastAsia"/>
          <w:sz w:val="24"/>
          <w:szCs w:val="24"/>
        </w:rPr>
        <w:fldChar w:fldCharType="separate"/>
      </w:r>
      <w:r>
        <w:rPr>
          <w:sz w:val="24"/>
          <w:szCs w:val="24"/>
        </w:rPr>
        <w:t>130</w:t>
      </w:r>
      <w:r>
        <w:rPr>
          <w:rFonts w:hint="eastAsia"/>
          <w:sz w:val="24"/>
          <w:szCs w:val="24"/>
        </w:rPr>
        <w:fldChar w:fldCharType="end"/>
      </w:r>
      <w:r>
        <w:rPr>
          <w:rFonts w:hint="eastAsia"/>
          <w:sz w:val="24"/>
          <w:szCs w:val="24"/>
        </w:rPr>
        <w:fldChar w:fldCharType="end"/>
      </w:r>
    </w:p>
    <w:p>
      <w:pPr>
        <w:spacing w:line="300" w:lineRule="exact"/>
        <w:sectPr>
          <w:pgSz w:w="11906" w:h="16838"/>
          <w:pgMar w:top="1440" w:right="1797" w:bottom="1440" w:left="1797" w:header="851" w:footer="992" w:gutter="0"/>
          <w:pgNumType w:start="1"/>
          <w:cols w:space="425" w:num="1"/>
          <w:docGrid w:type="lines" w:linePitch="312" w:charSpace="0"/>
        </w:sectPr>
      </w:pPr>
      <w:r>
        <w:rPr>
          <w:rFonts w:hint="eastAsia" w:hAnsiTheme="minorEastAsia"/>
          <w:b/>
          <w:bCs/>
          <w:sz w:val="24"/>
          <w:szCs w:val="24"/>
        </w:rPr>
        <w:fldChar w:fldCharType="end"/>
      </w:r>
    </w:p>
    <w:p>
      <w:pPr>
        <w:jc w:val="center"/>
        <w:rPr>
          <w:rFonts w:ascii="方正小标宋_GBK" w:eastAsia="方正小标宋_GBK"/>
          <w:b/>
          <w:bCs/>
          <w:sz w:val="44"/>
          <w:szCs w:val="44"/>
        </w:rPr>
      </w:pPr>
      <w:r>
        <w:rPr>
          <w:rFonts w:hint="eastAsia" w:ascii="方正小标宋_GBK" w:eastAsia="方正小标宋_GBK"/>
          <w:b/>
          <w:bCs/>
          <w:sz w:val="44"/>
          <w:szCs w:val="44"/>
        </w:rPr>
        <w:t>重庆市水利安全生产风险管控</w:t>
      </w:r>
    </w:p>
    <w:p>
      <w:pPr>
        <w:jc w:val="center"/>
        <w:rPr>
          <w:rFonts w:ascii="方正小标宋_GBK" w:eastAsia="方正小标宋_GBK"/>
          <w:b/>
          <w:bCs/>
          <w:sz w:val="44"/>
          <w:szCs w:val="44"/>
        </w:rPr>
      </w:pPr>
      <w:r>
        <w:rPr>
          <w:rFonts w:hint="eastAsia" w:ascii="方正小标宋_GBK" w:eastAsia="方正小标宋_GBK"/>
          <w:b/>
          <w:bCs/>
          <w:sz w:val="44"/>
          <w:szCs w:val="44"/>
        </w:rPr>
        <w:t>“六项机制”实施细则</w:t>
      </w:r>
    </w:p>
    <w:p>
      <w:pPr>
        <w:ind w:firstLine="640" w:firstLineChars="200"/>
      </w:pPr>
    </w:p>
    <w:p>
      <w:pPr>
        <w:pStyle w:val="2"/>
        <w:spacing w:line="440" w:lineRule="exact"/>
        <w:rPr>
          <w:rFonts w:ascii="黑体" w:hAnsi="黑体" w:eastAsia="黑体"/>
          <w:b/>
          <w:bCs/>
          <w:sz w:val="24"/>
          <w:szCs w:val="24"/>
        </w:rPr>
      </w:pPr>
      <w:bookmarkStart w:id="0" w:name="_Toc119336532"/>
      <w:r>
        <w:rPr>
          <w:rFonts w:hint="eastAsia" w:ascii="黑体" w:hAnsi="黑体" w:eastAsia="黑体"/>
          <w:b/>
          <w:bCs/>
          <w:sz w:val="24"/>
          <w:szCs w:val="24"/>
        </w:rPr>
        <w:t>1 总则</w:t>
      </w:r>
      <w:bookmarkEnd w:id="0"/>
    </w:p>
    <w:p>
      <w:pPr>
        <w:spacing w:line="440" w:lineRule="exact"/>
        <w:ind w:firstLine="480" w:firstLineChars="200"/>
        <w:rPr>
          <w:sz w:val="24"/>
          <w:szCs w:val="24"/>
        </w:rPr>
      </w:pPr>
      <w:r>
        <w:rPr>
          <w:rFonts w:hint="eastAsia" w:hAnsi="宋体" w:cs="宋体"/>
          <w:sz w:val="24"/>
          <w:szCs w:val="24"/>
        </w:rPr>
        <w:t xml:space="preserve">1.1 </w:t>
      </w:r>
      <w:r>
        <w:rPr>
          <w:rFonts w:hint="eastAsia"/>
          <w:sz w:val="24"/>
          <w:szCs w:val="24"/>
        </w:rPr>
        <w:t>为贯彻执行“安全第一、预防为主、综合治理”安全生产方针，</w:t>
      </w:r>
      <w:r>
        <w:rPr>
          <w:rFonts w:hint="eastAsia" w:hAnsi="微软雅黑" w:cs="宋体"/>
          <w:sz w:val="24"/>
          <w:szCs w:val="24"/>
        </w:rPr>
        <w:t>深入推进安全风险分级管控和隐患排查治理双重预防机制建设，</w:t>
      </w:r>
      <w:r>
        <w:rPr>
          <w:rFonts w:hint="eastAsia" w:hAnsi="宋体" w:cs="宋体"/>
          <w:sz w:val="24"/>
          <w:szCs w:val="24"/>
        </w:rPr>
        <w:t>指导和规范重庆市水利行业</w:t>
      </w:r>
      <w:r>
        <w:rPr>
          <w:rFonts w:hint="eastAsia" w:hAnsi="微软雅黑"/>
          <w:sz w:val="24"/>
          <w:szCs w:val="24"/>
          <w:shd w:val="clear" w:color="auto" w:fill="FFFFFF"/>
        </w:rPr>
        <w:t>全面落实水利安全生产风险查找、研判、预警、防范、处置、责任“六项机制”，</w:t>
      </w:r>
      <w:r>
        <w:rPr>
          <w:rFonts w:hint="eastAsia"/>
          <w:sz w:val="24"/>
          <w:szCs w:val="24"/>
        </w:rPr>
        <w:t>加快实现水利生产经营单位安全风险自辨自控、水行政主管部门有效监管的安全风险管控工作格局，提升水利安全风险防控能力，科学防范和有效遏制本区域水利生产安全事故，切实推动水利安全风险预控、关口前移，建立水利安全风险管控体系，健全水利工程安全风险分级管控工作制度和规范，根据《构建水利安全生产风险管控“六项机制”的实施意见》（水监督〔2022〕309号），并结合重庆市安全生产委员会办公室关于印发《重庆市生产经营单位构建风险分级管控和隐患排查治理双重预防机制指南（试行）》的通知（渝安办〔2022〕73号）要求，制定重庆市水利安全生产风险管控“六项机制”实施细则（以下简称“六项机制”）。</w:t>
      </w:r>
    </w:p>
    <w:p>
      <w:pPr>
        <w:spacing w:line="440" w:lineRule="exact"/>
        <w:ind w:firstLine="480" w:firstLineChars="200"/>
        <w:rPr>
          <w:rFonts w:hAnsi="微软雅黑" w:cs="宋体"/>
          <w:sz w:val="24"/>
          <w:szCs w:val="24"/>
        </w:rPr>
      </w:pPr>
      <w:r>
        <w:rPr>
          <w:rFonts w:hint="eastAsia"/>
          <w:sz w:val="24"/>
          <w:szCs w:val="24"/>
        </w:rPr>
        <w:t>1.2</w:t>
      </w:r>
      <w:r>
        <w:rPr>
          <w:sz w:val="24"/>
          <w:szCs w:val="24"/>
        </w:rPr>
        <w:t xml:space="preserve"> </w:t>
      </w:r>
      <w:r>
        <w:rPr>
          <w:rFonts w:hint="eastAsia" w:hAnsi="微软雅黑" w:cs="宋体"/>
          <w:sz w:val="24"/>
          <w:szCs w:val="24"/>
        </w:rPr>
        <w:t>“六项机制”工作是指水利安全生产风险查找、研判、预警、防范、处置和责任等风险管控“六项机制”。</w:t>
      </w:r>
    </w:p>
    <w:p>
      <w:pPr>
        <w:shd w:val="clear" w:color="auto" w:fill="FFFFFF"/>
        <w:spacing w:line="440" w:lineRule="exact"/>
        <w:ind w:firstLine="480" w:firstLineChars="200"/>
        <w:rPr>
          <w:rFonts w:hAnsi="微软雅黑" w:cs="宋体"/>
          <w:sz w:val="24"/>
          <w:szCs w:val="24"/>
        </w:rPr>
      </w:pPr>
      <w:r>
        <w:rPr>
          <w:rFonts w:hint="eastAsia" w:hAnsi="宋体" w:cs="宋体"/>
          <w:sz w:val="24"/>
          <w:szCs w:val="24"/>
        </w:rPr>
        <w:t>1.3</w:t>
      </w:r>
      <w:r>
        <w:rPr>
          <w:rFonts w:hAnsi="宋体" w:cs="宋体"/>
          <w:sz w:val="24"/>
          <w:szCs w:val="24"/>
        </w:rPr>
        <w:t xml:space="preserve"> </w:t>
      </w:r>
      <w:r>
        <w:rPr>
          <w:rFonts w:hint="eastAsia" w:hAnsi="微软雅黑" w:cs="宋体"/>
          <w:sz w:val="24"/>
          <w:szCs w:val="24"/>
        </w:rPr>
        <w:t>“六项机制”工作</w:t>
      </w:r>
      <w:r>
        <w:rPr>
          <w:rFonts w:hint="eastAsia" w:hAnsi="宋体" w:cs="宋体"/>
          <w:sz w:val="24"/>
          <w:szCs w:val="24"/>
        </w:rPr>
        <w:t>按照“三管三必须”和“分级、属地管理”的要求，坚持分级管控、分类实施、属地管理的原则。</w:t>
      </w:r>
    </w:p>
    <w:p>
      <w:pPr>
        <w:shd w:val="clear" w:color="auto" w:fill="FFFFFF"/>
        <w:spacing w:line="440" w:lineRule="exact"/>
        <w:ind w:firstLine="480" w:firstLineChars="200"/>
        <w:rPr>
          <w:rFonts w:hAnsi="宋体" w:cs="宋体"/>
          <w:sz w:val="24"/>
          <w:szCs w:val="24"/>
        </w:rPr>
      </w:pPr>
      <w:r>
        <w:rPr>
          <w:rFonts w:hint="eastAsia" w:hAnsi="宋体" w:cs="宋体"/>
          <w:sz w:val="24"/>
          <w:szCs w:val="24"/>
        </w:rPr>
        <w:t>1.4</w:t>
      </w:r>
      <w:r>
        <w:rPr>
          <w:rFonts w:hAnsi="宋体" w:cs="宋体"/>
          <w:sz w:val="24"/>
          <w:szCs w:val="24"/>
        </w:rPr>
        <w:t xml:space="preserve"> </w:t>
      </w:r>
      <w:r>
        <w:rPr>
          <w:rFonts w:hint="eastAsia" w:hAnsi="宋体" w:cs="宋体"/>
          <w:sz w:val="24"/>
          <w:szCs w:val="24"/>
        </w:rPr>
        <w:t>各级应就“六项机制”工作建立组织机构或增加原有关组织机构职责，建立健全与“六项机制”相适应的全员安全生产责任制、危险源辨识与风险评价、隐患排查治理、安全风险预测预警、信息报送处置等方面制度并组织培训，切实推进该项工作。</w:t>
      </w:r>
    </w:p>
    <w:p>
      <w:pPr>
        <w:shd w:val="clear" w:color="auto" w:fill="FFFFFF"/>
        <w:spacing w:line="440" w:lineRule="exact"/>
        <w:ind w:firstLine="480" w:firstLineChars="200"/>
        <w:rPr>
          <w:rFonts w:hAnsi="微软雅黑" w:cs="宋体"/>
          <w:sz w:val="24"/>
          <w:szCs w:val="24"/>
        </w:rPr>
      </w:pPr>
      <w:r>
        <w:rPr>
          <w:rFonts w:hAnsi="宋体" w:cs="宋体"/>
          <w:sz w:val="24"/>
          <w:szCs w:val="24"/>
        </w:rPr>
        <w:t xml:space="preserve">1.5 </w:t>
      </w:r>
      <w:r>
        <w:rPr>
          <w:rFonts w:hint="eastAsia" w:hAnsi="宋体" w:cs="宋体"/>
          <w:sz w:val="24"/>
          <w:szCs w:val="24"/>
        </w:rPr>
        <w:t>本实施细则重点对重庆市水利行业“六项机制”提出指导性要求，旨在规范重庆市水利安全生产风险管控工作的基本流程，提高安全风险管控工作的效率和质量，实现安全生产风险管控闭环管理。</w:t>
      </w:r>
    </w:p>
    <w:p>
      <w:pPr>
        <w:shd w:val="clear" w:color="auto" w:fill="FFFFFF"/>
        <w:spacing w:line="440" w:lineRule="exact"/>
        <w:ind w:firstLine="480" w:firstLineChars="200"/>
        <w:rPr>
          <w:rFonts w:hAnsi="微软雅黑" w:cs="宋体"/>
          <w:sz w:val="24"/>
          <w:szCs w:val="24"/>
        </w:rPr>
      </w:pPr>
      <w:r>
        <w:rPr>
          <w:rFonts w:hint="eastAsia" w:hAnsi="宋体" w:cs="宋体"/>
          <w:sz w:val="24"/>
          <w:szCs w:val="24"/>
        </w:rPr>
        <w:t>1.</w:t>
      </w:r>
      <w:r>
        <w:rPr>
          <w:rFonts w:hAnsi="宋体" w:cs="宋体"/>
          <w:sz w:val="24"/>
          <w:szCs w:val="24"/>
        </w:rPr>
        <w:t>6</w:t>
      </w:r>
      <w:r>
        <w:rPr>
          <w:rFonts w:hAnsi="微软雅黑" w:cs="宋体"/>
          <w:sz w:val="24"/>
          <w:szCs w:val="24"/>
        </w:rPr>
        <w:t xml:space="preserve"> </w:t>
      </w:r>
      <w:r>
        <w:rPr>
          <w:rFonts w:hint="eastAsia" w:hAnsi="宋体" w:cs="宋体"/>
          <w:sz w:val="24"/>
          <w:szCs w:val="24"/>
        </w:rPr>
        <w:t>本实施细则适用于重庆市行政区域内水利安全生产风险管控工作。</w:t>
      </w:r>
    </w:p>
    <w:p>
      <w:pPr>
        <w:pStyle w:val="2"/>
        <w:spacing w:line="440" w:lineRule="exact"/>
        <w:rPr>
          <w:rFonts w:ascii="黑体" w:hAnsi="黑体" w:eastAsia="黑体"/>
          <w:b/>
          <w:bCs/>
          <w:sz w:val="24"/>
          <w:szCs w:val="24"/>
        </w:rPr>
      </w:pPr>
      <w:bookmarkStart w:id="1" w:name="_Toc119336533"/>
      <w:r>
        <w:rPr>
          <w:rFonts w:hint="eastAsia" w:ascii="黑体" w:hAnsi="黑体" w:eastAsia="黑体"/>
          <w:b/>
          <w:bCs/>
          <w:sz w:val="24"/>
          <w:szCs w:val="24"/>
        </w:rPr>
        <w:t>2 风险查找</w:t>
      </w:r>
      <w:bookmarkEnd w:id="1"/>
    </w:p>
    <w:p>
      <w:pPr>
        <w:pStyle w:val="3"/>
        <w:spacing w:line="440" w:lineRule="exact"/>
        <w:rPr>
          <w:rFonts w:ascii="黑体" w:hAnsi="黑体" w:eastAsia="黑体"/>
          <w:sz w:val="24"/>
          <w:szCs w:val="24"/>
        </w:rPr>
      </w:pPr>
      <w:bookmarkStart w:id="2" w:name="_Toc119336534"/>
      <w:r>
        <w:rPr>
          <w:rFonts w:hint="eastAsia" w:ascii="黑体" w:hAnsi="黑体" w:eastAsia="黑体"/>
          <w:sz w:val="24"/>
          <w:szCs w:val="24"/>
        </w:rPr>
        <w:t>2.1 主要依据</w:t>
      </w:r>
      <w:bookmarkEnd w:id="2"/>
    </w:p>
    <w:p>
      <w:pPr>
        <w:spacing w:line="440" w:lineRule="exact"/>
        <w:ind w:firstLine="480" w:firstLineChars="200"/>
        <w:rPr>
          <w:sz w:val="24"/>
          <w:szCs w:val="24"/>
        </w:rPr>
      </w:pPr>
      <w:r>
        <w:rPr>
          <w:rFonts w:hint="eastAsia"/>
          <w:sz w:val="24"/>
          <w:szCs w:val="24"/>
        </w:rPr>
        <w:t>2.1.1 《中华人民共和国安全生产法》（中华人民共和国主席令第88号）</w:t>
      </w:r>
    </w:p>
    <w:p>
      <w:pPr>
        <w:spacing w:line="440" w:lineRule="exact"/>
        <w:ind w:firstLine="480" w:firstLineChars="200"/>
        <w:rPr>
          <w:sz w:val="24"/>
          <w:szCs w:val="24"/>
        </w:rPr>
      </w:pPr>
      <w:r>
        <w:rPr>
          <w:rFonts w:hint="eastAsia"/>
          <w:sz w:val="24"/>
          <w:szCs w:val="24"/>
        </w:rPr>
        <w:t>2.1.</w:t>
      </w:r>
      <w:r>
        <w:rPr>
          <w:sz w:val="24"/>
          <w:szCs w:val="24"/>
        </w:rPr>
        <w:t xml:space="preserve">2 </w:t>
      </w:r>
      <w:r>
        <w:rPr>
          <w:rFonts w:hint="eastAsia"/>
          <w:sz w:val="24"/>
          <w:szCs w:val="24"/>
        </w:rPr>
        <w:t>《水利部办公厅关于印发水利工程生产安全重大事故隐患清单指南(2021版）的通知》（办监督〔2021〕364号）</w:t>
      </w:r>
    </w:p>
    <w:p>
      <w:pPr>
        <w:spacing w:line="440" w:lineRule="exact"/>
        <w:ind w:firstLine="480" w:firstLineChars="200"/>
        <w:rPr>
          <w:sz w:val="24"/>
          <w:szCs w:val="24"/>
        </w:rPr>
      </w:pPr>
      <w:r>
        <w:rPr>
          <w:rFonts w:hint="eastAsia"/>
          <w:sz w:val="24"/>
          <w:szCs w:val="24"/>
        </w:rPr>
        <w:t>2.1.</w:t>
      </w:r>
      <w:r>
        <w:rPr>
          <w:sz w:val="24"/>
          <w:szCs w:val="24"/>
        </w:rPr>
        <w:t xml:space="preserve">3 </w:t>
      </w:r>
      <w:r>
        <w:rPr>
          <w:rFonts w:hint="eastAsia"/>
          <w:sz w:val="24"/>
          <w:szCs w:val="24"/>
        </w:rPr>
        <w:t>《水利安全生产信息报告和处置规则》（水监督〔2022〕156号）</w:t>
      </w:r>
    </w:p>
    <w:p>
      <w:pPr>
        <w:spacing w:line="440" w:lineRule="exact"/>
        <w:ind w:firstLine="480" w:firstLineChars="200"/>
        <w:rPr>
          <w:sz w:val="24"/>
          <w:szCs w:val="24"/>
        </w:rPr>
      </w:pPr>
      <w:r>
        <w:rPr>
          <w:rFonts w:hint="eastAsia"/>
          <w:sz w:val="24"/>
          <w:szCs w:val="24"/>
        </w:rPr>
        <w:t>2.1.</w:t>
      </w:r>
      <w:r>
        <w:rPr>
          <w:sz w:val="24"/>
          <w:szCs w:val="24"/>
        </w:rPr>
        <w:t xml:space="preserve">4 </w:t>
      </w:r>
      <w:r>
        <w:rPr>
          <w:rFonts w:hint="eastAsia"/>
          <w:sz w:val="24"/>
          <w:szCs w:val="24"/>
        </w:rPr>
        <w:t>《水利部关于开展水利安全风险分级管控的指导意见》（水监督〔2018〕323号）</w:t>
      </w:r>
    </w:p>
    <w:p>
      <w:pPr>
        <w:spacing w:line="440" w:lineRule="exact"/>
        <w:ind w:firstLine="480" w:firstLineChars="200"/>
        <w:rPr>
          <w:sz w:val="24"/>
          <w:szCs w:val="24"/>
        </w:rPr>
      </w:pPr>
      <w:r>
        <w:rPr>
          <w:rFonts w:hint="eastAsia"/>
          <w:sz w:val="24"/>
          <w:szCs w:val="24"/>
        </w:rPr>
        <w:t>2.1.</w:t>
      </w:r>
      <w:r>
        <w:rPr>
          <w:sz w:val="24"/>
          <w:szCs w:val="24"/>
        </w:rPr>
        <w:t>5</w:t>
      </w:r>
      <w:r>
        <w:rPr>
          <w:rFonts w:hint="eastAsia"/>
          <w:sz w:val="24"/>
          <w:szCs w:val="24"/>
        </w:rPr>
        <w:t xml:space="preserve"> 《水利水电工程施工危险源辨识与风险评价导则（试行）》（办监督函〔2018〕1693号）</w:t>
      </w:r>
    </w:p>
    <w:p>
      <w:pPr>
        <w:spacing w:line="440" w:lineRule="exact"/>
        <w:ind w:firstLine="480" w:firstLineChars="200"/>
        <w:rPr>
          <w:sz w:val="24"/>
          <w:szCs w:val="24"/>
        </w:rPr>
      </w:pPr>
      <w:r>
        <w:rPr>
          <w:rFonts w:hint="eastAsia"/>
          <w:sz w:val="24"/>
          <w:szCs w:val="24"/>
        </w:rPr>
        <w:t>2.1.</w:t>
      </w:r>
      <w:r>
        <w:rPr>
          <w:sz w:val="24"/>
          <w:szCs w:val="24"/>
        </w:rPr>
        <w:t>6</w:t>
      </w:r>
      <w:r>
        <w:rPr>
          <w:rFonts w:hint="eastAsia"/>
          <w:sz w:val="24"/>
          <w:szCs w:val="24"/>
        </w:rPr>
        <w:t xml:space="preserve"> 《水利水电工程（水库、水闸）运行危险源辨识与风险评价导则（试行）》（办监督函〔2019〕1486号）</w:t>
      </w:r>
    </w:p>
    <w:p>
      <w:pPr>
        <w:spacing w:line="440" w:lineRule="exact"/>
        <w:ind w:firstLine="480" w:firstLineChars="200"/>
        <w:rPr>
          <w:sz w:val="24"/>
          <w:szCs w:val="24"/>
        </w:rPr>
      </w:pPr>
      <w:r>
        <w:rPr>
          <w:rFonts w:hint="eastAsia"/>
          <w:sz w:val="24"/>
          <w:szCs w:val="24"/>
        </w:rPr>
        <w:t>2.1.</w:t>
      </w:r>
      <w:r>
        <w:rPr>
          <w:sz w:val="24"/>
          <w:szCs w:val="24"/>
        </w:rPr>
        <w:t>7</w:t>
      </w:r>
      <w:r>
        <w:rPr>
          <w:rFonts w:hint="eastAsia"/>
          <w:sz w:val="24"/>
          <w:szCs w:val="24"/>
        </w:rPr>
        <w:t xml:space="preserve"> 《水利水电工程（水电站、泵站）运行危险源辨识与风险评价导则（试行）》（办监督函〔2020〕1114号）</w:t>
      </w:r>
    </w:p>
    <w:p>
      <w:pPr>
        <w:spacing w:line="440" w:lineRule="exact"/>
        <w:ind w:firstLine="480" w:firstLineChars="200"/>
        <w:rPr>
          <w:sz w:val="24"/>
          <w:szCs w:val="24"/>
        </w:rPr>
      </w:pPr>
      <w:r>
        <w:rPr>
          <w:rFonts w:hint="eastAsia"/>
          <w:sz w:val="24"/>
          <w:szCs w:val="24"/>
        </w:rPr>
        <w:t>2.1.</w:t>
      </w:r>
      <w:r>
        <w:rPr>
          <w:sz w:val="24"/>
          <w:szCs w:val="24"/>
        </w:rPr>
        <w:t>8</w:t>
      </w:r>
      <w:r>
        <w:rPr>
          <w:rFonts w:hint="eastAsia"/>
          <w:sz w:val="24"/>
          <w:szCs w:val="24"/>
        </w:rPr>
        <w:t xml:space="preserve"> 《水利水电工程（堤防、淤地坝）运行危险源辨识与风险评价导则（试行）》（办监督函〔2021〕1126号）</w:t>
      </w:r>
    </w:p>
    <w:p>
      <w:pPr>
        <w:spacing w:line="440" w:lineRule="exact"/>
        <w:ind w:firstLine="480" w:firstLineChars="200"/>
        <w:rPr>
          <w:sz w:val="24"/>
          <w:szCs w:val="24"/>
        </w:rPr>
      </w:pPr>
      <w:r>
        <w:rPr>
          <w:rFonts w:hint="eastAsia"/>
          <w:sz w:val="24"/>
          <w:szCs w:val="24"/>
        </w:rPr>
        <w:t>2.1.</w:t>
      </w:r>
      <w:r>
        <w:rPr>
          <w:sz w:val="24"/>
          <w:szCs w:val="24"/>
        </w:rPr>
        <w:t xml:space="preserve">9 </w:t>
      </w:r>
      <w:r>
        <w:rPr>
          <w:rFonts w:hint="eastAsia"/>
          <w:sz w:val="24"/>
          <w:szCs w:val="24"/>
        </w:rPr>
        <w:t>《重庆市安全生产委员会关于全面推行“两单两卡”强化企业一线岗位从业人员安全生产责任的通知》（渝安委〔2021〕18号）</w:t>
      </w:r>
    </w:p>
    <w:p>
      <w:pPr>
        <w:spacing w:line="440" w:lineRule="exact"/>
        <w:ind w:firstLine="480" w:firstLineChars="200"/>
        <w:rPr>
          <w:sz w:val="24"/>
          <w:szCs w:val="24"/>
        </w:rPr>
      </w:pPr>
      <w:r>
        <w:rPr>
          <w:rFonts w:hint="eastAsia"/>
          <w:sz w:val="24"/>
          <w:szCs w:val="24"/>
        </w:rPr>
        <w:t>2.1.</w:t>
      </w:r>
      <w:r>
        <w:rPr>
          <w:sz w:val="24"/>
          <w:szCs w:val="24"/>
        </w:rPr>
        <w:t>10</w:t>
      </w:r>
      <w:r>
        <w:rPr>
          <w:rFonts w:hint="eastAsia"/>
          <w:sz w:val="24"/>
          <w:szCs w:val="24"/>
        </w:rPr>
        <w:t xml:space="preserve"> 《重庆市生产经营单位构建风险分级管控和隐患排查治理双重预防机制指南（试行）》（渝安办〔2022〕73号）</w:t>
      </w:r>
    </w:p>
    <w:p>
      <w:pPr>
        <w:spacing w:line="440" w:lineRule="exact"/>
        <w:ind w:firstLine="480" w:firstLineChars="200"/>
        <w:rPr>
          <w:sz w:val="24"/>
          <w:szCs w:val="24"/>
        </w:rPr>
      </w:pPr>
      <w:r>
        <w:rPr>
          <w:rFonts w:hint="eastAsia"/>
          <w:sz w:val="24"/>
          <w:szCs w:val="24"/>
        </w:rPr>
        <w:t>2.1.</w:t>
      </w:r>
      <w:r>
        <w:rPr>
          <w:sz w:val="24"/>
          <w:szCs w:val="24"/>
        </w:rPr>
        <w:t xml:space="preserve">11 </w:t>
      </w:r>
      <w:r>
        <w:rPr>
          <w:rFonts w:hint="eastAsia"/>
          <w:sz w:val="24"/>
          <w:szCs w:val="24"/>
        </w:rPr>
        <w:t>《危险化学品重大危险源辨识》（GB18218-2018）</w:t>
      </w:r>
    </w:p>
    <w:p>
      <w:pPr>
        <w:spacing w:line="440" w:lineRule="exact"/>
        <w:ind w:firstLine="480" w:firstLineChars="200"/>
        <w:rPr>
          <w:sz w:val="24"/>
          <w:szCs w:val="24"/>
        </w:rPr>
      </w:pPr>
      <w:r>
        <w:rPr>
          <w:rFonts w:hint="eastAsia"/>
          <w:sz w:val="24"/>
          <w:szCs w:val="24"/>
        </w:rPr>
        <w:t>2.1.</w:t>
      </w:r>
      <w:r>
        <w:rPr>
          <w:sz w:val="24"/>
          <w:szCs w:val="24"/>
        </w:rPr>
        <w:t xml:space="preserve">12 </w:t>
      </w:r>
      <w:r>
        <w:rPr>
          <w:rFonts w:hint="eastAsia"/>
          <w:sz w:val="24"/>
          <w:szCs w:val="24"/>
        </w:rPr>
        <w:t>《安全标志及其使用导则》(GB2894</w:t>
      </w:r>
      <w:r>
        <w:rPr>
          <w:sz w:val="24"/>
          <w:szCs w:val="24"/>
        </w:rPr>
        <w:t>-2008</w:t>
      </w:r>
      <w:r>
        <w:rPr>
          <w:rFonts w:hint="eastAsia"/>
          <w:sz w:val="24"/>
          <w:szCs w:val="24"/>
        </w:rPr>
        <w:t>)</w:t>
      </w:r>
    </w:p>
    <w:p>
      <w:pPr>
        <w:spacing w:line="440" w:lineRule="exact"/>
        <w:ind w:firstLine="480" w:firstLineChars="200"/>
        <w:rPr>
          <w:sz w:val="24"/>
          <w:szCs w:val="24"/>
        </w:rPr>
      </w:pPr>
      <w:r>
        <w:rPr>
          <w:rFonts w:hint="eastAsia"/>
          <w:sz w:val="24"/>
          <w:szCs w:val="24"/>
        </w:rPr>
        <w:t>2.1.</w:t>
      </w:r>
      <w:r>
        <w:rPr>
          <w:sz w:val="24"/>
          <w:szCs w:val="24"/>
        </w:rPr>
        <w:t xml:space="preserve">13 </w:t>
      </w:r>
      <w:r>
        <w:rPr>
          <w:rFonts w:hint="eastAsia"/>
          <w:bCs/>
          <w:sz w:val="24"/>
          <w:szCs w:val="24"/>
        </w:rPr>
        <w:t>《工作场所职业病危害警示标识》（GBZ158</w:t>
      </w:r>
      <w:r>
        <w:rPr>
          <w:bCs/>
          <w:sz w:val="24"/>
          <w:szCs w:val="24"/>
        </w:rPr>
        <w:t>-2003</w:t>
      </w:r>
      <w:r>
        <w:rPr>
          <w:rFonts w:hint="eastAsia"/>
          <w:bCs/>
          <w:sz w:val="24"/>
          <w:szCs w:val="24"/>
        </w:rPr>
        <w:t>）</w:t>
      </w:r>
    </w:p>
    <w:p>
      <w:pPr>
        <w:spacing w:line="440" w:lineRule="exact"/>
        <w:ind w:firstLine="480" w:firstLineChars="200"/>
        <w:rPr>
          <w:sz w:val="24"/>
          <w:szCs w:val="24"/>
        </w:rPr>
      </w:pPr>
      <w:r>
        <w:rPr>
          <w:sz w:val="24"/>
          <w:szCs w:val="24"/>
        </w:rPr>
        <w:t xml:space="preserve">2.1.14 </w:t>
      </w:r>
      <w:r>
        <w:rPr>
          <w:rFonts w:hint="eastAsia"/>
          <w:sz w:val="24"/>
          <w:szCs w:val="24"/>
        </w:rPr>
        <w:t>《水利水电工程施工安全管理导则》（SL 721-2015）</w:t>
      </w:r>
    </w:p>
    <w:p>
      <w:pPr>
        <w:spacing w:line="440" w:lineRule="exact"/>
        <w:ind w:firstLine="480" w:firstLineChars="200"/>
        <w:rPr>
          <w:sz w:val="24"/>
          <w:szCs w:val="24"/>
        </w:rPr>
      </w:pPr>
      <w:r>
        <w:rPr>
          <w:sz w:val="24"/>
          <w:szCs w:val="24"/>
        </w:rPr>
        <w:t xml:space="preserve">2.1.15 </w:t>
      </w:r>
      <w:r>
        <w:rPr>
          <w:rFonts w:hint="eastAsia"/>
          <w:sz w:val="24"/>
          <w:szCs w:val="24"/>
        </w:rPr>
        <w:t>《水利安全生产标准化通用规范》（SL/T789-2019）</w:t>
      </w:r>
    </w:p>
    <w:p>
      <w:pPr>
        <w:spacing w:line="440" w:lineRule="exact"/>
        <w:ind w:firstLine="480" w:firstLineChars="200"/>
        <w:rPr>
          <w:sz w:val="24"/>
          <w:szCs w:val="24"/>
        </w:rPr>
      </w:pPr>
      <w:r>
        <w:rPr>
          <w:sz w:val="24"/>
          <w:szCs w:val="24"/>
        </w:rPr>
        <w:t>2.1.16</w:t>
      </w:r>
      <w:r>
        <w:rPr>
          <w:rFonts w:hint="eastAsia"/>
          <w:sz w:val="24"/>
          <w:szCs w:val="24"/>
        </w:rPr>
        <w:t>《关于在建重点水利工程安全生产风险实行分区域分级管控的通知》（渝水办建〔2020〕31号）</w:t>
      </w:r>
    </w:p>
    <w:p>
      <w:pPr>
        <w:pStyle w:val="3"/>
        <w:spacing w:line="440" w:lineRule="exact"/>
        <w:rPr>
          <w:rFonts w:ascii="黑体" w:hAnsi="黑体" w:eastAsia="黑体"/>
          <w:sz w:val="24"/>
          <w:szCs w:val="24"/>
        </w:rPr>
      </w:pPr>
      <w:bookmarkStart w:id="3" w:name="_Toc119336535"/>
      <w:r>
        <w:rPr>
          <w:rFonts w:hint="eastAsia" w:ascii="黑体" w:hAnsi="黑体" w:eastAsia="黑体"/>
          <w:sz w:val="24"/>
          <w:szCs w:val="24"/>
        </w:rPr>
        <w:t>2.2 术语定义</w:t>
      </w:r>
      <w:bookmarkEnd w:id="3"/>
    </w:p>
    <w:p>
      <w:pPr>
        <w:spacing w:line="440" w:lineRule="exact"/>
        <w:ind w:firstLine="480" w:firstLineChars="200"/>
        <w:rPr>
          <w:rFonts w:hAnsi="仿宋"/>
          <w:sz w:val="24"/>
          <w:szCs w:val="24"/>
        </w:rPr>
      </w:pPr>
      <w:r>
        <w:rPr>
          <w:rFonts w:hint="eastAsia" w:hAnsi="仿宋"/>
          <w:sz w:val="24"/>
          <w:szCs w:val="24"/>
        </w:rPr>
        <w:t>2.2.1 水利水电工程施工危险源（以下简称危险源）是指在水利水电工程施工过程中有潜在能量和物质释放危险的、可造成人员伤亡、健康损害、财产损失、环境破坏,在一定的触发因素作用下可转化为事故的部位、区域、场所、空间、岗位、设备及其位置。</w:t>
      </w:r>
    </w:p>
    <w:p>
      <w:pPr>
        <w:spacing w:line="440" w:lineRule="exact"/>
        <w:ind w:firstLine="480" w:firstLineChars="200"/>
        <w:rPr>
          <w:rFonts w:hAnsi="仿宋"/>
          <w:sz w:val="24"/>
          <w:szCs w:val="24"/>
        </w:rPr>
      </w:pPr>
      <w:r>
        <w:rPr>
          <w:rFonts w:hint="eastAsia" w:hAnsi="仿宋"/>
          <w:sz w:val="24"/>
          <w:szCs w:val="24"/>
        </w:rPr>
        <w:t>水利水电工程施工重大危险源（以下简称重大危险源）是指在水利水电工程施工过程中有潜在能量和物质释放危险的、可能导致人员死亡、健康严重损害、财产严重损失、环境严重破坏，在一定的触发因素作用下可转化为事故的部位、区域、场所、空间、岗位、设备及其位置。</w:t>
      </w:r>
    </w:p>
    <w:p>
      <w:pPr>
        <w:spacing w:line="440" w:lineRule="exact"/>
        <w:ind w:firstLine="480" w:firstLineChars="200"/>
        <w:rPr>
          <w:rFonts w:hAnsi="仿宋"/>
          <w:sz w:val="24"/>
          <w:szCs w:val="24"/>
        </w:rPr>
      </w:pPr>
      <w:r>
        <w:rPr>
          <w:rFonts w:hint="eastAsia" w:hAnsi="仿宋"/>
          <w:sz w:val="24"/>
          <w:szCs w:val="24"/>
        </w:rPr>
        <w:t>重大危险源包含《中华人民共和国安全生产法》定义的危险物品重大危险源。</w:t>
      </w:r>
    </w:p>
    <w:p>
      <w:pPr>
        <w:spacing w:line="440" w:lineRule="exact"/>
        <w:ind w:firstLine="480" w:firstLineChars="200"/>
        <w:rPr>
          <w:rFonts w:hAnsi="微软雅黑" w:cs="宋体"/>
          <w:sz w:val="24"/>
          <w:szCs w:val="24"/>
        </w:rPr>
      </w:pPr>
      <w:r>
        <w:rPr>
          <w:rFonts w:hint="eastAsia" w:hAnsi="仿宋"/>
          <w:sz w:val="24"/>
          <w:szCs w:val="24"/>
        </w:rPr>
        <w:t xml:space="preserve">2.2.2 </w:t>
      </w:r>
      <w:r>
        <w:rPr>
          <w:rFonts w:hint="eastAsia" w:hAnsi="微软雅黑" w:cs="宋体"/>
          <w:sz w:val="24"/>
          <w:szCs w:val="24"/>
        </w:rPr>
        <w:t>水库、水闸工程运行危险源（以下简称危险源）是指在水库、水闸工程运行管理过程中存在的，可能导致人员伤亡、健康损害、财产损失或环境破坏，在一定的触发因素作用下可转化为事故的根源或状态。</w:t>
      </w:r>
    </w:p>
    <w:p>
      <w:pPr>
        <w:spacing w:line="440" w:lineRule="exact"/>
        <w:ind w:firstLine="480" w:firstLineChars="200"/>
        <w:rPr>
          <w:rFonts w:hAnsi="微软雅黑" w:cs="宋体"/>
          <w:sz w:val="24"/>
          <w:szCs w:val="24"/>
        </w:rPr>
      </w:pPr>
      <w:r>
        <w:rPr>
          <w:rFonts w:hint="eastAsia" w:hAnsi="微软雅黑" w:cs="宋体"/>
          <w:sz w:val="24"/>
          <w:szCs w:val="24"/>
        </w:rPr>
        <w:t>水库、水闸工程运行重大危险源（以下简称重大危险源）是指在水库、水闸工程运行管理过程中存在的，可能导致人员重大伤亡、健康严重损害、财产重大损失或环境严重破坏，在一定的触发因素作用下可转化为事故的根源或状态。</w:t>
      </w:r>
    </w:p>
    <w:p>
      <w:pPr>
        <w:spacing w:line="440" w:lineRule="exact"/>
        <w:ind w:firstLine="480" w:firstLineChars="200"/>
        <w:rPr>
          <w:rFonts w:hAnsi="微软雅黑" w:cs="宋体"/>
          <w:sz w:val="24"/>
          <w:szCs w:val="24"/>
        </w:rPr>
      </w:pPr>
      <w:r>
        <w:rPr>
          <w:rFonts w:hint="eastAsia" w:hAnsi="微软雅黑" w:cs="宋体"/>
          <w:sz w:val="24"/>
          <w:szCs w:val="24"/>
        </w:rPr>
        <w:t>重大危险源包含《中华人民共和国安全生产法》定义的危险物品重大危险源。</w:t>
      </w:r>
    </w:p>
    <w:p>
      <w:pPr>
        <w:spacing w:line="440" w:lineRule="exact"/>
        <w:ind w:firstLine="480" w:firstLineChars="200"/>
        <w:rPr>
          <w:rFonts w:hAnsi="微软雅黑" w:cs="宋体"/>
          <w:sz w:val="24"/>
          <w:szCs w:val="24"/>
        </w:rPr>
      </w:pPr>
      <w:r>
        <w:rPr>
          <w:rFonts w:hint="eastAsia" w:hAnsi="仿宋"/>
          <w:sz w:val="24"/>
          <w:szCs w:val="24"/>
        </w:rPr>
        <w:t>2.2.</w:t>
      </w:r>
      <w:r>
        <w:rPr>
          <w:rFonts w:hint="eastAsia" w:hAnsi="微软雅黑" w:cs="宋体"/>
          <w:sz w:val="24"/>
          <w:szCs w:val="24"/>
        </w:rPr>
        <w:t>3 水电站、泵站工程运行危险源（以下简称危险源）是指在水电站、泵站工程运行管理过程中存在的，可能导致人员伤亡、健康损害、财产损失或环境破坏，在一定的触发因素作用下可转化为事故的根源或状态。</w:t>
      </w:r>
    </w:p>
    <w:p>
      <w:pPr>
        <w:spacing w:line="440" w:lineRule="exact"/>
        <w:ind w:firstLine="480" w:firstLineChars="200"/>
        <w:rPr>
          <w:rFonts w:hAnsi="微软雅黑" w:cs="宋体"/>
          <w:sz w:val="24"/>
          <w:szCs w:val="24"/>
        </w:rPr>
      </w:pPr>
      <w:r>
        <w:rPr>
          <w:rFonts w:hint="eastAsia" w:hAnsi="微软雅黑" w:cs="宋体"/>
          <w:sz w:val="24"/>
          <w:szCs w:val="24"/>
        </w:rPr>
        <w:t>水电站、泵站工程运行重大危险源（以下简称重大危险源）是指在水电站、泵站工程运行管理过程中存在的，可能导致人员重大伤亡、健康严重损害、财产重大损失或环境严重破坏，在一定的触发因素作用下可转化为事故的根源或状态。</w:t>
      </w:r>
    </w:p>
    <w:p>
      <w:pPr>
        <w:spacing w:line="440" w:lineRule="exact"/>
        <w:ind w:firstLine="480" w:firstLineChars="200"/>
        <w:rPr>
          <w:rFonts w:hAnsi="微软雅黑" w:cs="宋体"/>
          <w:sz w:val="24"/>
          <w:szCs w:val="24"/>
        </w:rPr>
      </w:pPr>
      <w:r>
        <w:rPr>
          <w:rFonts w:hint="eastAsia" w:hAnsi="微软雅黑" w:cs="宋体"/>
          <w:sz w:val="24"/>
          <w:szCs w:val="24"/>
        </w:rPr>
        <w:t>重大危险源包含《中华人民共和国安全生产法》定义的危险物品重大危险源。</w:t>
      </w:r>
    </w:p>
    <w:p>
      <w:pPr>
        <w:pStyle w:val="31"/>
        <w:shd w:val="clear" w:color="auto" w:fill="FFFFFF"/>
        <w:spacing w:before="0" w:beforeAutospacing="0" w:after="0" w:afterAutospacing="0" w:line="440" w:lineRule="exact"/>
        <w:ind w:firstLine="480" w:firstLineChars="200"/>
        <w:jc w:val="both"/>
        <w:rPr>
          <w:rFonts w:ascii="方正仿宋_GBK" w:hAnsi="微软雅黑" w:eastAsia="方正仿宋_GBK"/>
        </w:rPr>
      </w:pPr>
      <w:r>
        <w:rPr>
          <w:rFonts w:hint="eastAsia" w:ascii="方正仿宋_GBK" w:hAnsi="仿宋" w:eastAsia="方正仿宋_GBK"/>
        </w:rPr>
        <w:t>2.2.</w:t>
      </w:r>
      <w:r>
        <w:rPr>
          <w:rFonts w:hint="eastAsia" w:ascii="方正仿宋_GBK" w:hAnsi="微软雅黑" w:eastAsia="方正仿宋_GBK"/>
        </w:rPr>
        <w:t>4 堤防、淤地坝工程运行危险源（以下简称危险源）是指在堤防、淤地坝工程运行管理过程中存在的，可能导致人员伤亡、健康损害、财产损失或环境破坏，在一定的触发因素作用下可转化为事故的根源或状态。</w:t>
      </w:r>
    </w:p>
    <w:p>
      <w:pPr>
        <w:pStyle w:val="31"/>
        <w:shd w:val="clear" w:color="auto" w:fill="FFFFFF"/>
        <w:spacing w:before="0" w:beforeAutospacing="0" w:after="0" w:afterAutospacing="0" w:line="440" w:lineRule="exact"/>
        <w:ind w:firstLine="480" w:firstLineChars="200"/>
        <w:jc w:val="both"/>
        <w:rPr>
          <w:rFonts w:ascii="方正仿宋_GBK" w:hAnsi="微软雅黑" w:eastAsia="方正仿宋_GBK"/>
        </w:rPr>
      </w:pPr>
      <w:r>
        <w:rPr>
          <w:rFonts w:hint="eastAsia" w:ascii="方正仿宋_GBK" w:hAnsi="微软雅黑" w:eastAsia="方正仿宋_GBK"/>
        </w:rPr>
        <w:t>堤防、淤地坝工程运行重大危险源（以下简称重大危险源）是指在堤防、淤地坝工程运行管理过程中存在的，可能导致人员重大伤亡、健康严重损害、财产重大损失或环境严重破坏，在一定的触发因素作用下可转化为事故的根源或状态。</w:t>
      </w:r>
    </w:p>
    <w:p>
      <w:pPr>
        <w:spacing w:line="440" w:lineRule="exact"/>
        <w:ind w:firstLine="480" w:firstLineChars="200"/>
        <w:rPr>
          <w:rFonts w:hAnsi="微软雅黑"/>
          <w:sz w:val="24"/>
          <w:szCs w:val="24"/>
        </w:rPr>
      </w:pPr>
      <w:r>
        <w:rPr>
          <w:rFonts w:hint="eastAsia" w:hAnsi="微软雅黑"/>
          <w:sz w:val="24"/>
          <w:szCs w:val="24"/>
        </w:rPr>
        <w:t>重大危险源包含《中华人民共和国安全生产法》定义的危险物品重大危险源。</w:t>
      </w:r>
    </w:p>
    <w:p>
      <w:pPr>
        <w:spacing w:line="440" w:lineRule="exact"/>
        <w:ind w:firstLine="480" w:firstLineChars="200"/>
        <w:rPr>
          <w:rFonts w:hAnsi="微软雅黑"/>
          <w:sz w:val="24"/>
          <w:szCs w:val="24"/>
        </w:rPr>
      </w:pPr>
      <w:r>
        <w:rPr>
          <w:rFonts w:hint="eastAsia" w:hAnsi="仿宋"/>
          <w:sz w:val="24"/>
          <w:szCs w:val="24"/>
        </w:rPr>
        <w:t>2.2.</w:t>
      </w:r>
      <w:r>
        <w:rPr>
          <w:rFonts w:hint="eastAsia" w:hAnsi="微软雅黑"/>
          <w:sz w:val="24"/>
          <w:szCs w:val="24"/>
        </w:rPr>
        <w:t>5 其他未明确定义的危险源参考</w:t>
      </w:r>
      <w:r>
        <w:rPr>
          <w:rFonts w:hint="eastAsia"/>
          <w:sz w:val="24"/>
          <w:szCs w:val="24"/>
        </w:rPr>
        <w:t>《重庆市生产经营单位构建风险分级管控和隐患排查治理双重预防机制指南（试行）》（渝安办〔2022〕73号），危险源</w:t>
      </w:r>
      <w:r>
        <w:rPr>
          <w:rFonts w:hint="eastAsia" w:hAnsi="微软雅黑"/>
          <w:sz w:val="24"/>
          <w:szCs w:val="24"/>
        </w:rPr>
        <w:t>是指可能导致人身伤害和（或）健康损害和（或）财产损失的根源、状态或行为，或它们的组合。</w:t>
      </w:r>
    </w:p>
    <w:p>
      <w:pPr>
        <w:shd w:val="clear" w:color="auto" w:fill="FFFFFF"/>
        <w:spacing w:line="440" w:lineRule="exact"/>
        <w:ind w:firstLine="480" w:firstLineChars="200"/>
        <w:rPr>
          <w:rFonts w:hAnsi="微软雅黑"/>
          <w:sz w:val="24"/>
          <w:szCs w:val="24"/>
        </w:rPr>
      </w:pPr>
      <w:r>
        <w:rPr>
          <w:rFonts w:hint="eastAsia" w:hAnsi="仿宋"/>
          <w:sz w:val="24"/>
          <w:szCs w:val="24"/>
        </w:rPr>
        <w:t>2.2.</w:t>
      </w:r>
      <w:r>
        <w:rPr>
          <w:rFonts w:hint="eastAsia" w:hAnsi="微软雅黑"/>
          <w:sz w:val="24"/>
          <w:szCs w:val="24"/>
        </w:rPr>
        <w:t>6 《中华人民共和国安全生产法》定义的危险物品重大危险源</w:t>
      </w:r>
    </w:p>
    <w:p>
      <w:pPr>
        <w:shd w:val="clear" w:color="auto" w:fill="FFFFFF"/>
        <w:spacing w:line="440" w:lineRule="exact"/>
        <w:ind w:firstLine="480" w:firstLineChars="200"/>
        <w:rPr>
          <w:rFonts w:hAnsi="宋体" w:cs="宋体"/>
          <w:sz w:val="24"/>
          <w:szCs w:val="24"/>
        </w:rPr>
      </w:pPr>
      <w:r>
        <w:rPr>
          <w:rFonts w:hint="eastAsia" w:hAnsi="微软雅黑"/>
          <w:sz w:val="24"/>
          <w:szCs w:val="24"/>
        </w:rPr>
        <w:t xml:space="preserve">2.2.6.1 </w:t>
      </w:r>
      <w:r>
        <w:rPr>
          <w:rFonts w:hint="eastAsia" w:hAnsi="宋体" w:cs="宋体"/>
          <w:sz w:val="24"/>
          <w:szCs w:val="24"/>
        </w:rPr>
        <w:t>危险物品，是指易燃易爆物品、危险化学品、放射性物品等能够危及人身安全和财产安全的物品。</w:t>
      </w:r>
    </w:p>
    <w:p>
      <w:pPr>
        <w:shd w:val="clear" w:color="auto" w:fill="FFFFFF"/>
        <w:spacing w:line="440" w:lineRule="exact"/>
        <w:ind w:firstLine="480" w:firstLineChars="200"/>
        <w:rPr>
          <w:rFonts w:hAnsi="宋体" w:cs="宋体"/>
          <w:sz w:val="24"/>
          <w:szCs w:val="24"/>
        </w:rPr>
      </w:pPr>
      <w:r>
        <w:rPr>
          <w:rFonts w:hint="eastAsia" w:hAnsi="微软雅黑"/>
          <w:sz w:val="24"/>
          <w:szCs w:val="24"/>
        </w:rPr>
        <w:t>2.2.6.</w:t>
      </w:r>
      <w:r>
        <w:rPr>
          <w:rFonts w:hint="eastAsia" w:hAnsi="宋体" w:cs="宋体"/>
          <w:sz w:val="24"/>
          <w:szCs w:val="24"/>
        </w:rPr>
        <w:t>2 重大危险源，是指长期地或者临时地生产、搬运、使用或者储存危险物品，且危险物品的数量等于或者超过临界量的单元（包括场所和设施）。</w:t>
      </w:r>
    </w:p>
    <w:p>
      <w:pPr>
        <w:shd w:val="clear" w:color="auto" w:fill="FFFFFF"/>
        <w:spacing w:line="440" w:lineRule="exact"/>
        <w:ind w:firstLine="480" w:firstLineChars="200"/>
        <w:rPr>
          <w:rFonts w:hAnsi="宋体" w:cs="宋体"/>
          <w:sz w:val="24"/>
          <w:szCs w:val="24"/>
        </w:rPr>
      </w:pPr>
      <w:r>
        <w:rPr>
          <w:rFonts w:hint="eastAsia" w:hAnsi="宋体" w:cs="宋体"/>
          <w:sz w:val="24"/>
          <w:szCs w:val="24"/>
        </w:rPr>
        <w:t>2</w:t>
      </w:r>
      <w:r>
        <w:rPr>
          <w:rFonts w:hAnsi="宋体" w:cs="宋体"/>
          <w:sz w:val="24"/>
          <w:szCs w:val="24"/>
        </w:rPr>
        <w:t xml:space="preserve">.2.7 </w:t>
      </w:r>
      <w:r>
        <w:rPr>
          <w:rFonts w:hint="eastAsia" w:hAnsi="宋体" w:cs="宋体"/>
          <w:sz w:val="24"/>
          <w:szCs w:val="24"/>
        </w:rPr>
        <w:t>危险源级别和风险等级</w:t>
      </w:r>
    </w:p>
    <w:p>
      <w:pPr>
        <w:shd w:val="clear" w:color="auto" w:fill="FFFFFF"/>
        <w:spacing w:line="440" w:lineRule="exact"/>
        <w:ind w:firstLine="480" w:firstLineChars="200"/>
        <w:rPr>
          <w:rFonts w:hAnsi="宋体" w:cs="宋体"/>
          <w:sz w:val="24"/>
          <w:szCs w:val="24"/>
        </w:rPr>
      </w:pPr>
      <w:r>
        <w:rPr>
          <w:rFonts w:hint="eastAsia" w:hAnsi="宋体" w:cs="宋体"/>
          <w:sz w:val="24"/>
          <w:szCs w:val="24"/>
        </w:rPr>
        <w:t>2</w:t>
      </w:r>
      <w:r>
        <w:rPr>
          <w:rFonts w:hAnsi="宋体" w:cs="宋体"/>
          <w:sz w:val="24"/>
          <w:szCs w:val="24"/>
        </w:rPr>
        <w:t>.2.7</w:t>
      </w:r>
      <w:r>
        <w:rPr>
          <w:rFonts w:hint="eastAsia" w:hAnsi="宋体" w:cs="宋体"/>
          <w:sz w:val="24"/>
          <w:szCs w:val="24"/>
        </w:rPr>
        <w:t>.1 危险源分两个级别，分别为重大危险源和一般危险源。</w:t>
      </w:r>
    </w:p>
    <w:p>
      <w:pPr>
        <w:shd w:val="clear" w:color="auto" w:fill="FFFFFF"/>
        <w:spacing w:line="440" w:lineRule="exact"/>
        <w:ind w:firstLine="480" w:firstLineChars="200"/>
        <w:rPr>
          <w:rFonts w:hAnsi="宋体" w:cs="宋体"/>
          <w:sz w:val="24"/>
          <w:szCs w:val="24"/>
        </w:rPr>
      </w:pPr>
      <w:r>
        <w:rPr>
          <w:rFonts w:hint="eastAsia" w:hAnsi="宋体" w:cs="宋体"/>
          <w:sz w:val="24"/>
          <w:szCs w:val="24"/>
        </w:rPr>
        <w:t>2</w:t>
      </w:r>
      <w:r>
        <w:rPr>
          <w:rFonts w:hAnsi="宋体" w:cs="宋体"/>
          <w:sz w:val="24"/>
          <w:szCs w:val="24"/>
        </w:rPr>
        <w:t>.2.7</w:t>
      </w:r>
      <w:r>
        <w:rPr>
          <w:rFonts w:hint="eastAsia" w:hAnsi="宋体" w:cs="宋体"/>
          <w:sz w:val="24"/>
          <w:szCs w:val="24"/>
        </w:rPr>
        <w:t>.2 危险源的风险等级分为四级，由高到低依次为重大风险、较大风险、一般风险和低风险。</w:t>
      </w:r>
    </w:p>
    <w:p>
      <w:pPr>
        <w:pStyle w:val="3"/>
        <w:spacing w:line="440" w:lineRule="exact"/>
        <w:rPr>
          <w:rFonts w:ascii="黑体" w:hAnsi="黑体" w:eastAsia="黑体"/>
          <w:sz w:val="24"/>
          <w:szCs w:val="24"/>
        </w:rPr>
      </w:pPr>
      <w:bookmarkStart w:id="4" w:name="_Toc119336536"/>
      <w:r>
        <w:rPr>
          <w:rFonts w:hint="eastAsia" w:ascii="黑体" w:hAnsi="黑体" w:eastAsia="黑体"/>
          <w:sz w:val="24"/>
          <w:szCs w:val="24"/>
        </w:rPr>
        <w:t>2.3 危险源辨识范围与对象</w:t>
      </w:r>
      <w:bookmarkEnd w:id="4"/>
    </w:p>
    <w:p>
      <w:pPr>
        <w:spacing w:line="440" w:lineRule="exact"/>
        <w:ind w:firstLine="480" w:firstLineChars="200"/>
        <w:rPr>
          <w:rFonts w:hAnsi="黑体"/>
          <w:sz w:val="24"/>
          <w:szCs w:val="24"/>
        </w:rPr>
      </w:pPr>
      <w:r>
        <w:rPr>
          <w:rFonts w:hint="eastAsia" w:hAnsi="黑体"/>
          <w:sz w:val="24"/>
          <w:szCs w:val="24"/>
        </w:rPr>
        <w:t>2.3.1 辨识范围</w:t>
      </w:r>
    </w:p>
    <w:p>
      <w:pPr>
        <w:spacing w:line="440" w:lineRule="exact"/>
        <w:ind w:firstLine="480" w:firstLineChars="200"/>
        <w:rPr>
          <w:sz w:val="24"/>
          <w:szCs w:val="24"/>
        </w:rPr>
      </w:pPr>
      <w:r>
        <w:rPr>
          <w:rFonts w:hint="eastAsia"/>
          <w:sz w:val="24"/>
          <w:szCs w:val="24"/>
        </w:rPr>
        <w:t>危险源辨识范围应做到系统、全面、无遗漏，包括生产经营单位管辖范围内具有潜在能量和物质释放危险的、可造成人员伤亡、健康损害、财产损失、环境破坏，在一定的触发因素作用下可转化为事故的部位、区域、场所、空间、岗位、设施设备及其位置、操作及作业活动等。</w:t>
      </w:r>
    </w:p>
    <w:p>
      <w:pPr>
        <w:spacing w:line="440" w:lineRule="exact"/>
        <w:ind w:firstLine="480" w:firstLineChars="200"/>
        <w:rPr>
          <w:rFonts w:hAnsi="黑体"/>
          <w:sz w:val="24"/>
          <w:szCs w:val="24"/>
        </w:rPr>
      </w:pPr>
      <w:r>
        <w:rPr>
          <w:rFonts w:hint="eastAsia" w:hAnsi="黑体"/>
          <w:sz w:val="24"/>
          <w:szCs w:val="24"/>
        </w:rPr>
        <w:t>2.3.2 类别及对象</w:t>
      </w:r>
    </w:p>
    <w:p>
      <w:pPr>
        <w:spacing w:line="440" w:lineRule="exact"/>
        <w:ind w:firstLine="480" w:firstLineChars="200"/>
        <w:rPr>
          <w:sz w:val="24"/>
          <w:szCs w:val="24"/>
        </w:rPr>
      </w:pPr>
      <w:r>
        <w:rPr>
          <w:rFonts w:hint="eastAsia"/>
          <w:sz w:val="24"/>
          <w:szCs w:val="24"/>
        </w:rPr>
        <w:t>2.3.2.1 水利水电工程施工危险源类别及对象</w:t>
      </w:r>
    </w:p>
    <w:p>
      <w:pPr>
        <w:pStyle w:val="8"/>
        <w:spacing w:line="440" w:lineRule="exact"/>
        <w:ind w:firstLine="480"/>
        <w:rPr>
          <w:rFonts w:hAnsi="仿宋"/>
          <w:szCs w:val="24"/>
        </w:rPr>
      </w:pPr>
      <w:r>
        <w:rPr>
          <w:rFonts w:hint="eastAsia"/>
          <w:szCs w:val="24"/>
        </w:rPr>
        <w:t>水利水电工程施工</w:t>
      </w:r>
      <w:r>
        <w:rPr>
          <w:rFonts w:hint="eastAsia" w:hAnsi="仿宋"/>
          <w:szCs w:val="24"/>
        </w:rPr>
        <w:t>危险源分五个类别，分别为施工作业类、机械设备类、设施场所类、作业环境类和其他类，各类的辨识与评价对象主要有：</w:t>
      </w:r>
    </w:p>
    <w:p>
      <w:pPr>
        <w:pStyle w:val="8"/>
        <w:spacing w:line="440" w:lineRule="exact"/>
        <w:ind w:firstLine="480"/>
        <w:rPr>
          <w:szCs w:val="24"/>
        </w:rPr>
      </w:pPr>
      <w:r>
        <w:rPr>
          <w:rFonts w:hint="eastAsia"/>
          <w:szCs w:val="24"/>
        </w:rPr>
        <w:t>（1）施工作业类：明挖施工，洞挖施工，石方爆破，填筑工程，灌浆工程，斜井竖井开挖，地质缺陷处理，砂石料生产，混凝土生产，混凝土浇筑，脚手架工程，模板工程及支撑体系，钢筋制安，金属结构制作、安装及机电设备安装，建筑物拆除，配套电网工程，降排水，水上（下）作业，有限空间作业，高空作业，管道安装，其他单项工程等。</w:t>
      </w:r>
    </w:p>
    <w:p>
      <w:pPr>
        <w:pStyle w:val="8"/>
        <w:adjustRightInd w:val="0"/>
        <w:snapToGrid w:val="0"/>
        <w:spacing w:line="440" w:lineRule="exact"/>
        <w:ind w:firstLine="480"/>
        <w:rPr>
          <w:rFonts w:hAnsi="仿宋"/>
          <w:szCs w:val="24"/>
        </w:rPr>
      </w:pPr>
      <w:r>
        <w:rPr>
          <w:rFonts w:hint="eastAsia" w:hAnsi="仿宋"/>
          <w:szCs w:val="24"/>
        </w:rPr>
        <w:t>（2）机械设备类：运输车辆，特种设备，起重吊装及安装拆卸等。</w:t>
      </w:r>
    </w:p>
    <w:p>
      <w:pPr>
        <w:pStyle w:val="8"/>
        <w:spacing w:line="440" w:lineRule="exact"/>
        <w:ind w:firstLine="480"/>
        <w:rPr>
          <w:rFonts w:hAnsi="仿宋"/>
          <w:szCs w:val="24"/>
        </w:rPr>
      </w:pPr>
      <w:r>
        <w:rPr>
          <w:rFonts w:hint="eastAsia" w:hAnsi="仿宋"/>
          <w:szCs w:val="24"/>
        </w:rPr>
        <w:t>（3）设施场所类：存弃渣场，基坑，爆破器材库，油库油罐区，材料设备仓库，供水系统，通风系统，供电系统，修理厂、钢筋厂及模具加工厂等金属结构制作加工厂场所，预制构件场所，施工道路、桥梁，隧洞，围堰等。</w:t>
      </w:r>
    </w:p>
    <w:p>
      <w:pPr>
        <w:pStyle w:val="8"/>
        <w:spacing w:line="440" w:lineRule="exact"/>
        <w:ind w:firstLine="480"/>
        <w:rPr>
          <w:rFonts w:hAnsi="仿宋"/>
          <w:szCs w:val="24"/>
        </w:rPr>
      </w:pPr>
      <w:r>
        <w:rPr>
          <w:rFonts w:hint="eastAsia" w:hAnsi="仿宋"/>
          <w:szCs w:val="24"/>
        </w:rPr>
        <w:t>（4）作业环境类：不良地质地段，潜在滑坡区，超标准洪水，粉尘，有毒有害气体及有毒化学品泄漏环境等。</w:t>
      </w:r>
    </w:p>
    <w:p>
      <w:pPr>
        <w:pStyle w:val="8"/>
        <w:spacing w:line="440" w:lineRule="exact"/>
        <w:ind w:firstLine="480"/>
        <w:rPr>
          <w:rFonts w:hAnsi="仿宋"/>
          <w:szCs w:val="24"/>
        </w:rPr>
      </w:pPr>
      <w:r>
        <w:rPr>
          <w:rFonts w:hint="eastAsia" w:hAnsi="仿宋"/>
          <w:szCs w:val="24"/>
        </w:rPr>
        <w:t>（5）其他类：野外施工，消防安全，营地选址等。</w:t>
      </w:r>
    </w:p>
    <w:p>
      <w:pPr>
        <w:pStyle w:val="8"/>
        <w:spacing w:line="440" w:lineRule="exact"/>
        <w:ind w:firstLine="480"/>
        <w:rPr>
          <w:rFonts w:hAnsi="仿宋"/>
          <w:szCs w:val="24"/>
        </w:rPr>
      </w:pPr>
      <w:r>
        <w:rPr>
          <w:rFonts w:hint="eastAsia" w:hAnsi="仿宋"/>
          <w:szCs w:val="24"/>
        </w:rPr>
        <w:t>对首次采用的新技术、新工艺、新设备、新材料及尚无相关技术标准的危险性较大的单项工程应作为危险源对象进行辨识与风险评价。</w:t>
      </w:r>
    </w:p>
    <w:p>
      <w:pPr>
        <w:spacing w:line="440" w:lineRule="exact"/>
        <w:ind w:firstLine="480" w:firstLineChars="200"/>
        <w:rPr>
          <w:rFonts w:hAnsi="仿宋"/>
          <w:sz w:val="24"/>
          <w:szCs w:val="24"/>
        </w:rPr>
      </w:pPr>
      <w:r>
        <w:rPr>
          <w:rFonts w:hint="eastAsia"/>
          <w:sz w:val="24"/>
          <w:szCs w:val="24"/>
        </w:rPr>
        <w:t>2.3.2.</w:t>
      </w:r>
      <w:r>
        <w:rPr>
          <w:rFonts w:hint="eastAsia" w:hAnsi="仿宋"/>
          <w:sz w:val="24"/>
          <w:szCs w:val="24"/>
        </w:rPr>
        <w:t>2 水利水电工程（水库、水闸）运行危险源</w:t>
      </w:r>
      <w:r>
        <w:rPr>
          <w:rFonts w:hint="eastAsia"/>
          <w:sz w:val="24"/>
          <w:szCs w:val="24"/>
        </w:rPr>
        <w:t>类别及对象</w:t>
      </w:r>
    </w:p>
    <w:p>
      <w:pPr>
        <w:spacing w:line="440" w:lineRule="exact"/>
        <w:ind w:firstLine="480" w:firstLineChars="200"/>
        <w:rPr>
          <w:rFonts w:hAnsi="微软雅黑" w:cs="宋体"/>
          <w:sz w:val="24"/>
          <w:szCs w:val="24"/>
        </w:rPr>
      </w:pPr>
      <w:r>
        <w:rPr>
          <w:rFonts w:hint="eastAsia" w:hAnsi="仿宋"/>
          <w:sz w:val="24"/>
          <w:szCs w:val="24"/>
        </w:rPr>
        <w:t>水利水电工程（水库、水闸）运行</w:t>
      </w:r>
      <w:r>
        <w:rPr>
          <w:rFonts w:hint="eastAsia" w:hAnsi="微软雅黑" w:cs="宋体"/>
          <w:sz w:val="24"/>
          <w:szCs w:val="24"/>
        </w:rPr>
        <w:t>危险源分六个类别，分别为构（建）筑物类、金属结构类、设备设施类、作业活动类、管理类和环境类，各类的辨识与评价对象主要有：</w:t>
      </w:r>
    </w:p>
    <w:p>
      <w:pPr>
        <w:spacing w:line="440" w:lineRule="exact"/>
        <w:ind w:firstLine="480" w:firstLineChars="200"/>
        <w:rPr>
          <w:rFonts w:hAnsi="微软雅黑" w:cs="宋体"/>
          <w:sz w:val="24"/>
          <w:szCs w:val="24"/>
        </w:rPr>
      </w:pPr>
      <w:r>
        <w:rPr>
          <w:rFonts w:hint="eastAsia" w:hAnsi="微软雅黑" w:cs="宋体"/>
          <w:sz w:val="24"/>
          <w:szCs w:val="24"/>
        </w:rPr>
        <w:t>（1）构（建）筑物类（水库）：挡水建筑物，泄水建筑物，输水建筑物，过船建筑物，桥梁，坝基，近坝岸坡等。</w:t>
      </w:r>
    </w:p>
    <w:p>
      <w:pPr>
        <w:spacing w:line="440" w:lineRule="exact"/>
        <w:ind w:firstLine="480" w:firstLineChars="200"/>
        <w:rPr>
          <w:rFonts w:hAnsi="微软雅黑" w:cs="宋体"/>
          <w:sz w:val="24"/>
          <w:szCs w:val="24"/>
        </w:rPr>
      </w:pPr>
      <w:r>
        <w:rPr>
          <w:rFonts w:hint="eastAsia" w:hAnsi="微软雅黑" w:cs="宋体"/>
          <w:sz w:val="24"/>
          <w:szCs w:val="24"/>
        </w:rPr>
        <w:t>构（建）筑物类（水闸）：闸室段，上下游连接段，地基等。</w:t>
      </w:r>
    </w:p>
    <w:p>
      <w:pPr>
        <w:spacing w:line="440" w:lineRule="exact"/>
        <w:ind w:firstLine="480" w:firstLineChars="200"/>
        <w:rPr>
          <w:rFonts w:hAnsi="微软雅黑" w:cs="宋体"/>
          <w:sz w:val="24"/>
          <w:szCs w:val="24"/>
        </w:rPr>
      </w:pPr>
      <w:r>
        <w:rPr>
          <w:rFonts w:hint="eastAsia" w:hAnsi="微软雅黑" w:cs="宋体"/>
          <w:sz w:val="24"/>
          <w:szCs w:val="24"/>
        </w:rPr>
        <w:t>（2）金属结构类：闸门，启闭机械等。</w:t>
      </w:r>
    </w:p>
    <w:p>
      <w:pPr>
        <w:spacing w:line="440" w:lineRule="exact"/>
        <w:ind w:firstLine="480" w:firstLineChars="200"/>
        <w:rPr>
          <w:rFonts w:hAnsi="微软雅黑" w:cs="宋体"/>
          <w:sz w:val="24"/>
          <w:szCs w:val="24"/>
        </w:rPr>
      </w:pPr>
      <w:r>
        <w:rPr>
          <w:rFonts w:hint="eastAsia" w:hAnsi="微软雅黑" w:cs="宋体"/>
          <w:sz w:val="24"/>
          <w:szCs w:val="24"/>
        </w:rPr>
        <w:t>（3）设备设施类：电气设备，特种设备，管理设施等。</w:t>
      </w:r>
    </w:p>
    <w:p>
      <w:pPr>
        <w:spacing w:line="440" w:lineRule="exact"/>
        <w:ind w:firstLine="480" w:firstLineChars="200"/>
        <w:rPr>
          <w:rFonts w:hAnsi="微软雅黑" w:cs="宋体"/>
          <w:sz w:val="24"/>
          <w:szCs w:val="24"/>
        </w:rPr>
      </w:pPr>
      <w:r>
        <w:rPr>
          <w:rFonts w:hint="eastAsia" w:hAnsi="微软雅黑" w:cs="宋体"/>
          <w:sz w:val="24"/>
          <w:szCs w:val="24"/>
        </w:rPr>
        <w:t>（4）作业活动类：作业活动等。</w:t>
      </w:r>
    </w:p>
    <w:p>
      <w:pPr>
        <w:spacing w:line="440" w:lineRule="exact"/>
        <w:ind w:firstLine="480" w:firstLineChars="200"/>
        <w:rPr>
          <w:rFonts w:hAnsi="微软雅黑" w:cs="宋体"/>
          <w:sz w:val="24"/>
          <w:szCs w:val="24"/>
        </w:rPr>
      </w:pPr>
      <w:r>
        <w:rPr>
          <w:rFonts w:hint="eastAsia" w:hAnsi="微软雅黑" w:cs="宋体"/>
          <w:sz w:val="24"/>
          <w:szCs w:val="24"/>
        </w:rPr>
        <w:t>（5）管理类：管理体系，运行管理等。</w:t>
      </w:r>
    </w:p>
    <w:p>
      <w:pPr>
        <w:pStyle w:val="8"/>
        <w:spacing w:line="440" w:lineRule="exact"/>
        <w:ind w:firstLine="480"/>
        <w:rPr>
          <w:rFonts w:hAnsi="微软雅黑" w:cs="宋体"/>
          <w:szCs w:val="24"/>
        </w:rPr>
      </w:pPr>
      <w:r>
        <w:rPr>
          <w:rFonts w:hint="eastAsia" w:hAnsi="微软雅黑" w:cs="宋体"/>
          <w:szCs w:val="24"/>
        </w:rPr>
        <w:t>（6）环境类：自然环境，工作环境等。</w:t>
      </w:r>
    </w:p>
    <w:p>
      <w:pPr>
        <w:pStyle w:val="8"/>
        <w:spacing w:line="440" w:lineRule="exact"/>
        <w:ind w:firstLine="480"/>
        <w:rPr>
          <w:rFonts w:hAnsi="微软雅黑" w:cs="宋体"/>
          <w:szCs w:val="24"/>
        </w:rPr>
      </w:pPr>
      <w:r>
        <w:rPr>
          <w:rFonts w:hint="eastAsia"/>
          <w:szCs w:val="24"/>
        </w:rPr>
        <w:t>2.3.2.</w:t>
      </w:r>
      <w:r>
        <w:rPr>
          <w:rFonts w:hint="eastAsia" w:hAnsi="微软雅黑" w:cs="宋体"/>
          <w:szCs w:val="24"/>
        </w:rPr>
        <w:t>3 水利水电工程（水电站、泵站）运行危险源类别及对象</w:t>
      </w:r>
    </w:p>
    <w:p>
      <w:pPr>
        <w:spacing w:line="440" w:lineRule="exact"/>
        <w:ind w:firstLine="480" w:firstLineChars="200"/>
        <w:rPr>
          <w:rFonts w:hAnsi="微软雅黑" w:cs="宋体"/>
          <w:sz w:val="24"/>
          <w:szCs w:val="24"/>
        </w:rPr>
      </w:pPr>
      <w:r>
        <w:rPr>
          <w:rFonts w:hint="eastAsia" w:hAnsi="微软雅黑" w:cs="宋体"/>
          <w:sz w:val="24"/>
          <w:szCs w:val="24"/>
        </w:rPr>
        <w:t>水利水电工程（水电站、泵站）运行危险源分六个类别，分别为构（建）筑物类、金属结构类、设备设施类、作业活动类、管理类和环境类，各类的辨识与评价对象主要有：</w:t>
      </w:r>
    </w:p>
    <w:p>
      <w:pPr>
        <w:spacing w:line="440" w:lineRule="exact"/>
        <w:ind w:firstLine="480" w:firstLineChars="200"/>
        <w:rPr>
          <w:rFonts w:hAnsi="微软雅黑" w:cs="宋体"/>
          <w:sz w:val="24"/>
          <w:szCs w:val="24"/>
        </w:rPr>
      </w:pPr>
      <w:r>
        <w:rPr>
          <w:rFonts w:hint="eastAsia" w:hAnsi="微软雅黑" w:cs="宋体"/>
          <w:sz w:val="24"/>
          <w:szCs w:val="24"/>
        </w:rPr>
        <w:t>（1）构（建）筑物类（水电站）：挡水建筑物、引（输）水建筑物、尾水建筑物、厂房、升压站、开关站、管理房等。</w:t>
      </w:r>
    </w:p>
    <w:p>
      <w:pPr>
        <w:spacing w:line="440" w:lineRule="exact"/>
        <w:ind w:firstLine="480" w:firstLineChars="200"/>
        <w:rPr>
          <w:rFonts w:hAnsi="微软雅黑" w:cs="宋体"/>
          <w:sz w:val="24"/>
          <w:szCs w:val="24"/>
        </w:rPr>
      </w:pPr>
      <w:r>
        <w:rPr>
          <w:rFonts w:hint="eastAsia" w:hAnsi="微软雅黑" w:cs="宋体"/>
          <w:sz w:val="24"/>
          <w:szCs w:val="24"/>
        </w:rPr>
        <w:t>构（建）筑物类（泵站）：进出水建筑物、泵房、输水建筑物、变电站、管理房等。</w:t>
      </w:r>
    </w:p>
    <w:p>
      <w:pPr>
        <w:spacing w:line="440" w:lineRule="exact"/>
        <w:ind w:firstLine="480" w:firstLineChars="200"/>
        <w:rPr>
          <w:rFonts w:hAnsi="微软雅黑" w:cs="宋体"/>
          <w:sz w:val="24"/>
          <w:szCs w:val="24"/>
        </w:rPr>
      </w:pPr>
      <w:r>
        <w:rPr>
          <w:rFonts w:hint="eastAsia" w:hAnsi="微软雅黑" w:cs="宋体"/>
          <w:sz w:val="24"/>
          <w:szCs w:val="24"/>
        </w:rPr>
        <w:t>（2）金属结构类：闸门、阀组、拦污与清污设备、启闭机械、压力钢管等。</w:t>
      </w:r>
    </w:p>
    <w:p>
      <w:pPr>
        <w:spacing w:line="440" w:lineRule="exact"/>
        <w:ind w:firstLine="480" w:firstLineChars="200"/>
        <w:rPr>
          <w:rFonts w:hAnsi="微软雅黑" w:cs="宋体"/>
          <w:sz w:val="24"/>
          <w:szCs w:val="24"/>
        </w:rPr>
      </w:pPr>
      <w:r>
        <w:rPr>
          <w:rFonts w:hint="eastAsia" w:hAnsi="微软雅黑" w:cs="宋体"/>
          <w:sz w:val="24"/>
          <w:szCs w:val="24"/>
        </w:rPr>
        <w:t>（3）设备设施类：机组及附属设备、电气设备、辅助设备、特种设备、管理设施等。</w:t>
      </w:r>
    </w:p>
    <w:p>
      <w:pPr>
        <w:spacing w:line="440" w:lineRule="exact"/>
        <w:ind w:firstLine="480" w:firstLineChars="200"/>
        <w:rPr>
          <w:rFonts w:hAnsi="微软雅黑" w:cs="宋体"/>
          <w:sz w:val="24"/>
          <w:szCs w:val="24"/>
        </w:rPr>
      </w:pPr>
      <w:r>
        <w:rPr>
          <w:rFonts w:hint="eastAsia" w:hAnsi="微软雅黑" w:cs="宋体"/>
          <w:sz w:val="24"/>
          <w:szCs w:val="24"/>
        </w:rPr>
        <w:t>（4）作业活动类：作业活动、检修、试验检验等。</w:t>
      </w:r>
    </w:p>
    <w:p>
      <w:pPr>
        <w:spacing w:line="440" w:lineRule="exact"/>
        <w:ind w:firstLine="480" w:firstLineChars="200"/>
        <w:rPr>
          <w:rFonts w:hAnsi="微软雅黑" w:cs="宋体"/>
          <w:sz w:val="24"/>
          <w:szCs w:val="24"/>
        </w:rPr>
      </w:pPr>
      <w:r>
        <w:rPr>
          <w:rFonts w:hint="eastAsia" w:hAnsi="微软雅黑" w:cs="宋体"/>
          <w:sz w:val="24"/>
          <w:szCs w:val="24"/>
        </w:rPr>
        <w:t>（5）管理类：管理体系、运行管理等。</w:t>
      </w:r>
    </w:p>
    <w:p>
      <w:pPr>
        <w:spacing w:line="440" w:lineRule="exact"/>
        <w:ind w:firstLine="480" w:firstLineChars="200"/>
        <w:rPr>
          <w:rFonts w:hAnsi="微软雅黑" w:cs="宋体"/>
          <w:sz w:val="24"/>
          <w:szCs w:val="24"/>
        </w:rPr>
      </w:pPr>
      <w:r>
        <w:rPr>
          <w:rFonts w:hint="eastAsia" w:hAnsi="微软雅黑" w:cs="宋体"/>
          <w:sz w:val="24"/>
          <w:szCs w:val="24"/>
        </w:rPr>
        <w:t>（6）环境类：自然环境、工作环境等。</w:t>
      </w:r>
    </w:p>
    <w:p>
      <w:pPr>
        <w:pStyle w:val="8"/>
        <w:spacing w:line="440" w:lineRule="exact"/>
        <w:ind w:firstLine="480"/>
        <w:rPr>
          <w:rFonts w:hAnsi="仿宋"/>
          <w:szCs w:val="24"/>
        </w:rPr>
      </w:pPr>
      <w:r>
        <w:rPr>
          <w:rFonts w:hint="eastAsia"/>
          <w:szCs w:val="24"/>
        </w:rPr>
        <w:t>2.3.2.</w:t>
      </w:r>
      <w:r>
        <w:rPr>
          <w:rFonts w:hint="eastAsia" w:hAnsi="仿宋"/>
          <w:szCs w:val="24"/>
        </w:rPr>
        <w:t>4 水利水电工程（堤防、淤地坝）运行危险源类别及对象</w:t>
      </w:r>
    </w:p>
    <w:p>
      <w:pPr>
        <w:pStyle w:val="31"/>
        <w:shd w:val="clear" w:color="auto" w:fill="FFFFFF"/>
        <w:spacing w:before="0" w:beforeAutospacing="0" w:after="0" w:afterAutospacing="0" w:line="440" w:lineRule="exact"/>
        <w:ind w:firstLine="480" w:firstLineChars="200"/>
        <w:jc w:val="both"/>
        <w:rPr>
          <w:rFonts w:ascii="方正仿宋_GBK" w:hAnsi="微软雅黑" w:eastAsia="方正仿宋_GBK"/>
        </w:rPr>
      </w:pPr>
      <w:r>
        <w:rPr>
          <w:rFonts w:hint="eastAsia" w:ascii="方正仿宋_GBK" w:hAnsi="仿宋" w:eastAsia="方正仿宋_GBK"/>
        </w:rPr>
        <w:t>水利水电工程（堤防、淤地坝）运行危险源</w:t>
      </w:r>
      <w:r>
        <w:rPr>
          <w:rFonts w:hint="eastAsia" w:ascii="方正仿宋_GBK" w:hAnsi="微软雅黑" w:eastAsia="方正仿宋_GBK"/>
        </w:rPr>
        <w:t>分五个类别，分别为构（建）筑物类、设备设施类、作业活动类、管理类和环境类，各类的辨识与评价对象主要有：</w:t>
      </w:r>
    </w:p>
    <w:p>
      <w:pPr>
        <w:pStyle w:val="31"/>
        <w:shd w:val="clear" w:color="auto" w:fill="FFFFFF"/>
        <w:spacing w:before="0" w:beforeAutospacing="0" w:after="0" w:afterAutospacing="0" w:line="440" w:lineRule="exact"/>
        <w:ind w:firstLine="480" w:firstLineChars="200"/>
        <w:jc w:val="both"/>
        <w:rPr>
          <w:rFonts w:ascii="方正仿宋_GBK" w:hAnsi="微软雅黑" w:eastAsia="方正仿宋_GBK"/>
        </w:rPr>
      </w:pPr>
      <w:r>
        <w:rPr>
          <w:rFonts w:hint="eastAsia" w:ascii="方正仿宋_GBK" w:hAnsi="微软雅黑" w:eastAsia="方正仿宋_GBK"/>
        </w:rPr>
        <w:t>（1）构（建）筑物类（堤防）：堤身、堤基、护堤地、堤岸防护、防渗及排水设施、穿（跨、临）堤建筑物与堤防接合部等。</w:t>
      </w:r>
    </w:p>
    <w:p>
      <w:pPr>
        <w:pStyle w:val="31"/>
        <w:shd w:val="clear" w:color="auto" w:fill="FFFFFF"/>
        <w:spacing w:before="0" w:beforeAutospacing="0" w:after="0" w:afterAutospacing="0" w:line="440" w:lineRule="exact"/>
        <w:ind w:firstLine="480" w:firstLineChars="200"/>
        <w:jc w:val="both"/>
        <w:rPr>
          <w:rFonts w:ascii="方正仿宋_GBK" w:hAnsi="微软雅黑" w:eastAsia="方正仿宋_GBK"/>
        </w:rPr>
      </w:pPr>
      <w:r>
        <w:rPr>
          <w:rFonts w:hint="eastAsia" w:ascii="方正仿宋_GBK" w:hAnsi="微软雅黑" w:eastAsia="方正仿宋_GBK"/>
        </w:rPr>
        <w:t>构（建）筑物类（淤地坝）：坝体、放水建筑物、泄洪建筑物等。</w:t>
      </w:r>
    </w:p>
    <w:p>
      <w:pPr>
        <w:pStyle w:val="31"/>
        <w:shd w:val="clear" w:color="auto" w:fill="FFFFFF"/>
        <w:spacing w:before="0" w:beforeAutospacing="0" w:after="0" w:afterAutospacing="0" w:line="440" w:lineRule="exact"/>
        <w:ind w:firstLine="480" w:firstLineChars="200"/>
        <w:jc w:val="both"/>
        <w:rPr>
          <w:rFonts w:ascii="方正仿宋_GBK" w:hAnsi="微软雅黑" w:eastAsia="方正仿宋_GBK"/>
        </w:rPr>
      </w:pPr>
      <w:r>
        <w:rPr>
          <w:rFonts w:hint="eastAsia" w:ascii="方正仿宋_GBK" w:hAnsi="微软雅黑" w:eastAsia="方正仿宋_GBK"/>
        </w:rPr>
        <w:t>（2）设备设施类（堤防）：防汛抢险设施、生物防护工程、管理设施等。</w:t>
      </w:r>
    </w:p>
    <w:p>
      <w:pPr>
        <w:pStyle w:val="31"/>
        <w:shd w:val="clear" w:color="auto" w:fill="FFFFFF"/>
        <w:spacing w:before="0" w:beforeAutospacing="0" w:after="0" w:afterAutospacing="0" w:line="440" w:lineRule="exact"/>
        <w:ind w:firstLine="424" w:firstLineChars="177"/>
        <w:jc w:val="both"/>
        <w:rPr>
          <w:rFonts w:ascii="方正仿宋_GBK" w:hAnsi="微软雅黑" w:eastAsia="方正仿宋_GBK"/>
        </w:rPr>
      </w:pPr>
      <w:r>
        <w:rPr>
          <w:rFonts w:hint="eastAsia" w:ascii="方正仿宋_GBK" w:hAnsi="微软雅黑" w:eastAsia="方正仿宋_GBK"/>
        </w:rPr>
        <w:t>设备设施类（淤地坝）：管理设施等。</w:t>
      </w:r>
    </w:p>
    <w:p>
      <w:pPr>
        <w:pStyle w:val="31"/>
        <w:shd w:val="clear" w:color="auto" w:fill="FFFFFF"/>
        <w:spacing w:before="0" w:beforeAutospacing="0" w:after="0" w:afterAutospacing="0" w:line="440" w:lineRule="exact"/>
        <w:ind w:firstLine="480" w:firstLineChars="200"/>
        <w:jc w:val="both"/>
        <w:rPr>
          <w:rFonts w:ascii="方正仿宋_GBK" w:hAnsi="微软雅黑" w:eastAsia="方正仿宋_GBK"/>
        </w:rPr>
      </w:pPr>
      <w:r>
        <w:rPr>
          <w:rFonts w:hint="eastAsia" w:ascii="方正仿宋_GBK" w:hAnsi="微软雅黑" w:eastAsia="方正仿宋_GBK"/>
        </w:rPr>
        <w:t>（3）作业活动类：作业活动等。</w:t>
      </w:r>
    </w:p>
    <w:p>
      <w:pPr>
        <w:pStyle w:val="31"/>
        <w:shd w:val="clear" w:color="auto" w:fill="FFFFFF"/>
        <w:spacing w:before="0" w:beforeAutospacing="0" w:after="0" w:afterAutospacing="0" w:line="440" w:lineRule="exact"/>
        <w:ind w:firstLine="480" w:firstLineChars="200"/>
        <w:jc w:val="both"/>
        <w:rPr>
          <w:rFonts w:ascii="方正仿宋_GBK" w:hAnsi="微软雅黑" w:eastAsia="方正仿宋_GBK"/>
        </w:rPr>
      </w:pPr>
      <w:r>
        <w:rPr>
          <w:rFonts w:hint="eastAsia" w:ascii="方正仿宋_GBK" w:hAnsi="微软雅黑" w:eastAsia="方正仿宋_GBK"/>
        </w:rPr>
        <w:t>（4）管理类：管理体系、运行管理等。</w:t>
      </w:r>
    </w:p>
    <w:p>
      <w:pPr>
        <w:pStyle w:val="31"/>
        <w:shd w:val="clear" w:color="auto" w:fill="FFFFFF"/>
        <w:spacing w:before="0" w:beforeAutospacing="0" w:after="0" w:afterAutospacing="0" w:line="440" w:lineRule="exact"/>
        <w:ind w:firstLine="480" w:firstLineChars="200"/>
        <w:jc w:val="both"/>
        <w:rPr>
          <w:rFonts w:ascii="方正仿宋_GBK" w:hAnsi="微软雅黑" w:eastAsia="方正仿宋_GBK"/>
        </w:rPr>
      </w:pPr>
      <w:r>
        <w:rPr>
          <w:rFonts w:hint="eastAsia" w:ascii="方正仿宋_GBK" w:hAnsi="微软雅黑" w:eastAsia="方正仿宋_GBK"/>
        </w:rPr>
        <w:t>（5）环境类：工作环境、自然环境等。</w:t>
      </w:r>
    </w:p>
    <w:p>
      <w:pPr>
        <w:pStyle w:val="31"/>
        <w:shd w:val="clear" w:color="auto" w:fill="FFFFFF"/>
        <w:spacing w:before="0" w:beforeAutospacing="0" w:after="0" w:afterAutospacing="0" w:line="440" w:lineRule="exact"/>
        <w:ind w:firstLine="480" w:firstLineChars="200"/>
        <w:jc w:val="both"/>
        <w:rPr>
          <w:rFonts w:ascii="方正仿宋_GBK" w:hAnsi="微软雅黑" w:eastAsia="方正仿宋_GBK"/>
        </w:rPr>
      </w:pPr>
      <w:r>
        <w:rPr>
          <w:rFonts w:hint="eastAsia" w:ascii="方正仿宋_GBK" w:hAnsi="微软雅黑" w:eastAsia="方正仿宋_GBK"/>
        </w:rPr>
        <w:t>2.3.2.5</w:t>
      </w:r>
      <w:r>
        <w:rPr>
          <w:rFonts w:ascii="方正仿宋_GBK" w:hAnsi="微软雅黑" w:eastAsia="方正仿宋_GBK"/>
        </w:rPr>
        <w:t xml:space="preserve"> </w:t>
      </w:r>
      <w:r>
        <w:rPr>
          <w:rFonts w:hint="eastAsia" w:ascii="方正仿宋_GBK" w:hAnsi="微软雅黑" w:eastAsia="方正仿宋_GBK"/>
        </w:rPr>
        <w:t>水利水电勘测设计单位、水文监测单位、水利后勤保障单位等其他水利生产经营单位可依据《水利部关于开展水利安全风险分级管控的指导意见》（水监督〔2018〕323号）及《重庆市生产经营单位构建风险分级管控和隐患排查治理双重预防机制指南（试行）》（渝安办〔2022〕73号），</w:t>
      </w:r>
      <w:bookmarkStart w:id="5" w:name="_Hlk117068253"/>
      <w:r>
        <w:rPr>
          <w:rFonts w:hint="eastAsia" w:ascii="方正仿宋_GBK" w:hAnsi="微软雅黑" w:eastAsia="方正仿宋_GBK"/>
        </w:rPr>
        <w:t>按照“有标对标、无标自判”的原则</w:t>
      </w:r>
      <w:bookmarkEnd w:id="5"/>
      <w:r>
        <w:rPr>
          <w:rFonts w:hint="eastAsia" w:ascii="方正仿宋_GBK" w:hAnsi="微软雅黑" w:eastAsia="方正仿宋_GBK"/>
        </w:rPr>
        <w:t>，可从施工作业类、机械设备类、设施场所类、作业环境类、生产工艺类等几个类型进行危险源辨识，具体可依据本单位实际参照《生产过程危险和有害因素分类与代码》（GB/T13861-2022）的规定。</w:t>
      </w:r>
    </w:p>
    <w:p>
      <w:pPr>
        <w:pStyle w:val="3"/>
        <w:spacing w:line="440" w:lineRule="exact"/>
        <w:rPr>
          <w:rFonts w:ascii="黑体" w:hAnsi="黑体" w:eastAsia="黑体"/>
          <w:sz w:val="24"/>
          <w:szCs w:val="24"/>
        </w:rPr>
      </w:pPr>
      <w:bookmarkStart w:id="6" w:name="_Toc119336537"/>
      <w:r>
        <w:rPr>
          <w:rFonts w:hint="eastAsia" w:ascii="黑体" w:hAnsi="黑体" w:eastAsia="黑体"/>
          <w:sz w:val="24"/>
          <w:szCs w:val="24"/>
        </w:rPr>
        <w:t>2.</w:t>
      </w:r>
      <w:r>
        <w:rPr>
          <w:rFonts w:ascii="黑体" w:hAnsi="黑体" w:eastAsia="黑体"/>
          <w:sz w:val="24"/>
          <w:szCs w:val="24"/>
        </w:rPr>
        <w:t>4</w:t>
      </w:r>
      <w:r>
        <w:rPr>
          <w:rFonts w:hint="eastAsia" w:ascii="黑体" w:hAnsi="黑体" w:eastAsia="黑体"/>
          <w:sz w:val="24"/>
          <w:szCs w:val="24"/>
        </w:rPr>
        <w:t xml:space="preserve"> 辨识方法</w:t>
      </w:r>
      <w:bookmarkEnd w:id="6"/>
    </w:p>
    <w:p>
      <w:pPr>
        <w:spacing w:line="440" w:lineRule="exact"/>
        <w:ind w:firstLine="480" w:firstLineChars="200"/>
        <w:rPr>
          <w:rFonts w:hAnsi="微软雅黑" w:cs="宋体"/>
          <w:sz w:val="24"/>
          <w:szCs w:val="24"/>
        </w:rPr>
      </w:pPr>
      <w:r>
        <w:rPr>
          <w:rFonts w:hint="eastAsia"/>
          <w:sz w:val="24"/>
          <w:szCs w:val="24"/>
        </w:rPr>
        <w:t>2.</w:t>
      </w:r>
      <w:r>
        <w:rPr>
          <w:sz w:val="24"/>
          <w:szCs w:val="24"/>
        </w:rPr>
        <w:t>4</w:t>
      </w:r>
      <w:r>
        <w:rPr>
          <w:rFonts w:hint="eastAsia"/>
          <w:sz w:val="24"/>
          <w:szCs w:val="24"/>
        </w:rPr>
        <w:t xml:space="preserve">.1 </w:t>
      </w:r>
      <w:r>
        <w:rPr>
          <w:rFonts w:hint="eastAsia" w:hAnsi="微软雅黑" w:cs="宋体"/>
          <w:sz w:val="24"/>
          <w:szCs w:val="24"/>
        </w:rPr>
        <w:t>危险源辨识是指对有可能产生危险的根源或状态进行分析，识别危险源的存在并确定其特性的过程，包括辨识出危险源以及判定危险源类别与级别。</w:t>
      </w:r>
    </w:p>
    <w:p>
      <w:pPr>
        <w:spacing w:line="440" w:lineRule="exact"/>
        <w:ind w:firstLine="480" w:firstLineChars="200"/>
        <w:rPr>
          <w:rFonts w:hAnsi="微软雅黑" w:cs="宋体"/>
          <w:sz w:val="24"/>
          <w:szCs w:val="24"/>
        </w:rPr>
      </w:pPr>
      <w:r>
        <w:rPr>
          <w:rFonts w:hint="eastAsia"/>
          <w:sz w:val="24"/>
          <w:szCs w:val="24"/>
        </w:rPr>
        <w:t>2.</w:t>
      </w:r>
      <w:r>
        <w:rPr>
          <w:sz w:val="24"/>
          <w:szCs w:val="24"/>
        </w:rPr>
        <w:t>4</w:t>
      </w:r>
      <w:r>
        <w:rPr>
          <w:rFonts w:hint="eastAsia"/>
          <w:sz w:val="24"/>
          <w:szCs w:val="24"/>
        </w:rPr>
        <w:t>.</w:t>
      </w:r>
      <w:r>
        <w:rPr>
          <w:rFonts w:hint="eastAsia" w:hAnsi="微软雅黑" w:cs="宋体"/>
          <w:sz w:val="24"/>
          <w:szCs w:val="24"/>
        </w:rPr>
        <w:t>2 危险源辨识应针对辨识的对象，由在工程施工或运行管理、生产技术管理、安全管理方面经验丰富的专业人员、本单位基层管理人员（技术骨干）等，采用科学、有效及相适应的方法进行辨识，对其进行分类和分级，汇总制定危险源清单，危险源清单应包括危险源类别、项目、作业区域（步骤/部位/环节）、危险源名称、事故诱因、可能导致的事故类型、危险源级别、责任人等基本信息，必要时可进行集体讨论或专家技术论证。</w:t>
      </w:r>
    </w:p>
    <w:p>
      <w:pPr>
        <w:spacing w:line="440" w:lineRule="exact"/>
        <w:ind w:firstLine="480" w:firstLineChars="200"/>
        <w:rPr>
          <w:rFonts w:hAnsi="微软雅黑" w:cs="宋体"/>
          <w:sz w:val="24"/>
          <w:szCs w:val="24"/>
        </w:rPr>
      </w:pPr>
      <w:r>
        <w:rPr>
          <w:rFonts w:hint="eastAsia"/>
          <w:sz w:val="24"/>
          <w:szCs w:val="24"/>
        </w:rPr>
        <w:t>2.</w:t>
      </w:r>
      <w:r>
        <w:rPr>
          <w:sz w:val="24"/>
          <w:szCs w:val="24"/>
        </w:rPr>
        <w:t>4</w:t>
      </w:r>
      <w:r>
        <w:rPr>
          <w:rFonts w:hint="eastAsia"/>
          <w:sz w:val="24"/>
          <w:szCs w:val="24"/>
        </w:rPr>
        <w:t>.</w:t>
      </w:r>
      <w:r>
        <w:rPr>
          <w:rFonts w:hint="eastAsia" w:hAnsi="微软雅黑" w:cs="宋体"/>
          <w:sz w:val="24"/>
          <w:szCs w:val="24"/>
        </w:rPr>
        <w:t>3 危险源辨识可采取直接判定法、安全检查表法、预先危险性分析法及因果分析法等方法。危险源辨识应优先采用直接判定法，不能用直接判定法辨识的，可采用其他方法进行判定；水利水电工程施工，水库、水闸运行，水电站、泵站运行，堤防、淤地坝运行一般危险源在后附表中无列举的，按照“有标对标、无标自判”的原则进行补充辨识。</w:t>
      </w:r>
    </w:p>
    <w:p>
      <w:pPr>
        <w:pStyle w:val="31"/>
        <w:adjustRightInd w:val="0"/>
        <w:snapToGrid w:val="0"/>
        <w:spacing w:before="0" w:beforeAutospacing="0" w:after="0" w:afterAutospacing="0" w:line="440" w:lineRule="exact"/>
        <w:ind w:firstLine="480" w:firstLineChars="200"/>
        <w:jc w:val="both"/>
        <w:rPr>
          <w:rFonts w:ascii="方正仿宋_GBK" w:hAnsi="微软雅黑" w:eastAsia="方正仿宋_GBK"/>
        </w:rPr>
      </w:pPr>
      <w:r>
        <w:rPr>
          <w:rFonts w:hint="eastAsia" w:ascii="方正仿宋_GBK" w:hAnsi="微软雅黑" w:eastAsia="方正仿宋_GBK"/>
        </w:rPr>
        <w:t>2.</w:t>
      </w:r>
      <w:r>
        <w:rPr>
          <w:rFonts w:ascii="方正仿宋_GBK" w:hAnsi="微软雅黑" w:eastAsia="方正仿宋_GBK"/>
        </w:rPr>
        <w:t>4</w:t>
      </w:r>
      <w:r>
        <w:rPr>
          <w:rFonts w:hint="eastAsia" w:ascii="方正仿宋_GBK" w:hAnsi="微软雅黑" w:eastAsia="方正仿宋_GBK"/>
        </w:rPr>
        <w:t xml:space="preserve">.3.1 </w:t>
      </w:r>
      <w:r>
        <w:rPr>
          <w:rFonts w:hint="eastAsia" w:ascii="方正仿宋_GBK" w:hAnsi="仿宋" w:eastAsia="方正仿宋_GBK"/>
        </w:rPr>
        <w:t>水利水电工程施工危险源辨识</w:t>
      </w:r>
    </w:p>
    <w:p>
      <w:pPr>
        <w:pStyle w:val="31"/>
        <w:adjustRightInd w:val="0"/>
        <w:snapToGrid w:val="0"/>
        <w:spacing w:before="0" w:beforeAutospacing="0" w:after="0" w:afterAutospacing="0" w:line="440" w:lineRule="exact"/>
        <w:ind w:firstLine="480" w:firstLineChars="200"/>
        <w:jc w:val="both"/>
        <w:rPr>
          <w:rFonts w:ascii="方正仿宋_GBK" w:hAnsi="仿宋" w:eastAsia="方正仿宋_GBK"/>
        </w:rPr>
      </w:pPr>
      <w:r>
        <w:rPr>
          <w:rFonts w:hint="eastAsia" w:ascii="方正仿宋_GBK" w:hAnsi="仿宋" w:eastAsia="方正仿宋_GBK"/>
        </w:rPr>
        <w:t>当出现符合《水利水电工程施工重大危险源清单》（附录A.1）</w:t>
      </w:r>
      <w:r>
        <w:rPr>
          <w:rFonts w:hint="eastAsia" w:ascii="方正仿宋_GBK" w:hAnsi="仿宋" w:eastAsia="方正仿宋_GBK" w:cs="Calibri"/>
        </w:rPr>
        <w:t>中的任何一条要素的</w:t>
      </w:r>
      <w:r>
        <w:rPr>
          <w:rFonts w:hint="eastAsia" w:ascii="方正仿宋_GBK" w:hAnsi="仿宋" w:eastAsia="方正仿宋_GBK"/>
        </w:rPr>
        <w:t>，可直接判定为重大危险源。</w:t>
      </w:r>
    </w:p>
    <w:p>
      <w:pPr>
        <w:pStyle w:val="31"/>
        <w:adjustRightInd w:val="0"/>
        <w:snapToGrid w:val="0"/>
        <w:spacing w:before="0" w:beforeAutospacing="0" w:after="0" w:afterAutospacing="0" w:line="440" w:lineRule="exact"/>
        <w:ind w:firstLine="480" w:firstLineChars="200"/>
        <w:jc w:val="both"/>
        <w:rPr>
          <w:rFonts w:ascii="方正仿宋_GBK" w:hAnsi="仿宋" w:eastAsia="方正仿宋_GBK"/>
        </w:rPr>
      </w:pPr>
      <w:r>
        <w:rPr>
          <w:rFonts w:hint="eastAsia" w:ascii="方正仿宋_GBK" w:hAnsi="仿宋" w:eastAsia="方正仿宋_GBK"/>
        </w:rPr>
        <w:t>当出现符合《水利水电工程施工一般危险源LEC法风险评价赋分表》（附录A</w:t>
      </w:r>
      <w:r>
        <w:rPr>
          <w:rFonts w:ascii="方正仿宋_GBK" w:hAnsi="仿宋" w:eastAsia="方正仿宋_GBK"/>
        </w:rPr>
        <w:t>.2</w:t>
      </w:r>
      <w:r>
        <w:rPr>
          <w:rFonts w:hint="eastAsia" w:ascii="方正仿宋_GBK" w:hAnsi="仿宋" w:eastAsia="方正仿宋_GBK"/>
        </w:rPr>
        <w:t>）中一般危险源的任何一条要素的，则判定为一般危险源。</w:t>
      </w:r>
    </w:p>
    <w:p>
      <w:pPr>
        <w:pStyle w:val="31"/>
        <w:adjustRightInd w:val="0"/>
        <w:snapToGrid w:val="0"/>
        <w:spacing w:before="0" w:beforeAutospacing="0" w:after="0" w:afterAutospacing="0" w:line="440" w:lineRule="exact"/>
        <w:ind w:firstLine="480" w:firstLineChars="200"/>
        <w:jc w:val="both"/>
        <w:rPr>
          <w:rFonts w:ascii="方正仿宋_GBK" w:hAnsi="仿宋" w:eastAsia="方正仿宋_GBK"/>
        </w:rPr>
      </w:pPr>
      <w:r>
        <w:rPr>
          <w:rFonts w:hint="eastAsia" w:ascii="方正仿宋_GBK" w:hAnsi="微软雅黑" w:eastAsia="方正仿宋_GBK"/>
        </w:rPr>
        <w:t>2.</w:t>
      </w:r>
      <w:r>
        <w:rPr>
          <w:rFonts w:hAnsi="微软雅黑"/>
        </w:rPr>
        <w:t>4</w:t>
      </w:r>
      <w:r>
        <w:rPr>
          <w:rFonts w:hint="eastAsia" w:ascii="方正仿宋_GBK" w:hAnsi="微软雅黑" w:eastAsia="方正仿宋_GBK"/>
        </w:rPr>
        <w:t>.3.</w:t>
      </w:r>
      <w:r>
        <w:rPr>
          <w:rFonts w:hint="eastAsia" w:ascii="方正仿宋_GBK" w:hAnsi="仿宋" w:eastAsia="方正仿宋_GBK"/>
        </w:rPr>
        <w:t>2 水利水电工程（水库、水闸）运行危险源辨识</w:t>
      </w:r>
    </w:p>
    <w:p>
      <w:pPr>
        <w:pStyle w:val="31"/>
        <w:adjustRightInd w:val="0"/>
        <w:snapToGrid w:val="0"/>
        <w:spacing w:before="0" w:beforeAutospacing="0" w:after="0" w:afterAutospacing="0" w:line="440" w:lineRule="exact"/>
        <w:ind w:firstLine="480" w:firstLineChars="200"/>
        <w:jc w:val="both"/>
        <w:rPr>
          <w:rFonts w:ascii="方正仿宋_GBK" w:eastAsia="方正仿宋_GBK"/>
        </w:rPr>
      </w:pPr>
      <w:r>
        <w:rPr>
          <w:rFonts w:hint="eastAsia" w:ascii="方正仿宋_GBK" w:eastAsia="方正仿宋_GBK"/>
        </w:rPr>
        <w:t>当出现符合《水库工程运行重大危险源清单》（附录A.3）、《水闸工程运行重大危险源清单》（附录A.4）中的任何一条要素的，可直接判定为重大危险源。</w:t>
      </w:r>
    </w:p>
    <w:p>
      <w:pPr>
        <w:pStyle w:val="31"/>
        <w:adjustRightInd w:val="0"/>
        <w:snapToGrid w:val="0"/>
        <w:spacing w:before="0" w:beforeAutospacing="0" w:after="0" w:afterAutospacing="0" w:line="440" w:lineRule="exact"/>
        <w:ind w:firstLine="480" w:firstLineChars="200"/>
        <w:jc w:val="both"/>
        <w:rPr>
          <w:rFonts w:ascii="方正仿宋_GBK" w:hAnsi="仿宋" w:eastAsia="方正仿宋_GBK"/>
        </w:rPr>
      </w:pPr>
      <w:r>
        <w:rPr>
          <w:rFonts w:hint="eastAsia" w:ascii="方正仿宋_GBK" w:hAnsi="仿宋" w:eastAsia="方正仿宋_GBK"/>
        </w:rPr>
        <w:t>当出现符合《水库工程运行一般危险源风险评价赋分表（指南）》（附录A.5）、《水闸工程运行一般危险源风险评价赋分表（指南）》（附录A</w:t>
      </w:r>
      <w:r>
        <w:rPr>
          <w:rFonts w:ascii="方正仿宋_GBK" w:hAnsi="仿宋" w:eastAsia="方正仿宋_GBK"/>
        </w:rPr>
        <w:t>.6</w:t>
      </w:r>
      <w:r>
        <w:rPr>
          <w:rFonts w:hint="eastAsia" w:ascii="方正仿宋_GBK" w:hAnsi="仿宋" w:eastAsia="方正仿宋_GBK"/>
        </w:rPr>
        <w:t>）中一般危险源的任何一条要素的，则判定为一般危险源。</w:t>
      </w:r>
    </w:p>
    <w:p>
      <w:pPr>
        <w:pStyle w:val="31"/>
        <w:adjustRightInd w:val="0"/>
        <w:snapToGrid w:val="0"/>
        <w:spacing w:before="0" w:beforeAutospacing="0" w:after="0" w:afterAutospacing="0" w:line="440" w:lineRule="exact"/>
        <w:ind w:firstLine="480" w:firstLineChars="200"/>
        <w:jc w:val="both"/>
        <w:rPr>
          <w:rFonts w:ascii="方正仿宋_GBK" w:hAnsi="仿宋" w:eastAsia="方正仿宋_GBK"/>
        </w:rPr>
      </w:pPr>
      <w:r>
        <w:rPr>
          <w:rFonts w:hint="eastAsia" w:ascii="方正仿宋_GBK" w:hAnsi="微软雅黑" w:eastAsia="方正仿宋_GBK"/>
        </w:rPr>
        <w:t>2.</w:t>
      </w:r>
      <w:r>
        <w:rPr>
          <w:rFonts w:hAnsi="微软雅黑"/>
        </w:rPr>
        <w:t>4</w:t>
      </w:r>
      <w:r>
        <w:rPr>
          <w:rFonts w:hint="eastAsia" w:ascii="方正仿宋_GBK" w:hAnsi="微软雅黑" w:eastAsia="方正仿宋_GBK"/>
        </w:rPr>
        <w:t>.3.3 水利水电工程（</w:t>
      </w:r>
      <w:bookmarkStart w:id="7" w:name="_Hlk117093063"/>
      <w:r>
        <w:rPr>
          <w:rFonts w:hint="eastAsia" w:ascii="方正仿宋_GBK" w:hAnsi="微软雅黑" w:eastAsia="方正仿宋_GBK"/>
        </w:rPr>
        <w:t>水电站、泵站</w:t>
      </w:r>
      <w:bookmarkEnd w:id="7"/>
      <w:r>
        <w:rPr>
          <w:rFonts w:hint="eastAsia" w:ascii="方正仿宋_GBK" w:hAnsi="微软雅黑" w:eastAsia="方正仿宋_GBK"/>
        </w:rPr>
        <w:t>）运行危险源</w:t>
      </w:r>
      <w:r>
        <w:rPr>
          <w:rFonts w:hint="eastAsia" w:ascii="方正仿宋_GBK" w:hAnsi="仿宋" w:eastAsia="方正仿宋_GBK"/>
        </w:rPr>
        <w:t>辨识</w:t>
      </w:r>
    </w:p>
    <w:p>
      <w:pPr>
        <w:pStyle w:val="31"/>
        <w:adjustRightInd w:val="0"/>
        <w:snapToGrid w:val="0"/>
        <w:spacing w:before="0" w:beforeAutospacing="0" w:after="0" w:afterAutospacing="0" w:line="440" w:lineRule="exact"/>
        <w:ind w:firstLine="480" w:firstLineChars="200"/>
        <w:jc w:val="both"/>
        <w:rPr>
          <w:rFonts w:ascii="方正仿宋_GBK" w:hAnsi="仿宋" w:eastAsia="方正仿宋_GBK"/>
        </w:rPr>
      </w:pPr>
      <w:r>
        <w:rPr>
          <w:rFonts w:hint="eastAsia" w:ascii="方正仿宋_GBK" w:hAnsi="仿宋" w:eastAsia="方正仿宋_GBK"/>
        </w:rPr>
        <w:t>当出现符合《水电站工程运行重大危险源清单》（附录A</w:t>
      </w:r>
      <w:r>
        <w:rPr>
          <w:rFonts w:ascii="方正仿宋_GBK" w:hAnsi="仿宋" w:eastAsia="方正仿宋_GBK"/>
        </w:rPr>
        <w:t>.7</w:t>
      </w:r>
      <w:r>
        <w:rPr>
          <w:rFonts w:hint="eastAsia" w:ascii="方正仿宋_GBK" w:hAnsi="仿宋" w:eastAsia="方正仿宋_GBK"/>
        </w:rPr>
        <w:t>）、《泵站工程运行重大危险源清单》（附录A</w:t>
      </w:r>
      <w:r>
        <w:rPr>
          <w:rFonts w:ascii="方正仿宋_GBK" w:hAnsi="仿宋" w:eastAsia="方正仿宋_GBK"/>
        </w:rPr>
        <w:t>.8</w:t>
      </w:r>
      <w:r>
        <w:rPr>
          <w:rFonts w:hint="eastAsia" w:ascii="方正仿宋_GBK" w:hAnsi="仿宋" w:eastAsia="方正仿宋_GBK"/>
        </w:rPr>
        <w:t>）中的任何一条要素的，可直接判定为重大危险源。</w:t>
      </w:r>
    </w:p>
    <w:p>
      <w:pPr>
        <w:pStyle w:val="31"/>
        <w:adjustRightInd w:val="0"/>
        <w:snapToGrid w:val="0"/>
        <w:spacing w:before="0" w:beforeAutospacing="0" w:after="0" w:afterAutospacing="0" w:line="440" w:lineRule="exact"/>
        <w:ind w:firstLine="480" w:firstLineChars="200"/>
        <w:jc w:val="both"/>
        <w:rPr>
          <w:rFonts w:ascii="方正仿宋_GBK" w:hAnsi="仿宋" w:eastAsia="方正仿宋_GBK"/>
        </w:rPr>
      </w:pPr>
      <w:r>
        <w:rPr>
          <w:rFonts w:hint="eastAsia" w:ascii="方正仿宋_GBK" w:hAnsi="仿宋" w:eastAsia="方正仿宋_GBK"/>
        </w:rPr>
        <w:t>当出现符合《水电站工程运行一般危险源风险评价赋分表（指南）》（附录A</w:t>
      </w:r>
      <w:r>
        <w:rPr>
          <w:rFonts w:ascii="方正仿宋_GBK" w:hAnsi="仿宋" w:eastAsia="方正仿宋_GBK"/>
        </w:rPr>
        <w:t>.9</w:t>
      </w:r>
      <w:r>
        <w:rPr>
          <w:rFonts w:hint="eastAsia" w:ascii="方正仿宋_GBK" w:hAnsi="仿宋" w:eastAsia="方正仿宋_GBK"/>
        </w:rPr>
        <w:t>）、《泵站工程运行一般危险源风险评价赋分表（指南）》（附录A</w:t>
      </w:r>
      <w:r>
        <w:rPr>
          <w:rFonts w:ascii="方正仿宋_GBK" w:hAnsi="仿宋" w:eastAsia="方正仿宋_GBK"/>
        </w:rPr>
        <w:t>.10</w:t>
      </w:r>
      <w:r>
        <w:rPr>
          <w:rFonts w:hint="eastAsia" w:ascii="方正仿宋_GBK" w:hAnsi="仿宋" w:eastAsia="方正仿宋_GBK"/>
        </w:rPr>
        <w:t>）中一般危险源的任何一条要素的，则判定为一般危险源。</w:t>
      </w:r>
    </w:p>
    <w:p>
      <w:pPr>
        <w:pStyle w:val="31"/>
        <w:adjustRightInd w:val="0"/>
        <w:snapToGrid w:val="0"/>
        <w:spacing w:before="0" w:beforeAutospacing="0" w:after="0" w:afterAutospacing="0" w:line="440" w:lineRule="exact"/>
        <w:ind w:firstLine="480" w:firstLineChars="200"/>
        <w:jc w:val="both"/>
        <w:rPr>
          <w:rFonts w:ascii="方正仿宋_GBK" w:hAnsi="仿宋" w:eastAsia="方正仿宋_GBK"/>
        </w:rPr>
      </w:pPr>
      <w:r>
        <w:rPr>
          <w:rFonts w:hint="eastAsia" w:ascii="方正仿宋_GBK" w:hAnsi="微软雅黑" w:eastAsia="方正仿宋_GBK"/>
        </w:rPr>
        <w:t>2.</w:t>
      </w:r>
      <w:r>
        <w:rPr>
          <w:rFonts w:hAnsi="微软雅黑"/>
        </w:rPr>
        <w:t>4</w:t>
      </w:r>
      <w:r>
        <w:rPr>
          <w:rFonts w:hint="eastAsia" w:ascii="方正仿宋_GBK" w:hAnsi="微软雅黑" w:eastAsia="方正仿宋_GBK"/>
        </w:rPr>
        <w:t>.3.</w:t>
      </w:r>
      <w:r>
        <w:rPr>
          <w:rFonts w:hint="eastAsia" w:ascii="方正仿宋_GBK" w:hAnsi="仿宋" w:eastAsia="方正仿宋_GBK"/>
        </w:rPr>
        <w:t>4 水利水电工程（堤防、淤地坝）运行危险源辨识</w:t>
      </w:r>
    </w:p>
    <w:p>
      <w:pPr>
        <w:pStyle w:val="31"/>
        <w:adjustRightInd w:val="0"/>
        <w:snapToGrid w:val="0"/>
        <w:spacing w:before="0" w:beforeAutospacing="0" w:after="0" w:afterAutospacing="0" w:line="440" w:lineRule="exact"/>
        <w:ind w:firstLine="480" w:firstLineChars="200"/>
        <w:jc w:val="both"/>
        <w:rPr>
          <w:rFonts w:ascii="方正仿宋_GBK" w:hAnsi="仿宋" w:eastAsia="方正仿宋_GBK"/>
        </w:rPr>
      </w:pPr>
      <w:r>
        <w:rPr>
          <w:rFonts w:hint="eastAsia" w:ascii="方正仿宋_GBK" w:hAnsi="仿宋" w:eastAsia="方正仿宋_GBK"/>
        </w:rPr>
        <w:t>当出现符合</w:t>
      </w:r>
      <w:r>
        <w:rPr>
          <w:rFonts w:hint="eastAsia" w:ascii="方正仿宋_GBK" w:hAnsi="微软雅黑" w:eastAsia="方正仿宋_GBK"/>
          <w:color w:val="000000"/>
        </w:rPr>
        <w:t>《堤防工程运行重大危险源清单》（附录A.11）、《淤地坝工程运行重大危险源清单》（附录A</w:t>
      </w:r>
      <w:r>
        <w:rPr>
          <w:rFonts w:ascii="方正仿宋_GBK" w:hAnsi="微软雅黑" w:eastAsia="方正仿宋_GBK"/>
          <w:color w:val="000000"/>
        </w:rPr>
        <w:t>.12</w:t>
      </w:r>
      <w:r>
        <w:rPr>
          <w:rFonts w:hint="eastAsia" w:ascii="方正仿宋_GBK" w:hAnsi="微软雅黑" w:eastAsia="方正仿宋_GBK"/>
          <w:color w:val="000000"/>
        </w:rPr>
        <w:t>）中</w:t>
      </w:r>
      <w:r>
        <w:rPr>
          <w:rFonts w:hint="eastAsia" w:ascii="方正仿宋_GBK" w:hAnsi="仿宋" w:eastAsia="方正仿宋_GBK"/>
        </w:rPr>
        <w:t>的任何一条要素的，可直接判定为重大危险源。</w:t>
      </w:r>
    </w:p>
    <w:p>
      <w:pPr>
        <w:pStyle w:val="31"/>
        <w:adjustRightInd w:val="0"/>
        <w:snapToGrid w:val="0"/>
        <w:spacing w:before="0" w:beforeAutospacing="0" w:after="0" w:afterAutospacing="0" w:line="440" w:lineRule="exact"/>
        <w:ind w:firstLine="480" w:firstLineChars="200"/>
        <w:jc w:val="both"/>
        <w:rPr>
          <w:rFonts w:ascii="方正仿宋_GBK" w:hAnsi="仿宋" w:eastAsia="方正仿宋_GBK"/>
        </w:rPr>
      </w:pPr>
      <w:r>
        <w:rPr>
          <w:rFonts w:hint="eastAsia" w:ascii="方正仿宋_GBK" w:hAnsi="仿宋" w:eastAsia="方正仿宋_GBK"/>
        </w:rPr>
        <w:t>当出现符合《堤防工程运行一般危险源风险评价赋分表（指南）》（附录A</w:t>
      </w:r>
      <w:r>
        <w:rPr>
          <w:rFonts w:ascii="方正仿宋_GBK" w:hAnsi="仿宋" w:eastAsia="方正仿宋_GBK"/>
        </w:rPr>
        <w:t>.13</w:t>
      </w:r>
      <w:r>
        <w:rPr>
          <w:rFonts w:hint="eastAsia" w:ascii="方正仿宋_GBK" w:hAnsi="仿宋" w:eastAsia="方正仿宋_GBK"/>
        </w:rPr>
        <w:t>）、《淤地坝工程运行一般危险源风险评价赋分表（指南）》（附录A</w:t>
      </w:r>
      <w:r>
        <w:rPr>
          <w:rFonts w:ascii="方正仿宋_GBK" w:hAnsi="仿宋" w:eastAsia="方正仿宋_GBK"/>
        </w:rPr>
        <w:t>.14</w:t>
      </w:r>
      <w:r>
        <w:rPr>
          <w:rFonts w:hint="eastAsia" w:ascii="方正仿宋_GBK" w:hAnsi="仿宋" w:eastAsia="方正仿宋_GBK"/>
        </w:rPr>
        <w:t>中一般危险源的任何一条要素的，则判定为一般危险源。</w:t>
      </w:r>
    </w:p>
    <w:p>
      <w:pPr>
        <w:pStyle w:val="31"/>
        <w:adjustRightInd w:val="0"/>
        <w:snapToGrid w:val="0"/>
        <w:spacing w:before="0" w:beforeAutospacing="0" w:after="0" w:afterAutospacing="0" w:line="440" w:lineRule="exact"/>
        <w:ind w:firstLine="480" w:firstLineChars="200"/>
        <w:jc w:val="both"/>
        <w:rPr>
          <w:rFonts w:ascii="方正仿宋_GBK" w:hAnsi="仿宋" w:eastAsia="方正仿宋_GBK"/>
        </w:rPr>
      </w:pPr>
      <w:r>
        <w:rPr>
          <w:rFonts w:hint="eastAsia" w:ascii="方正仿宋_GBK" w:hAnsi="仿宋" w:eastAsia="方正仿宋_GBK"/>
        </w:rPr>
        <w:t>2.</w:t>
      </w:r>
      <w:r>
        <w:rPr>
          <w:rFonts w:ascii="方正仿宋_GBK" w:hAnsi="仿宋" w:eastAsia="方正仿宋_GBK"/>
        </w:rPr>
        <w:t>4</w:t>
      </w:r>
      <w:r>
        <w:rPr>
          <w:rFonts w:hint="eastAsia" w:ascii="方正仿宋_GBK" w:hAnsi="仿宋" w:eastAsia="方正仿宋_GBK"/>
        </w:rPr>
        <w:t>.3.5</w:t>
      </w:r>
      <w:r>
        <w:rPr>
          <w:rFonts w:ascii="方正仿宋_GBK" w:hAnsi="仿宋" w:eastAsia="方正仿宋_GBK"/>
        </w:rPr>
        <w:t xml:space="preserve"> </w:t>
      </w:r>
      <w:r>
        <w:rPr>
          <w:rFonts w:hint="eastAsia" w:ascii="方正仿宋_GBK" w:hAnsi="仿宋" w:eastAsia="方正仿宋_GBK"/>
        </w:rPr>
        <w:t>其他水利生产经营单位辨识</w:t>
      </w:r>
    </w:p>
    <w:p>
      <w:pPr>
        <w:pStyle w:val="31"/>
        <w:adjustRightInd w:val="0"/>
        <w:snapToGrid w:val="0"/>
        <w:spacing w:before="0" w:beforeAutospacing="0" w:after="0" w:afterAutospacing="0" w:line="440" w:lineRule="exact"/>
        <w:ind w:firstLine="480" w:firstLineChars="200"/>
        <w:jc w:val="both"/>
        <w:rPr>
          <w:rFonts w:ascii="方正仿宋_GBK" w:hAnsi="仿宋" w:eastAsia="方正仿宋_GBK"/>
        </w:rPr>
      </w:pPr>
      <w:r>
        <w:rPr>
          <w:rFonts w:hint="eastAsia" w:ascii="方正仿宋_GBK" w:hAnsi="仿宋" w:eastAsia="方正仿宋_GBK"/>
        </w:rPr>
        <w:t>水利水电勘测设计单位、水文监测单位、水利后勤保障单位等其他水利生产经营单位在水利部无行业的危险源辨识与风险评价制度标准体系的情况下，按《重庆市生产经营单位构建风险分级管控和隐患排查治理双重预防机制指南（试行）》的通知（渝安办〔2022〕73号）要求，“有标对标、无标自判”的原则进行辨识，即：</w:t>
      </w:r>
    </w:p>
    <w:p>
      <w:pPr>
        <w:pStyle w:val="31"/>
        <w:adjustRightInd w:val="0"/>
        <w:snapToGrid w:val="0"/>
        <w:spacing w:before="0" w:beforeAutospacing="0" w:after="0" w:afterAutospacing="0" w:line="440" w:lineRule="exact"/>
        <w:ind w:firstLine="480" w:firstLineChars="200"/>
        <w:jc w:val="both"/>
        <w:rPr>
          <w:rFonts w:ascii="方正仿宋_GBK" w:eastAsia="方正仿宋_GBK"/>
        </w:rPr>
      </w:pPr>
      <w:r>
        <w:rPr>
          <w:rFonts w:hint="eastAsia" w:ascii="方正仿宋_GBK" w:hAnsi="仿宋" w:eastAsia="方正仿宋_GBK"/>
        </w:rPr>
        <w:t>(1)结合实际，针对确定的风险点，选择相应的危险源辨识方法，找到可能引</w:t>
      </w:r>
      <w:r>
        <w:rPr>
          <w:rFonts w:hint="eastAsia" w:ascii="方正仿宋_GBK" w:eastAsia="方正仿宋_GBK"/>
        </w:rPr>
        <w:t>发事故的“情况”，详见</w:t>
      </w:r>
      <w:bookmarkStart w:id="8" w:name="_Hlk117367356"/>
      <w:r>
        <w:rPr>
          <w:rFonts w:hint="eastAsia" w:ascii="方正仿宋_GBK" w:eastAsia="方正仿宋_GBK"/>
        </w:rPr>
        <w:t>《危险源辨识方法》</w:t>
      </w:r>
      <w:bookmarkEnd w:id="8"/>
      <w:r>
        <w:rPr>
          <w:rFonts w:hint="eastAsia" w:ascii="方正仿宋_GBK" w:eastAsia="方正仿宋_GBK"/>
        </w:rPr>
        <w:t>（附录</w:t>
      </w:r>
      <w:r>
        <w:rPr>
          <w:rFonts w:ascii="方正仿宋_GBK" w:eastAsia="方正仿宋_GBK"/>
        </w:rPr>
        <w:t>B.1</w:t>
      </w:r>
      <w:r>
        <w:rPr>
          <w:rFonts w:hint="eastAsia" w:ascii="方正仿宋_GBK" w:eastAsia="方正仿宋_GBK"/>
        </w:rPr>
        <w:t>）。主要包括:</w:t>
      </w:r>
    </w:p>
    <w:p>
      <w:pPr>
        <w:pStyle w:val="31"/>
        <w:adjustRightInd w:val="0"/>
        <w:snapToGrid w:val="0"/>
        <w:spacing w:before="0" w:beforeAutospacing="0" w:after="0" w:afterAutospacing="0" w:line="440" w:lineRule="exact"/>
        <w:ind w:firstLine="480" w:firstLineChars="200"/>
        <w:jc w:val="both"/>
        <w:rPr>
          <w:rFonts w:ascii="方正仿宋_GBK" w:eastAsia="方正仿宋_GBK"/>
        </w:rPr>
      </w:pPr>
      <w:r>
        <w:rPr>
          <w:rFonts w:hint="eastAsia" w:ascii="方正仿宋_GBK" w:eastAsia="方正仿宋_GBK"/>
        </w:rPr>
        <w:t>——一线从业(操作)人员宜采用头脑风暴法、经验法等;</w:t>
      </w:r>
    </w:p>
    <w:p>
      <w:pPr>
        <w:pStyle w:val="31"/>
        <w:adjustRightInd w:val="0"/>
        <w:snapToGrid w:val="0"/>
        <w:spacing w:before="0" w:beforeAutospacing="0" w:after="0" w:afterAutospacing="0" w:line="440" w:lineRule="exact"/>
        <w:ind w:firstLine="480" w:firstLineChars="200"/>
        <w:jc w:val="both"/>
        <w:rPr>
          <w:rFonts w:ascii="方正仿宋_GBK" w:eastAsia="方正仿宋_GBK"/>
        </w:rPr>
      </w:pPr>
      <w:r>
        <w:rPr>
          <w:rFonts w:hint="eastAsia" w:ascii="方正仿宋_GBK" w:eastAsia="方正仿宋_GBK"/>
        </w:rPr>
        <w:t>——设备设施、物料(原辅材料、危险物质)及其他危险源可采用安全检查表分析法(SCL)等;</w:t>
      </w:r>
    </w:p>
    <w:p>
      <w:pPr>
        <w:pStyle w:val="31"/>
        <w:adjustRightInd w:val="0"/>
        <w:snapToGrid w:val="0"/>
        <w:spacing w:before="0" w:beforeAutospacing="0" w:after="0" w:afterAutospacing="0" w:line="440" w:lineRule="exact"/>
        <w:ind w:firstLine="480" w:firstLineChars="200"/>
        <w:jc w:val="both"/>
        <w:rPr>
          <w:rFonts w:ascii="方正仿宋_GBK" w:hAnsi="仿宋" w:eastAsia="方正仿宋_GBK"/>
        </w:rPr>
      </w:pPr>
      <w:r>
        <w:rPr>
          <w:rFonts w:hint="eastAsia" w:ascii="方正仿宋_GBK" w:hAnsi="仿宋" w:eastAsia="方正仿宋_GBK"/>
        </w:rPr>
        <w:t>——作业活动宜采用作业危害分析法(JHA)等:</w:t>
      </w:r>
    </w:p>
    <w:p>
      <w:pPr>
        <w:pStyle w:val="31"/>
        <w:adjustRightInd w:val="0"/>
        <w:snapToGrid w:val="0"/>
        <w:spacing w:before="0" w:beforeAutospacing="0" w:after="0" w:afterAutospacing="0" w:line="440" w:lineRule="exact"/>
        <w:ind w:firstLine="480" w:firstLineChars="200"/>
        <w:jc w:val="both"/>
        <w:rPr>
          <w:rFonts w:ascii="方正仿宋_GBK" w:hAnsi="Times New Roman" w:eastAsia="方正仿宋_GBK" w:cs="Times New Roman"/>
        </w:rPr>
      </w:pPr>
      <w:r>
        <w:rPr>
          <w:rFonts w:hint="eastAsia" w:ascii="方正仿宋_GBK" w:hAnsi="Times New Roman" w:eastAsia="方正仿宋_GBK" w:cs="Times New Roman"/>
        </w:rPr>
        <w:t>——复杂的工艺宜采用危险与可操作性分析法(HAZOP)、事故树分析法(ETA)等。</w:t>
      </w:r>
    </w:p>
    <w:p>
      <w:pPr>
        <w:pStyle w:val="31"/>
        <w:adjustRightInd w:val="0"/>
        <w:snapToGrid w:val="0"/>
        <w:spacing w:before="0" w:beforeAutospacing="0" w:after="0" w:afterAutospacing="0" w:line="440" w:lineRule="exact"/>
        <w:ind w:firstLine="480" w:firstLineChars="200"/>
        <w:jc w:val="both"/>
        <w:rPr>
          <w:rFonts w:ascii="方正仿宋_GBK" w:hAnsi="Times New Roman" w:eastAsia="方正仿宋_GBK" w:cs="Times New Roman"/>
        </w:rPr>
      </w:pPr>
      <w:r>
        <w:rPr>
          <w:rFonts w:hint="eastAsia" w:ascii="方正仿宋_GBK" w:hAnsi="Times New Roman" w:eastAsia="方正仿宋_GBK" w:cs="Times New Roman"/>
        </w:rPr>
        <w:t>(2)水利生产经营单位各工作小组以部门(车间、项目部等)或班组(工段)为单元，组织全体员工按照风险点清单和确定的辨识方法，逐个对风险点进行危险源辨识，确定危险源存在的部位，存在的方式和危险程度，并分析可能存在的事故类型和导致事故发生的原因，形成相应辨识记录。</w:t>
      </w:r>
    </w:p>
    <w:p>
      <w:pPr>
        <w:pStyle w:val="31"/>
        <w:adjustRightInd w:val="0"/>
        <w:snapToGrid w:val="0"/>
        <w:spacing w:before="0" w:beforeAutospacing="0" w:after="0" w:afterAutospacing="0" w:line="440" w:lineRule="exact"/>
        <w:ind w:firstLine="480" w:firstLineChars="200"/>
        <w:jc w:val="both"/>
        <w:rPr>
          <w:rFonts w:ascii="方正仿宋_GBK" w:hAnsi="Times New Roman" w:eastAsia="方正仿宋_GBK" w:cs="Times New Roman"/>
        </w:rPr>
      </w:pPr>
      <w:r>
        <w:rPr>
          <w:rFonts w:hint="eastAsia" w:ascii="方正仿宋_GBK" w:hAnsi="Times New Roman" w:eastAsia="方正仿宋_GBK" w:cs="Times New Roman"/>
        </w:rPr>
        <w:t>(3)可能发生的事故类型的辨识可参照《企业职工伤亡事故分类》(GB6441-</w:t>
      </w:r>
      <w:r>
        <w:rPr>
          <w:rFonts w:ascii="方正仿宋_GBK" w:hAnsi="Times New Roman" w:eastAsia="方正仿宋_GBK" w:cs="Times New Roman"/>
        </w:rPr>
        <w:t>1986</w:t>
      </w:r>
      <w:r>
        <w:rPr>
          <w:rFonts w:hint="eastAsia" w:ascii="方正仿宋_GBK" w:hAnsi="Times New Roman" w:eastAsia="方正仿宋_GBK" w:cs="Times New Roman"/>
        </w:rPr>
        <w:t>)，综合考虑起因物、引起事故的诱导性原因、致害物、伤害方式等，确定危险因素造成的事故类别以及可能产生的次生、衍生事故：导致事故发生的原因即人的不安全行为、物的不安全状态、环境的不安全因素、管理上的缺陷辨识分析，具体可参照《生产过程危险和有害因素分类与代码》(GB/T13861-2022)的规定。</w:t>
      </w:r>
    </w:p>
    <w:p>
      <w:pPr>
        <w:pStyle w:val="31"/>
        <w:adjustRightInd w:val="0"/>
        <w:snapToGrid w:val="0"/>
        <w:spacing w:before="0" w:beforeAutospacing="0" w:after="0" w:afterAutospacing="0" w:line="440" w:lineRule="exact"/>
        <w:ind w:firstLine="480" w:firstLineChars="200"/>
        <w:jc w:val="both"/>
        <w:rPr>
          <w:rFonts w:ascii="方正仿宋_GBK" w:hAnsi="仿宋" w:eastAsia="方正仿宋_GBK"/>
        </w:rPr>
      </w:pPr>
      <w:r>
        <w:rPr>
          <w:rFonts w:hint="eastAsia" w:ascii="方正仿宋_GBK" w:hAnsi="Times New Roman" w:eastAsia="方正仿宋_GBK"/>
        </w:rPr>
        <w:t>（4）</w:t>
      </w:r>
      <w:bookmarkStart w:id="9" w:name="_Hlk117367573"/>
      <w:r>
        <w:rPr>
          <w:rFonts w:hint="eastAsia" w:ascii="方正仿宋_GBK" w:hAnsi="Times New Roman" w:eastAsia="方正仿宋_GBK"/>
        </w:rPr>
        <w:t>危险源的种类和辨识范围参见</w:t>
      </w:r>
      <w:bookmarkEnd w:id="9"/>
      <w:r>
        <w:rPr>
          <w:rFonts w:hint="eastAsia" w:ascii="方正仿宋_GBK" w:hAnsi="Times New Roman" w:eastAsia="方正仿宋_GBK"/>
        </w:rPr>
        <w:t>《危险源种类示例》（附录</w:t>
      </w:r>
      <w:r>
        <w:rPr>
          <w:rFonts w:ascii="方正仿宋_GBK" w:hAnsi="Times New Roman" w:eastAsia="方正仿宋_GBK"/>
        </w:rPr>
        <w:t>B.2</w:t>
      </w:r>
      <w:r>
        <w:rPr>
          <w:rFonts w:hint="eastAsia" w:ascii="方正仿宋_GBK" w:hAnsi="Times New Roman" w:eastAsia="方正仿宋_GBK"/>
        </w:rPr>
        <w:t>）、《危险源辨识范围示例》（附录</w:t>
      </w:r>
      <w:r>
        <w:rPr>
          <w:rFonts w:ascii="方正仿宋_GBK" w:hAnsi="Times New Roman" w:eastAsia="方正仿宋_GBK"/>
        </w:rPr>
        <w:t>B.3</w:t>
      </w:r>
      <w:r>
        <w:rPr>
          <w:rFonts w:hint="eastAsia" w:ascii="方正仿宋_GBK" w:hAnsi="Times New Roman" w:eastAsia="方正仿宋_GBK"/>
        </w:rPr>
        <w:t>）。</w:t>
      </w:r>
    </w:p>
    <w:p>
      <w:pPr>
        <w:pStyle w:val="3"/>
        <w:spacing w:line="440" w:lineRule="exact"/>
        <w:rPr>
          <w:rFonts w:ascii="黑体" w:hAnsi="黑体" w:eastAsia="黑体"/>
          <w:sz w:val="24"/>
          <w:szCs w:val="24"/>
        </w:rPr>
      </w:pPr>
      <w:bookmarkStart w:id="10" w:name="_Toc119336538"/>
      <w:r>
        <w:rPr>
          <w:rFonts w:hint="eastAsia" w:ascii="黑体" w:hAnsi="黑体" w:eastAsia="黑体"/>
          <w:sz w:val="24"/>
          <w:szCs w:val="24"/>
        </w:rPr>
        <w:t>2.</w:t>
      </w:r>
      <w:r>
        <w:rPr>
          <w:rFonts w:ascii="黑体" w:hAnsi="黑体" w:eastAsia="黑体"/>
          <w:sz w:val="24"/>
          <w:szCs w:val="24"/>
        </w:rPr>
        <w:t xml:space="preserve">5 </w:t>
      </w:r>
      <w:r>
        <w:rPr>
          <w:rFonts w:hint="eastAsia" w:ascii="黑体" w:hAnsi="黑体" w:eastAsia="黑体"/>
          <w:sz w:val="24"/>
          <w:szCs w:val="24"/>
        </w:rPr>
        <w:t>危险源确认</w:t>
      </w:r>
      <w:bookmarkEnd w:id="10"/>
    </w:p>
    <w:p>
      <w:pPr>
        <w:spacing w:line="440" w:lineRule="exact"/>
        <w:ind w:firstLine="480" w:firstLineChars="200"/>
        <w:rPr>
          <w:sz w:val="24"/>
          <w:szCs w:val="24"/>
        </w:rPr>
      </w:pPr>
      <w:r>
        <w:rPr>
          <w:rFonts w:hint="eastAsia"/>
          <w:sz w:val="24"/>
          <w:szCs w:val="24"/>
        </w:rPr>
        <w:t>根据危险源辨识结果，汇总并制定危险源清单。</w:t>
      </w:r>
      <w:bookmarkStart w:id="11" w:name="_Hlk117429909"/>
      <w:r>
        <w:rPr>
          <w:rFonts w:hint="eastAsia"/>
          <w:sz w:val="24"/>
          <w:szCs w:val="24"/>
        </w:rPr>
        <w:t>危险源清单应包括危险源类别、项目、作业区域（步骤/部位/环节）、危险源名称、事故诱因、可能导致的事故类型、危险源级别、责任人等基本信息</w:t>
      </w:r>
      <w:bookmarkEnd w:id="11"/>
      <w:r>
        <w:rPr>
          <w:rFonts w:hint="eastAsia"/>
          <w:sz w:val="24"/>
          <w:szCs w:val="24"/>
        </w:rPr>
        <w:t>。危险源清单参见《危险源清单》（附录B</w:t>
      </w:r>
      <w:r>
        <w:rPr>
          <w:sz w:val="24"/>
          <w:szCs w:val="24"/>
        </w:rPr>
        <w:t>.4</w:t>
      </w:r>
      <w:r>
        <w:rPr>
          <w:rFonts w:hint="eastAsia"/>
          <w:sz w:val="24"/>
          <w:szCs w:val="24"/>
        </w:rPr>
        <w:t>）。</w:t>
      </w:r>
    </w:p>
    <w:p>
      <w:pPr>
        <w:pStyle w:val="3"/>
        <w:spacing w:line="440" w:lineRule="exact"/>
        <w:rPr>
          <w:rFonts w:ascii="黑体" w:hAnsi="黑体" w:eastAsia="黑体"/>
          <w:sz w:val="24"/>
          <w:szCs w:val="24"/>
        </w:rPr>
      </w:pPr>
      <w:bookmarkStart w:id="12" w:name="_Toc119336539"/>
      <w:r>
        <w:rPr>
          <w:rFonts w:hint="eastAsia" w:ascii="黑体" w:hAnsi="黑体" w:eastAsia="黑体"/>
          <w:sz w:val="24"/>
          <w:szCs w:val="24"/>
        </w:rPr>
        <w:t>2.</w:t>
      </w:r>
      <w:r>
        <w:rPr>
          <w:rFonts w:ascii="黑体" w:hAnsi="黑体" w:eastAsia="黑体"/>
          <w:sz w:val="24"/>
          <w:szCs w:val="24"/>
        </w:rPr>
        <w:t>6</w:t>
      </w:r>
      <w:r>
        <w:rPr>
          <w:rFonts w:hint="eastAsia" w:ascii="黑体" w:hAnsi="黑体" w:eastAsia="黑体"/>
          <w:sz w:val="24"/>
          <w:szCs w:val="24"/>
        </w:rPr>
        <w:t xml:space="preserve"> 动态更新</w:t>
      </w:r>
      <w:bookmarkEnd w:id="12"/>
    </w:p>
    <w:p>
      <w:pPr>
        <w:spacing w:line="440" w:lineRule="exact"/>
        <w:ind w:firstLine="480" w:firstLineChars="200"/>
        <w:rPr>
          <w:sz w:val="24"/>
          <w:szCs w:val="24"/>
        </w:rPr>
      </w:pPr>
      <w:r>
        <w:rPr>
          <w:rFonts w:hint="eastAsia"/>
          <w:sz w:val="24"/>
          <w:szCs w:val="24"/>
        </w:rPr>
        <w:t>2.</w:t>
      </w:r>
      <w:r>
        <w:rPr>
          <w:sz w:val="24"/>
          <w:szCs w:val="24"/>
        </w:rPr>
        <w:t>6</w:t>
      </w:r>
      <w:r>
        <w:rPr>
          <w:rFonts w:hint="eastAsia"/>
          <w:sz w:val="24"/>
          <w:szCs w:val="24"/>
        </w:rPr>
        <w:t>.1 工作周期</w:t>
      </w:r>
    </w:p>
    <w:p>
      <w:pPr>
        <w:spacing w:line="440" w:lineRule="exact"/>
        <w:ind w:firstLine="480" w:firstLineChars="200"/>
        <w:rPr>
          <w:sz w:val="24"/>
          <w:szCs w:val="24"/>
        </w:rPr>
      </w:pPr>
      <w:r>
        <w:rPr>
          <w:rFonts w:hint="eastAsia"/>
          <w:sz w:val="24"/>
          <w:szCs w:val="24"/>
        </w:rPr>
        <w:t>2.</w:t>
      </w:r>
      <w:r>
        <w:rPr>
          <w:sz w:val="24"/>
          <w:szCs w:val="24"/>
        </w:rPr>
        <w:t>6</w:t>
      </w:r>
      <w:r>
        <w:rPr>
          <w:rFonts w:hint="eastAsia"/>
          <w:sz w:val="24"/>
          <w:szCs w:val="24"/>
        </w:rPr>
        <w:t>.1.1 水利生产经营单位要结合本单位实际，按制定的危险源辨识与风险评价管理制度，合理确定工作周期，定期辨识危险源。</w:t>
      </w:r>
    </w:p>
    <w:p>
      <w:pPr>
        <w:spacing w:line="440" w:lineRule="exact"/>
        <w:ind w:firstLine="480" w:firstLineChars="200"/>
        <w:rPr>
          <w:sz w:val="24"/>
          <w:szCs w:val="24"/>
        </w:rPr>
      </w:pPr>
      <w:r>
        <w:rPr>
          <w:rFonts w:hint="eastAsia"/>
          <w:sz w:val="24"/>
          <w:szCs w:val="24"/>
        </w:rPr>
        <w:t>2.</w:t>
      </w:r>
      <w:r>
        <w:rPr>
          <w:sz w:val="24"/>
          <w:szCs w:val="24"/>
        </w:rPr>
        <w:t>6</w:t>
      </w:r>
      <w:r>
        <w:rPr>
          <w:rFonts w:hint="eastAsia"/>
          <w:sz w:val="24"/>
          <w:szCs w:val="24"/>
        </w:rPr>
        <w:t>.1.2 水利生产经营单位原则上每季度至少组织开展1次危险源辨识工作。</w:t>
      </w:r>
    </w:p>
    <w:p>
      <w:pPr>
        <w:spacing w:line="440" w:lineRule="exact"/>
        <w:ind w:firstLine="480" w:firstLineChars="200"/>
        <w:rPr>
          <w:sz w:val="24"/>
          <w:szCs w:val="24"/>
        </w:rPr>
      </w:pPr>
      <w:r>
        <w:rPr>
          <w:rFonts w:hint="eastAsia"/>
          <w:sz w:val="24"/>
          <w:szCs w:val="24"/>
        </w:rPr>
        <w:t>2.</w:t>
      </w:r>
      <w:r>
        <w:rPr>
          <w:sz w:val="24"/>
          <w:szCs w:val="24"/>
        </w:rPr>
        <w:t>6</w:t>
      </w:r>
      <w:r>
        <w:rPr>
          <w:rFonts w:hint="eastAsia"/>
          <w:sz w:val="24"/>
          <w:szCs w:val="24"/>
        </w:rPr>
        <w:t>.1.3 水利水电工程施工危险源辨识分为开工前和施工期两个阶段。开工前，应组织开展危险源辨识工作；施工期，应动态辨识，实时更新。</w:t>
      </w:r>
    </w:p>
    <w:p>
      <w:pPr>
        <w:spacing w:line="440" w:lineRule="exact"/>
        <w:ind w:firstLine="480" w:firstLineChars="200"/>
        <w:rPr>
          <w:sz w:val="24"/>
          <w:szCs w:val="24"/>
        </w:rPr>
      </w:pPr>
      <w:bookmarkStart w:id="13" w:name="_Hlk84770803"/>
      <w:r>
        <w:rPr>
          <w:rFonts w:hint="eastAsia"/>
          <w:sz w:val="24"/>
          <w:szCs w:val="24"/>
        </w:rPr>
        <w:t>（1）开工前，项目法人应组织其他参建单位研究制定危险源辨识与风险管理制度，明确监理、施工、设计等单位的职责、辨识范围、流程、方法等；施工单位应按要求组织开展本标段危险源辨识及风险等级评价工作，并将成果在报送开工申请时一并报送项目法人和监理单位。</w:t>
      </w:r>
    </w:p>
    <w:bookmarkEnd w:id="13"/>
    <w:p>
      <w:pPr>
        <w:spacing w:line="440" w:lineRule="exact"/>
        <w:ind w:firstLine="480" w:firstLineChars="200"/>
        <w:rPr>
          <w:sz w:val="24"/>
          <w:szCs w:val="24"/>
        </w:rPr>
      </w:pPr>
      <w:r>
        <w:rPr>
          <w:rFonts w:hint="eastAsia"/>
          <w:sz w:val="24"/>
          <w:szCs w:val="24"/>
        </w:rPr>
        <w:t>（2）施工期,</w:t>
      </w:r>
      <w:r>
        <w:rPr>
          <w:sz w:val="24"/>
          <w:szCs w:val="24"/>
        </w:rPr>
        <w:t xml:space="preserve"> </w:t>
      </w:r>
      <w:r>
        <w:rPr>
          <w:rFonts w:hint="eastAsia"/>
          <w:sz w:val="24"/>
          <w:szCs w:val="24"/>
        </w:rPr>
        <w:t>各单位应对危险源实施动态管理，及时掌握危险源及风险状态和变化趋势，实时更新危险源及风险等级，并根据危险源及风险状态制定针对性防控措施。</w:t>
      </w:r>
    </w:p>
    <w:p>
      <w:pPr>
        <w:spacing w:line="440" w:lineRule="exact"/>
        <w:ind w:firstLine="480" w:firstLineChars="200"/>
        <w:rPr>
          <w:sz w:val="24"/>
          <w:szCs w:val="24"/>
        </w:rPr>
      </w:pPr>
      <w:r>
        <w:rPr>
          <w:rFonts w:hint="eastAsia"/>
          <w:sz w:val="24"/>
          <w:szCs w:val="24"/>
        </w:rPr>
        <w:t>2.</w:t>
      </w:r>
      <w:r>
        <w:rPr>
          <w:sz w:val="24"/>
          <w:szCs w:val="24"/>
        </w:rPr>
        <w:t>6</w:t>
      </w:r>
      <w:r>
        <w:rPr>
          <w:rFonts w:hint="eastAsia"/>
          <w:sz w:val="24"/>
          <w:szCs w:val="24"/>
        </w:rPr>
        <w:t>.1.4水库、水闸、泵站、电站管理单位至少每个季度开展1次（含汛前、汛后），对危险源实施动态管理，及时掌握危险源的状态及其风险的变化趋势，更新危险源及其风险等级。</w:t>
      </w:r>
    </w:p>
    <w:p>
      <w:pPr>
        <w:spacing w:line="440" w:lineRule="exact"/>
        <w:ind w:firstLine="480" w:firstLineChars="200"/>
        <w:rPr>
          <w:sz w:val="24"/>
          <w:szCs w:val="24"/>
        </w:rPr>
      </w:pPr>
      <w:r>
        <w:rPr>
          <w:rFonts w:hint="eastAsia"/>
          <w:sz w:val="24"/>
          <w:szCs w:val="24"/>
        </w:rPr>
        <w:t>2.</w:t>
      </w:r>
      <w:r>
        <w:rPr>
          <w:sz w:val="24"/>
          <w:szCs w:val="24"/>
        </w:rPr>
        <w:t>6</w:t>
      </w:r>
      <w:r>
        <w:rPr>
          <w:rFonts w:hint="eastAsia"/>
          <w:sz w:val="24"/>
          <w:szCs w:val="24"/>
        </w:rPr>
        <w:t>.2 动态更新</w:t>
      </w:r>
    </w:p>
    <w:p>
      <w:pPr>
        <w:spacing w:line="440" w:lineRule="exact"/>
        <w:ind w:firstLine="480" w:firstLineChars="200"/>
        <w:rPr>
          <w:sz w:val="24"/>
          <w:szCs w:val="24"/>
        </w:rPr>
      </w:pPr>
      <w:r>
        <w:rPr>
          <w:rFonts w:hint="eastAsia"/>
          <w:sz w:val="24"/>
          <w:szCs w:val="24"/>
        </w:rPr>
        <w:t>当出现以下情况时，应及时开展危险源动态辨识并更新信息，依据《构建水利安全生产风险管控“六项机制”的实施意见》（水监督〔2022〕309号）及《重庆市生产经营单位构建风险分级管控和隐患排查治理双重预防机制指南（试行）》（渝安办〔2022〕73号），“新、变、危”时必再辨。在生产经营活动过程中，出现可能引起风险发生较大变化的因素时，水利生产经营单位及其各部门或下属单位(班组)必须组织针对性辨识。</w:t>
      </w:r>
    </w:p>
    <w:p>
      <w:pPr>
        <w:spacing w:line="440" w:lineRule="exact"/>
        <w:ind w:firstLine="480" w:firstLineChars="200"/>
        <w:rPr>
          <w:sz w:val="24"/>
          <w:szCs w:val="24"/>
        </w:rPr>
      </w:pPr>
      <w:r>
        <w:rPr>
          <w:rFonts w:hint="eastAsia"/>
          <w:sz w:val="24"/>
          <w:szCs w:val="24"/>
        </w:rPr>
        <w:t>2.</w:t>
      </w:r>
      <w:r>
        <w:rPr>
          <w:sz w:val="24"/>
          <w:szCs w:val="24"/>
        </w:rPr>
        <w:t>6</w:t>
      </w:r>
      <w:r>
        <w:rPr>
          <w:rFonts w:hint="eastAsia"/>
          <w:sz w:val="24"/>
          <w:szCs w:val="24"/>
        </w:rPr>
        <w:t>.2.1 新：指采用新技术、新工艺、新设备、新材料；有新产品、新增重大活动和重要时段、节点时要针对性开展风险辨识。</w:t>
      </w:r>
    </w:p>
    <w:p>
      <w:pPr>
        <w:spacing w:line="440" w:lineRule="exact"/>
        <w:ind w:firstLine="480" w:firstLineChars="200"/>
        <w:rPr>
          <w:sz w:val="24"/>
          <w:szCs w:val="24"/>
        </w:rPr>
      </w:pPr>
      <w:r>
        <w:rPr>
          <w:rFonts w:hint="eastAsia"/>
          <w:sz w:val="24"/>
          <w:szCs w:val="24"/>
        </w:rPr>
        <w:t>2.</w:t>
      </w:r>
      <w:r>
        <w:rPr>
          <w:sz w:val="24"/>
          <w:szCs w:val="24"/>
        </w:rPr>
        <w:t>6</w:t>
      </w:r>
      <w:r>
        <w:rPr>
          <w:rFonts w:hint="eastAsia"/>
          <w:sz w:val="24"/>
          <w:szCs w:val="24"/>
        </w:rPr>
        <w:t>.2.3 变：当相关法律法规、标准规范，生产工艺、作业内容、设备、环境(含重大气象条件)、人员，组织机构、原则、理念等影响生产经营的内、外部因素发生较大变动，突发情况（</w:t>
      </w:r>
      <w:r>
        <w:rPr>
          <w:rFonts w:hint="eastAsia" w:hAnsi="微软雅黑" w:cs="宋体"/>
          <w:sz w:val="24"/>
          <w:szCs w:val="24"/>
        </w:rPr>
        <w:t>包括生产安全事故）</w:t>
      </w:r>
      <w:r>
        <w:rPr>
          <w:rFonts w:hint="eastAsia"/>
          <w:sz w:val="24"/>
          <w:szCs w:val="24"/>
        </w:rPr>
        <w:t>发生，以及停(复)工、临时作业、检维修、非常态试验监测等要针对性开展风险辨识。</w:t>
      </w:r>
    </w:p>
    <w:p>
      <w:pPr>
        <w:spacing w:line="440" w:lineRule="exact"/>
        <w:ind w:firstLine="480" w:firstLineChars="200"/>
        <w:rPr>
          <w:sz w:val="24"/>
          <w:szCs w:val="24"/>
        </w:rPr>
      </w:pPr>
      <w:r>
        <w:rPr>
          <w:rFonts w:hint="eastAsia"/>
          <w:sz w:val="24"/>
          <w:szCs w:val="24"/>
        </w:rPr>
        <w:t>2.</w:t>
      </w:r>
      <w:r>
        <w:rPr>
          <w:sz w:val="24"/>
          <w:szCs w:val="24"/>
        </w:rPr>
        <w:t>6</w:t>
      </w:r>
      <w:r>
        <w:rPr>
          <w:rFonts w:hint="eastAsia"/>
          <w:sz w:val="24"/>
          <w:szCs w:val="24"/>
        </w:rPr>
        <w:t>.2.3 危：风险管控发生失控时的危险状态、危险作业前等针对性开展风险辨识。</w:t>
      </w:r>
    </w:p>
    <w:p>
      <w:pPr>
        <w:pStyle w:val="2"/>
        <w:spacing w:line="440" w:lineRule="exact"/>
        <w:rPr>
          <w:rFonts w:ascii="黑体" w:hAnsi="黑体" w:eastAsia="黑体"/>
          <w:b/>
          <w:sz w:val="24"/>
          <w:szCs w:val="24"/>
        </w:rPr>
      </w:pPr>
      <w:bookmarkStart w:id="14" w:name="_Toc119336540"/>
      <w:r>
        <w:rPr>
          <w:rFonts w:hint="eastAsia" w:ascii="黑体" w:hAnsi="黑体" w:eastAsia="黑体"/>
          <w:b/>
          <w:sz w:val="24"/>
          <w:szCs w:val="24"/>
        </w:rPr>
        <w:t>3 风险研判</w:t>
      </w:r>
      <w:bookmarkEnd w:id="14"/>
    </w:p>
    <w:p>
      <w:pPr>
        <w:pStyle w:val="31"/>
        <w:adjustRightInd w:val="0"/>
        <w:snapToGrid w:val="0"/>
        <w:spacing w:before="0" w:beforeAutospacing="0" w:after="0" w:afterAutospacing="0" w:line="440" w:lineRule="exact"/>
        <w:ind w:firstLine="480" w:firstLineChars="200"/>
        <w:jc w:val="both"/>
        <w:rPr>
          <w:rFonts w:ascii="方正仿宋_GBK" w:eastAsia="方正仿宋_GBK"/>
        </w:rPr>
      </w:pPr>
      <w:r>
        <w:rPr>
          <w:rFonts w:hint="eastAsia" w:ascii="方正仿宋_GBK" w:eastAsia="方正仿宋_GBK"/>
        </w:rPr>
        <w:t>危险源风险评价是对危险源在一定触发因素作用下导致事故发生的可能性及危害程度进行调查、分析、论证等，以判断危险源风险程度，确定风险等级的过程。</w:t>
      </w:r>
    </w:p>
    <w:p>
      <w:pPr>
        <w:pStyle w:val="3"/>
        <w:spacing w:line="440" w:lineRule="exact"/>
        <w:rPr>
          <w:rFonts w:ascii="黑体" w:hAnsi="黑体" w:eastAsia="黑体"/>
          <w:sz w:val="24"/>
          <w:szCs w:val="24"/>
        </w:rPr>
      </w:pPr>
      <w:bookmarkStart w:id="15" w:name="_Toc119336541"/>
      <w:r>
        <w:rPr>
          <w:rFonts w:hint="eastAsia" w:ascii="黑体" w:hAnsi="黑体" w:eastAsia="黑体"/>
          <w:sz w:val="24"/>
          <w:szCs w:val="24"/>
        </w:rPr>
        <w:t>3.1</w:t>
      </w:r>
      <w:r>
        <w:rPr>
          <w:rFonts w:ascii="黑体" w:hAnsi="黑体" w:eastAsia="黑体"/>
          <w:sz w:val="24"/>
          <w:szCs w:val="24"/>
        </w:rPr>
        <w:t xml:space="preserve"> </w:t>
      </w:r>
      <w:r>
        <w:rPr>
          <w:rFonts w:hint="eastAsia" w:ascii="黑体" w:hAnsi="黑体" w:eastAsia="黑体"/>
          <w:sz w:val="24"/>
          <w:szCs w:val="24"/>
        </w:rPr>
        <w:t>风险等级</w:t>
      </w:r>
      <w:bookmarkEnd w:id="15"/>
    </w:p>
    <w:p>
      <w:pPr>
        <w:spacing w:line="440" w:lineRule="exact"/>
        <w:ind w:firstLine="480" w:firstLineChars="200"/>
        <w:rPr>
          <w:sz w:val="24"/>
          <w:szCs w:val="24"/>
        </w:rPr>
      </w:pPr>
      <w:r>
        <w:rPr>
          <w:rFonts w:hint="eastAsia" w:hAnsi="微软雅黑" w:cs="宋体"/>
          <w:sz w:val="24"/>
          <w:szCs w:val="24"/>
        </w:rPr>
        <w:t>危险源的风险评价分为四级，</w:t>
      </w:r>
      <w:r>
        <w:rPr>
          <w:rFonts w:hint="eastAsia"/>
          <w:sz w:val="24"/>
          <w:szCs w:val="24"/>
        </w:rPr>
        <w:t>从高到低划分为重大风险（1级）、较大风险（2级）、一般风险（3级）和低风险（4级），分别用红、橙、黄、蓝四种颜色标示。</w:t>
      </w:r>
    </w:p>
    <w:p>
      <w:pPr>
        <w:spacing w:line="440" w:lineRule="exact"/>
        <w:ind w:firstLine="480" w:firstLineChars="200"/>
        <w:rPr>
          <w:sz w:val="24"/>
          <w:szCs w:val="24"/>
          <w:shd w:val="pct10" w:color="auto" w:fill="FFFFFF"/>
        </w:rPr>
      </w:pPr>
      <w:r>
        <w:rPr>
          <w:rFonts w:hint="eastAsia"/>
          <w:sz w:val="24"/>
          <w:szCs w:val="24"/>
        </w:rPr>
        <w:t>以区域或风险点进行危险源辨识时，则区域或风险点的风险等级根据事故发生的可能性和严重性综合确定。风险点存在多种危险源，其等级常按风险点内的危险源最高风险等级确定，必要时可将多种危险源的风险综合分析评定。</w:t>
      </w:r>
    </w:p>
    <w:p>
      <w:pPr>
        <w:pStyle w:val="3"/>
        <w:spacing w:line="440" w:lineRule="exact"/>
        <w:rPr>
          <w:rFonts w:ascii="黑体" w:hAnsi="黑体" w:eastAsia="黑体"/>
          <w:sz w:val="24"/>
          <w:szCs w:val="24"/>
        </w:rPr>
      </w:pPr>
      <w:bookmarkStart w:id="16" w:name="_Toc119336542"/>
      <w:r>
        <w:rPr>
          <w:rFonts w:hint="eastAsia" w:ascii="黑体" w:hAnsi="黑体" w:eastAsia="黑体"/>
          <w:sz w:val="24"/>
          <w:szCs w:val="24"/>
        </w:rPr>
        <w:t>3.2 评价方法</w:t>
      </w:r>
      <w:bookmarkEnd w:id="16"/>
    </w:p>
    <w:p>
      <w:pPr>
        <w:spacing w:line="440" w:lineRule="exact"/>
        <w:ind w:firstLine="480" w:firstLineChars="200"/>
        <w:rPr>
          <w:sz w:val="24"/>
          <w:szCs w:val="24"/>
        </w:rPr>
      </w:pPr>
      <w:r>
        <w:rPr>
          <w:rFonts w:hint="eastAsia"/>
          <w:sz w:val="24"/>
          <w:szCs w:val="24"/>
        </w:rPr>
        <w:t>3.2.1危险源的风险评价应考虑危险发生的可能性，暴露于危险环境频率和持续时间，储存物质的危险特性、数量以及仓储条件，环境、设备的危险特性以及可能发生事故的后果严重性等因素，综合分析判定风险等级。危险源风险评价方法主要有直接评定法、作业条件危险性评价法（LEC法）、风险矩阵法（LS法）、作业危害分析法（JHA法）、《危险化学品重大危险源辨识》（GB18218-2018）等。</w:t>
      </w:r>
    </w:p>
    <w:p>
      <w:pPr>
        <w:spacing w:line="440" w:lineRule="exact"/>
        <w:ind w:firstLine="480" w:firstLineChars="200"/>
        <w:rPr>
          <w:sz w:val="24"/>
          <w:szCs w:val="24"/>
        </w:rPr>
      </w:pPr>
      <w:r>
        <w:rPr>
          <w:rFonts w:hint="eastAsia"/>
          <w:sz w:val="24"/>
          <w:szCs w:val="24"/>
        </w:rPr>
        <w:t>3.2.2重大危险源的风险等级直接评定为重大风险。</w:t>
      </w:r>
    </w:p>
    <w:p>
      <w:pPr>
        <w:spacing w:line="440" w:lineRule="exact"/>
        <w:ind w:firstLine="480" w:firstLineChars="200"/>
        <w:rPr>
          <w:sz w:val="24"/>
          <w:szCs w:val="24"/>
        </w:rPr>
      </w:pPr>
      <w:r>
        <w:rPr>
          <w:rFonts w:hint="eastAsia"/>
          <w:sz w:val="24"/>
          <w:szCs w:val="24"/>
        </w:rPr>
        <w:t>3.2.3危险源风险等级评价主要对一般危险源进行风险评价。</w:t>
      </w:r>
    </w:p>
    <w:p>
      <w:pPr>
        <w:spacing w:line="440" w:lineRule="exact"/>
        <w:ind w:firstLine="480" w:firstLineChars="200"/>
        <w:rPr>
          <w:sz w:val="24"/>
          <w:szCs w:val="24"/>
        </w:rPr>
      </w:pPr>
      <w:r>
        <w:rPr>
          <w:rFonts w:hint="eastAsia"/>
          <w:sz w:val="24"/>
          <w:szCs w:val="24"/>
        </w:rPr>
        <w:t>3.2.4储存、使用有危险化学品的管理单位，应根据单元划分及实际储存、使用的设计最大量依据《危险化学品重大危险源辨识》（GB18218-2018）进行辨识指标计算，评定是否构成危险化学品重大危险源，如构成危险物品重大危险源，要按照规定同时报有关应急管理部门备案。</w:t>
      </w:r>
    </w:p>
    <w:p>
      <w:pPr>
        <w:spacing w:line="440" w:lineRule="exact"/>
        <w:ind w:firstLine="480" w:firstLineChars="200"/>
        <w:rPr>
          <w:sz w:val="24"/>
          <w:szCs w:val="24"/>
        </w:rPr>
      </w:pPr>
      <w:r>
        <w:rPr>
          <w:rFonts w:hint="eastAsia"/>
          <w:sz w:val="24"/>
          <w:szCs w:val="24"/>
        </w:rPr>
        <w:t>3.2.5存在重大事故隐患的危险源，其风险等级直接评定为重大风险。依据</w:t>
      </w:r>
      <w:bookmarkStart w:id="17" w:name="_Hlk117238972"/>
      <w:r>
        <w:rPr>
          <w:rFonts w:hint="eastAsia"/>
          <w:sz w:val="24"/>
          <w:szCs w:val="24"/>
        </w:rPr>
        <w:t>《水利部办公厅关于印发水利工程生产安全重大事故隐患清单指南(2021版）的通知》（办监督〔2021〕364号）</w:t>
      </w:r>
      <w:bookmarkEnd w:id="17"/>
      <w:r>
        <w:rPr>
          <w:rFonts w:hint="eastAsia"/>
          <w:sz w:val="24"/>
          <w:szCs w:val="24"/>
        </w:rPr>
        <w:t>，水利生产经营单位应组织技术管理部门、安全管理部门等有关人员及有关技术骨干，结合单位实际，采取认真查阅有关文字记录资料、影像资料和会议记录，并进行现场核实的方式，对照清单直接判定是否存在重大事故隐患，如存在重大事故隐患，其风险等级直接评定为重大风险。</w:t>
      </w:r>
      <w:bookmarkStart w:id="18" w:name="_Hlk117367727"/>
      <w:r>
        <w:rPr>
          <w:rFonts w:hint="eastAsia"/>
          <w:sz w:val="24"/>
          <w:szCs w:val="24"/>
        </w:rPr>
        <w:t>《水利工程生产安全重大事故隐患清单》参见附录C</w:t>
      </w:r>
      <w:bookmarkEnd w:id="18"/>
      <w:r>
        <w:rPr>
          <w:rFonts w:hint="eastAsia"/>
          <w:sz w:val="24"/>
          <w:szCs w:val="24"/>
        </w:rPr>
        <w:t>。</w:t>
      </w:r>
    </w:p>
    <w:p>
      <w:pPr>
        <w:pStyle w:val="3"/>
        <w:spacing w:line="440" w:lineRule="exact"/>
        <w:rPr>
          <w:rFonts w:ascii="黑体" w:hAnsi="黑体" w:eastAsia="黑体"/>
          <w:sz w:val="24"/>
          <w:szCs w:val="24"/>
        </w:rPr>
      </w:pPr>
      <w:bookmarkStart w:id="19" w:name="_Toc119336543"/>
      <w:r>
        <w:rPr>
          <w:rFonts w:hint="eastAsia" w:ascii="黑体" w:hAnsi="黑体" w:eastAsia="黑体"/>
          <w:sz w:val="24"/>
          <w:szCs w:val="24"/>
        </w:rPr>
        <w:t>3.3</w:t>
      </w:r>
      <w:r>
        <w:rPr>
          <w:rFonts w:ascii="黑体" w:hAnsi="黑体" w:eastAsia="黑体"/>
          <w:sz w:val="24"/>
          <w:szCs w:val="24"/>
        </w:rPr>
        <w:t xml:space="preserve"> </w:t>
      </w:r>
      <w:r>
        <w:rPr>
          <w:rFonts w:hint="eastAsia" w:ascii="黑体" w:hAnsi="黑体" w:eastAsia="黑体"/>
          <w:sz w:val="24"/>
          <w:szCs w:val="24"/>
        </w:rPr>
        <w:t>评价实施</w:t>
      </w:r>
      <w:bookmarkEnd w:id="19"/>
    </w:p>
    <w:p>
      <w:pPr>
        <w:spacing w:line="440" w:lineRule="exact"/>
        <w:ind w:firstLine="607" w:firstLineChars="253"/>
        <w:rPr>
          <w:sz w:val="24"/>
          <w:szCs w:val="24"/>
        </w:rPr>
      </w:pPr>
      <w:r>
        <w:rPr>
          <w:rFonts w:hint="eastAsia"/>
          <w:sz w:val="24"/>
          <w:szCs w:val="24"/>
        </w:rPr>
        <w:t>3.3.1对直接判定为重大危险源的用直接评定法评定为重大风险。</w:t>
      </w:r>
    </w:p>
    <w:p>
      <w:pPr>
        <w:spacing w:line="440" w:lineRule="exact"/>
        <w:ind w:firstLine="607" w:firstLineChars="253"/>
        <w:rPr>
          <w:sz w:val="24"/>
          <w:szCs w:val="24"/>
        </w:rPr>
      </w:pPr>
      <w:r>
        <w:rPr>
          <w:rFonts w:hint="eastAsia"/>
          <w:sz w:val="24"/>
          <w:szCs w:val="24"/>
        </w:rPr>
        <w:t>3.3.2 对一般危险源优先采用水利部相关导则推荐的方法进行风险评价，形成</w:t>
      </w:r>
      <w:bookmarkStart w:id="20" w:name="_Hlk52878632"/>
      <w:r>
        <w:rPr>
          <w:rFonts w:hint="eastAsia"/>
          <w:sz w:val="24"/>
          <w:szCs w:val="24"/>
        </w:rPr>
        <w:t>《一般危险源风险评价表》（附录D、附录E）</w:t>
      </w:r>
      <w:bookmarkEnd w:id="20"/>
      <w:r>
        <w:rPr>
          <w:rFonts w:hint="eastAsia"/>
          <w:sz w:val="24"/>
          <w:szCs w:val="24"/>
        </w:rPr>
        <w:t>，对目前无风险评价方法的，则根据各种因素综合判定的方法确定。</w:t>
      </w:r>
    </w:p>
    <w:p>
      <w:pPr>
        <w:spacing w:line="440" w:lineRule="exact"/>
        <w:ind w:firstLine="607" w:firstLineChars="253"/>
        <w:rPr>
          <w:sz w:val="24"/>
          <w:szCs w:val="24"/>
        </w:rPr>
      </w:pPr>
      <w:r>
        <w:rPr>
          <w:rFonts w:hint="eastAsia"/>
          <w:sz w:val="24"/>
          <w:szCs w:val="24"/>
        </w:rPr>
        <w:t>3.3.2.1</w:t>
      </w:r>
      <w:r>
        <w:rPr>
          <w:rFonts w:hint="eastAsia" w:hAnsi="仿宋" w:cs="仿宋"/>
          <w:sz w:val="24"/>
          <w:szCs w:val="24"/>
        </w:rPr>
        <w:t>水利水电工程施工</w:t>
      </w:r>
    </w:p>
    <w:p>
      <w:pPr>
        <w:spacing w:line="440" w:lineRule="exact"/>
        <w:ind w:firstLine="607" w:firstLineChars="253"/>
        <w:rPr>
          <w:sz w:val="24"/>
          <w:szCs w:val="24"/>
        </w:rPr>
      </w:pPr>
      <w:r>
        <w:rPr>
          <w:rFonts w:hint="eastAsia" w:hAnsi="仿宋" w:cs="仿宋"/>
          <w:sz w:val="24"/>
          <w:szCs w:val="24"/>
        </w:rPr>
        <w:t>水利水电工程施工推荐使用</w:t>
      </w:r>
      <w:bookmarkStart w:id="21" w:name="_Hlk117367776"/>
      <w:r>
        <w:rPr>
          <w:rFonts w:hint="eastAsia" w:hAnsi="仿宋" w:cs="仿宋"/>
          <w:sz w:val="24"/>
          <w:szCs w:val="24"/>
        </w:rPr>
        <w:t>作业条件危险性评价法（LEC），参见附录</w:t>
      </w:r>
      <w:bookmarkEnd w:id="21"/>
      <w:r>
        <w:rPr>
          <w:rFonts w:hint="eastAsia" w:hAnsi="仿宋" w:cs="仿宋"/>
          <w:sz w:val="24"/>
          <w:szCs w:val="24"/>
        </w:rPr>
        <w:t>F</w:t>
      </w:r>
      <w:r>
        <w:rPr>
          <w:rFonts w:hAnsi="仿宋" w:cs="仿宋"/>
          <w:sz w:val="24"/>
          <w:szCs w:val="24"/>
        </w:rPr>
        <w:t>.1</w:t>
      </w:r>
      <w:r>
        <w:rPr>
          <w:rFonts w:hint="eastAsia" w:hAnsi="仿宋" w:cs="仿宋"/>
          <w:sz w:val="24"/>
          <w:szCs w:val="24"/>
        </w:rPr>
        <w:t>。根据工程施工现场情况和管理特点，合理确定L、E和C值。各类一般危险源的L、E和C值赋分参考取值范围及判定风险等级范围见附录A</w:t>
      </w:r>
      <w:r>
        <w:rPr>
          <w:rFonts w:hAnsi="仿宋" w:cs="仿宋"/>
          <w:sz w:val="24"/>
          <w:szCs w:val="24"/>
        </w:rPr>
        <w:t>.2</w:t>
      </w:r>
      <w:r>
        <w:rPr>
          <w:rFonts w:hint="eastAsia" w:hAnsi="仿宋" w:cs="仿宋"/>
          <w:sz w:val="24"/>
          <w:szCs w:val="24"/>
        </w:rPr>
        <w:t>《水利水电工程施工一般危险源LEC法风险评价赋分表（指南）》。</w:t>
      </w:r>
    </w:p>
    <w:p>
      <w:pPr>
        <w:spacing w:line="440" w:lineRule="exact"/>
        <w:ind w:firstLine="607" w:firstLineChars="253"/>
        <w:rPr>
          <w:sz w:val="24"/>
          <w:szCs w:val="24"/>
        </w:rPr>
      </w:pPr>
      <w:r>
        <w:rPr>
          <w:rFonts w:hint="eastAsia"/>
          <w:sz w:val="24"/>
          <w:szCs w:val="24"/>
        </w:rPr>
        <w:t>3.3.2.2水利水电工程（水库、水闸）运行</w:t>
      </w:r>
    </w:p>
    <w:p>
      <w:pPr>
        <w:spacing w:line="440" w:lineRule="exact"/>
        <w:ind w:firstLine="480" w:firstLineChars="200"/>
        <w:rPr>
          <w:rFonts w:hAnsi="微软雅黑" w:cs="宋体"/>
          <w:sz w:val="24"/>
          <w:szCs w:val="24"/>
        </w:rPr>
      </w:pPr>
      <w:r>
        <w:rPr>
          <w:rFonts w:hint="eastAsia" w:hAnsi="微软雅黑" w:cs="宋体"/>
          <w:sz w:val="24"/>
          <w:szCs w:val="24"/>
        </w:rPr>
        <w:t>（1）对于工程维修养护等作业活动或工程管理范围内可能影响人身安全的一般危险源，评价方法推荐采用作业条件危险性评价法（LEC法），执行《水利水电工程施工危险源辨识与风险评价导则（试行）》（办监督函〔2018〕1693号）。</w:t>
      </w:r>
    </w:p>
    <w:p>
      <w:pPr>
        <w:spacing w:line="440" w:lineRule="exact"/>
        <w:ind w:firstLine="480" w:firstLineChars="200"/>
        <w:rPr>
          <w:rFonts w:hAnsi="微软雅黑" w:cs="宋体"/>
          <w:sz w:val="24"/>
          <w:szCs w:val="24"/>
        </w:rPr>
      </w:pPr>
      <w:r>
        <w:rPr>
          <w:rFonts w:hint="eastAsia" w:hAnsi="微软雅黑" w:cs="宋体"/>
          <w:sz w:val="24"/>
          <w:szCs w:val="24"/>
        </w:rPr>
        <w:t>（2）对于可能影响工程正常运行或导致工程破坏的一般危险源，应由管理单位不同管理层级以及多个相关部门的人员共同进行风险评价，评价方法推荐采用风险矩阵法（LS法），参见</w:t>
      </w:r>
      <w:bookmarkStart w:id="22" w:name="_Hlk117367838"/>
      <w:r>
        <w:rPr>
          <w:rFonts w:hint="eastAsia" w:hAnsi="微软雅黑" w:cs="宋体"/>
          <w:sz w:val="24"/>
          <w:szCs w:val="24"/>
        </w:rPr>
        <w:t>附录F</w:t>
      </w:r>
      <w:r>
        <w:rPr>
          <w:rFonts w:hAnsi="微软雅黑" w:cs="宋体"/>
          <w:sz w:val="24"/>
          <w:szCs w:val="24"/>
        </w:rPr>
        <w:t>.2</w:t>
      </w:r>
      <w:r>
        <w:rPr>
          <w:rFonts w:hint="eastAsia" w:hAnsi="微软雅黑" w:cs="宋体"/>
          <w:sz w:val="24"/>
          <w:szCs w:val="24"/>
        </w:rPr>
        <w:t>《</w:t>
      </w:r>
      <w:bookmarkStart w:id="23" w:name="_Hlk117367866"/>
      <w:r>
        <w:rPr>
          <w:rFonts w:hint="eastAsia" w:hAnsi="微软雅黑" w:cs="宋体"/>
          <w:sz w:val="24"/>
          <w:szCs w:val="24"/>
        </w:rPr>
        <w:t>水库、水闸</w:t>
      </w:r>
      <w:bookmarkEnd w:id="23"/>
      <w:r>
        <w:rPr>
          <w:rFonts w:hint="eastAsia" w:hAnsi="微软雅黑" w:cs="宋体"/>
          <w:sz w:val="24"/>
          <w:szCs w:val="24"/>
        </w:rPr>
        <w:t>一般危险源风险评价方法—风险矩阵法（LS法）》</w:t>
      </w:r>
      <w:bookmarkEnd w:id="22"/>
      <w:r>
        <w:rPr>
          <w:rFonts w:hint="eastAsia" w:hAnsi="微软雅黑" w:cs="宋体"/>
          <w:sz w:val="24"/>
          <w:szCs w:val="24"/>
        </w:rPr>
        <w:t>。</w:t>
      </w:r>
    </w:p>
    <w:p>
      <w:pPr>
        <w:spacing w:line="440" w:lineRule="exact"/>
        <w:ind w:firstLine="480" w:firstLineChars="200"/>
        <w:rPr>
          <w:rFonts w:hAnsi="微软雅黑" w:cs="宋体"/>
          <w:sz w:val="24"/>
          <w:szCs w:val="24"/>
        </w:rPr>
      </w:pPr>
      <w:r>
        <w:rPr>
          <w:rFonts w:hint="eastAsia" w:hAnsi="微软雅黑" w:cs="宋体"/>
          <w:sz w:val="24"/>
          <w:szCs w:val="24"/>
        </w:rPr>
        <w:t>（3）一般危险源的L、E、C值（作业条件危险性评价法）或L、S值（风险矩阵法）参考取值范围及风险等级范围见附录A</w:t>
      </w:r>
      <w:r>
        <w:rPr>
          <w:rFonts w:hAnsi="微软雅黑" w:cs="宋体"/>
          <w:sz w:val="24"/>
          <w:szCs w:val="24"/>
        </w:rPr>
        <w:t>.5</w:t>
      </w:r>
      <w:r>
        <w:rPr>
          <w:rFonts w:hint="eastAsia" w:hAnsi="微软雅黑" w:cs="宋体"/>
          <w:sz w:val="24"/>
          <w:szCs w:val="24"/>
        </w:rPr>
        <w:t>《水库工程运行一般危险源风险评价赋分表（指南）》和附录A</w:t>
      </w:r>
      <w:r>
        <w:rPr>
          <w:rFonts w:hAnsi="微软雅黑" w:cs="宋体"/>
          <w:sz w:val="24"/>
          <w:szCs w:val="24"/>
        </w:rPr>
        <w:t>.6</w:t>
      </w:r>
      <w:r>
        <w:rPr>
          <w:rFonts w:hint="eastAsia" w:hAnsi="微软雅黑" w:cs="宋体"/>
          <w:sz w:val="24"/>
          <w:szCs w:val="24"/>
        </w:rPr>
        <w:t>《水闸工程运行一般危险源风险评价赋分表（指南）》。</w:t>
      </w:r>
    </w:p>
    <w:p>
      <w:pPr>
        <w:spacing w:line="440" w:lineRule="exact"/>
        <w:ind w:firstLine="480" w:firstLineChars="200"/>
        <w:rPr>
          <w:sz w:val="24"/>
          <w:szCs w:val="24"/>
        </w:rPr>
      </w:pPr>
      <w:r>
        <w:rPr>
          <w:rFonts w:hint="eastAsia"/>
          <w:sz w:val="24"/>
          <w:szCs w:val="24"/>
        </w:rPr>
        <w:t>3.3.2.3水利水电工程（水电站、泵站）运行</w:t>
      </w:r>
    </w:p>
    <w:p>
      <w:pPr>
        <w:spacing w:line="440" w:lineRule="exact"/>
        <w:ind w:firstLine="480" w:firstLineChars="200"/>
        <w:rPr>
          <w:rFonts w:hAnsi="微软雅黑" w:cs="宋体"/>
          <w:sz w:val="24"/>
          <w:szCs w:val="24"/>
        </w:rPr>
      </w:pPr>
      <w:r>
        <w:rPr>
          <w:rFonts w:hint="eastAsia" w:hAnsi="微软雅黑" w:cs="宋体"/>
          <w:sz w:val="24"/>
          <w:szCs w:val="24"/>
        </w:rPr>
        <w:t>（1）对于工程维修养护等作业活动或工程管理范围内可能影响人身安全的一般危险源，评价方法推荐采用作业条件危险性评价法（LEC法），执行《水利水电工程施工危险源辨识与风险评价导则（试行）》（办监督函〔2018〕1693号）。</w:t>
      </w:r>
    </w:p>
    <w:p>
      <w:pPr>
        <w:spacing w:line="440" w:lineRule="exact"/>
        <w:ind w:firstLine="480" w:firstLineChars="200"/>
        <w:rPr>
          <w:rFonts w:hAnsi="微软雅黑" w:cs="宋体"/>
          <w:sz w:val="24"/>
          <w:szCs w:val="24"/>
        </w:rPr>
      </w:pPr>
      <w:r>
        <w:rPr>
          <w:rFonts w:hint="eastAsia" w:hAnsi="微软雅黑" w:cs="宋体"/>
          <w:sz w:val="24"/>
          <w:szCs w:val="24"/>
        </w:rPr>
        <w:t>（2）对于可能影响工程正常运行或导致工程破坏的一般危险源，应由管理单位不同管理层级以及多个相关部门的人员共同进行风险评价，评价方法推荐采用风险矩阵法（LS法），</w:t>
      </w:r>
      <w:bookmarkStart w:id="24" w:name="_Hlk117367912"/>
      <w:r>
        <w:rPr>
          <w:rFonts w:hint="eastAsia" w:hAnsi="微软雅黑" w:cs="宋体"/>
          <w:sz w:val="24"/>
          <w:szCs w:val="24"/>
        </w:rPr>
        <w:t>参见附录F</w:t>
      </w:r>
      <w:r>
        <w:rPr>
          <w:rFonts w:hAnsi="微软雅黑" w:cs="宋体"/>
          <w:sz w:val="24"/>
          <w:szCs w:val="24"/>
        </w:rPr>
        <w:t>.3</w:t>
      </w:r>
      <w:r>
        <w:rPr>
          <w:rFonts w:hint="eastAsia" w:hAnsi="微软雅黑" w:cs="宋体"/>
          <w:sz w:val="24"/>
          <w:szCs w:val="24"/>
        </w:rPr>
        <w:t>《</w:t>
      </w:r>
      <w:r>
        <w:rPr>
          <w:rFonts w:hint="eastAsia"/>
          <w:sz w:val="24"/>
          <w:szCs w:val="24"/>
        </w:rPr>
        <w:t>水电站、泵站运行</w:t>
      </w:r>
      <w:r>
        <w:rPr>
          <w:rFonts w:hint="eastAsia" w:hAnsi="微软雅黑" w:cs="宋体"/>
          <w:sz w:val="24"/>
          <w:szCs w:val="24"/>
        </w:rPr>
        <w:t>一般危险源风险评价方法—风险矩阵法（LS法）》</w:t>
      </w:r>
      <w:bookmarkEnd w:id="24"/>
      <w:r>
        <w:rPr>
          <w:rFonts w:hint="eastAsia" w:hAnsi="微软雅黑" w:cs="宋体"/>
          <w:sz w:val="24"/>
          <w:szCs w:val="24"/>
        </w:rPr>
        <w:t>。</w:t>
      </w:r>
    </w:p>
    <w:p>
      <w:pPr>
        <w:spacing w:line="440" w:lineRule="exact"/>
        <w:ind w:firstLine="480" w:firstLineChars="200"/>
        <w:rPr>
          <w:rFonts w:hAnsi="微软雅黑" w:cs="宋体"/>
          <w:sz w:val="24"/>
          <w:szCs w:val="24"/>
        </w:rPr>
      </w:pPr>
      <w:r>
        <w:rPr>
          <w:rFonts w:hint="eastAsia" w:hAnsi="微软雅黑" w:cs="宋体"/>
          <w:sz w:val="24"/>
          <w:szCs w:val="24"/>
        </w:rPr>
        <w:t>（3）一般危险源的L、E、C值（作业条件危险性评价法）或L、S值（风险矩阵法）参考取值范围及风险等级范围见附录A</w:t>
      </w:r>
      <w:r>
        <w:rPr>
          <w:rFonts w:hAnsi="微软雅黑" w:cs="宋体"/>
          <w:sz w:val="24"/>
          <w:szCs w:val="24"/>
        </w:rPr>
        <w:t>.9</w:t>
      </w:r>
      <w:r>
        <w:rPr>
          <w:rFonts w:hint="eastAsia" w:hAnsi="微软雅黑" w:cs="宋体"/>
          <w:sz w:val="24"/>
          <w:szCs w:val="24"/>
        </w:rPr>
        <w:t>《水电站工程运行一般危险源风险评价赋分表（指南）》和附录A</w:t>
      </w:r>
      <w:r>
        <w:rPr>
          <w:rFonts w:hAnsi="微软雅黑" w:cs="宋体"/>
          <w:sz w:val="24"/>
          <w:szCs w:val="24"/>
        </w:rPr>
        <w:t>.10</w:t>
      </w:r>
      <w:r>
        <w:rPr>
          <w:rFonts w:hint="eastAsia" w:hAnsi="微软雅黑" w:cs="宋体"/>
          <w:sz w:val="24"/>
          <w:szCs w:val="24"/>
        </w:rPr>
        <w:t>《泵站工程运行一般危险源风险评价赋分表（指南）》。</w:t>
      </w:r>
    </w:p>
    <w:p>
      <w:pPr>
        <w:spacing w:line="440" w:lineRule="exact"/>
        <w:ind w:firstLine="480" w:firstLineChars="200"/>
        <w:rPr>
          <w:sz w:val="24"/>
          <w:szCs w:val="24"/>
        </w:rPr>
      </w:pPr>
      <w:r>
        <w:rPr>
          <w:rFonts w:hint="eastAsia"/>
          <w:sz w:val="24"/>
          <w:szCs w:val="24"/>
        </w:rPr>
        <w:t>3.3.2.4水利水电工程（堤防、淤地坝）运行</w:t>
      </w:r>
    </w:p>
    <w:p>
      <w:pPr>
        <w:pStyle w:val="31"/>
        <w:shd w:val="clear" w:color="auto" w:fill="FFFFFF"/>
        <w:spacing w:before="0" w:beforeAutospacing="0" w:after="0" w:afterAutospacing="0" w:line="440" w:lineRule="exact"/>
        <w:ind w:firstLine="480" w:firstLineChars="200"/>
        <w:jc w:val="both"/>
        <w:rPr>
          <w:rFonts w:ascii="方正仿宋_GBK" w:hAnsi="微软雅黑" w:eastAsia="方正仿宋_GBK"/>
          <w:color w:val="000000"/>
        </w:rPr>
      </w:pPr>
      <w:r>
        <w:rPr>
          <w:rFonts w:hint="eastAsia" w:ascii="方正仿宋_GBK" w:hAnsi="微软雅黑" w:eastAsia="方正仿宋_GBK"/>
          <w:color w:val="000000"/>
        </w:rPr>
        <w:t>（1）对于工程维修养护等作业活动或工程管理范围内可能影响人身安全的一般危险源，评价方法推荐采用作业条件危险性评价法（LEC法），执行《水利水电工程施工危险源辨识与风险评价导则（试行）》（办监督函〔2018〕1693号）。</w:t>
      </w:r>
    </w:p>
    <w:p>
      <w:pPr>
        <w:pStyle w:val="31"/>
        <w:shd w:val="clear" w:color="auto" w:fill="FFFFFF"/>
        <w:spacing w:before="0" w:beforeAutospacing="0" w:after="0" w:afterAutospacing="0" w:line="440" w:lineRule="exact"/>
        <w:ind w:firstLine="480" w:firstLineChars="200"/>
        <w:jc w:val="both"/>
        <w:rPr>
          <w:rFonts w:ascii="方正仿宋_GBK" w:hAnsi="微软雅黑" w:eastAsia="方正仿宋_GBK"/>
          <w:color w:val="000000"/>
        </w:rPr>
      </w:pPr>
      <w:r>
        <w:rPr>
          <w:rFonts w:hint="eastAsia" w:ascii="方正仿宋_GBK" w:hAnsi="微软雅黑" w:eastAsia="方正仿宋_GBK"/>
          <w:color w:val="000000"/>
        </w:rPr>
        <w:t>（2）对于可能影响工程正常运行或导致工程破坏的一般危险源，原则上应由管理单位不同管理层级以及多个相关部门的人员共同进行风险评价，评价方法推荐采用风险矩阵法（LS法），</w:t>
      </w:r>
      <w:bookmarkStart w:id="25" w:name="_Hlk117367953"/>
      <w:r>
        <w:rPr>
          <w:rFonts w:hint="eastAsia" w:ascii="方正仿宋_GBK" w:hAnsi="微软雅黑" w:eastAsia="方正仿宋_GBK"/>
          <w:color w:val="000000"/>
        </w:rPr>
        <w:t>参见附录F</w:t>
      </w:r>
      <w:r>
        <w:rPr>
          <w:rFonts w:ascii="方正仿宋_GBK" w:hAnsi="微软雅黑" w:eastAsia="方正仿宋_GBK"/>
          <w:color w:val="000000"/>
        </w:rPr>
        <w:t>.4</w:t>
      </w:r>
      <w:r>
        <w:rPr>
          <w:rFonts w:hint="eastAsia" w:ascii="方正仿宋_GBK" w:hAnsi="微软雅黑" w:eastAsia="方正仿宋_GBK"/>
          <w:color w:val="000000"/>
        </w:rPr>
        <w:t>《堤</w:t>
      </w:r>
      <w:r>
        <w:rPr>
          <w:rFonts w:hint="eastAsia" w:ascii="方正仿宋_GBK" w:eastAsia="方正仿宋_GBK"/>
        </w:rPr>
        <w:t>防、淤地坝运行</w:t>
      </w:r>
      <w:r>
        <w:rPr>
          <w:rFonts w:hint="eastAsia" w:ascii="方正仿宋_GBK" w:hAnsi="微软雅黑" w:eastAsia="方正仿宋_GBK"/>
          <w:color w:val="000000"/>
        </w:rPr>
        <w:t>一般危险源风险评价方法—风险矩阵法（LS法）》</w:t>
      </w:r>
      <w:bookmarkEnd w:id="25"/>
      <w:r>
        <w:rPr>
          <w:rFonts w:hint="eastAsia" w:ascii="方正仿宋_GBK" w:hAnsi="微软雅黑" w:eastAsia="方正仿宋_GBK"/>
          <w:color w:val="000000"/>
        </w:rPr>
        <w:t>。</w:t>
      </w:r>
    </w:p>
    <w:p>
      <w:pPr>
        <w:pStyle w:val="31"/>
        <w:shd w:val="clear" w:color="auto" w:fill="FFFFFF"/>
        <w:spacing w:before="0" w:beforeAutospacing="0" w:after="0" w:afterAutospacing="0" w:line="440" w:lineRule="exact"/>
        <w:ind w:firstLine="480" w:firstLineChars="200"/>
        <w:jc w:val="both"/>
        <w:rPr>
          <w:rFonts w:ascii="方正仿宋_GBK" w:hAnsi="微软雅黑" w:eastAsia="方正仿宋_GBK"/>
          <w:color w:val="000000"/>
        </w:rPr>
      </w:pPr>
      <w:r>
        <w:rPr>
          <w:rFonts w:hint="eastAsia" w:ascii="方正仿宋_GBK" w:hAnsi="微软雅黑" w:eastAsia="方正仿宋_GBK"/>
          <w:color w:val="000000"/>
        </w:rPr>
        <w:t>（3）在通常情况下，一般危险源的L、E、C值（作业条件危险性评价法）或L、S值（风险矩阵法）参考取值范围及风险等级范围见附录A</w:t>
      </w:r>
      <w:r>
        <w:rPr>
          <w:rFonts w:ascii="方正仿宋_GBK" w:hAnsi="微软雅黑" w:eastAsia="方正仿宋_GBK"/>
          <w:color w:val="000000"/>
        </w:rPr>
        <w:t>.13</w:t>
      </w:r>
      <w:r>
        <w:rPr>
          <w:rFonts w:hint="eastAsia" w:ascii="方正仿宋_GBK" w:hAnsi="微软雅黑" w:eastAsia="方正仿宋_GBK"/>
          <w:color w:val="000000"/>
        </w:rPr>
        <w:t>《堤防工程运行一般危险源风险评价赋分表（指南）》和附录A</w:t>
      </w:r>
      <w:r>
        <w:rPr>
          <w:rFonts w:ascii="方正仿宋_GBK" w:hAnsi="微软雅黑" w:eastAsia="方正仿宋_GBK"/>
          <w:color w:val="000000"/>
        </w:rPr>
        <w:t>.14</w:t>
      </w:r>
      <w:r>
        <w:rPr>
          <w:rFonts w:hint="eastAsia" w:ascii="方正仿宋_GBK" w:hAnsi="微软雅黑" w:eastAsia="方正仿宋_GBK"/>
          <w:color w:val="000000"/>
        </w:rPr>
        <w:t>《淤地坝工程运行一般危险源风险评价赋分表（指南）》。</w:t>
      </w:r>
    </w:p>
    <w:p>
      <w:pPr>
        <w:spacing w:line="440" w:lineRule="exact"/>
        <w:ind w:firstLine="480" w:firstLineChars="200"/>
        <w:rPr>
          <w:sz w:val="24"/>
          <w:szCs w:val="24"/>
        </w:rPr>
      </w:pPr>
      <w:r>
        <w:rPr>
          <w:rFonts w:hint="eastAsia"/>
          <w:sz w:val="24"/>
          <w:szCs w:val="24"/>
        </w:rPr>
        <w:t>3.3.2.5水利水电勘测设计单位</w:t>
      </w:r>
    </w:p>
    <w:p>
      <w:pPr>
        <w:spacing w:line="440" w:lineRule="exact"/>
        <w:ind w:firstLine="480" w:firstLineChars="200"/>
        <w:rPr>
          <w:rFonts w:hAnsi="微软雅黑" w:cs="宋体"/>
          <w:sz w:val="24"/>
          <w:szCs w:val="24"/>
        </w:rPr>
      </w:pPr>
      <w:r>
        <w:rPr>
          <w:rFonts w:hint="eastAsia" w:hAnsi="微软雅黑" w:cs="宋体"/>
          <w:sz w:val="24"/>
          <w:szCs w:val="24"/>
        </w:rPr>
        <w:t>（1）对于维修养护等作业活动或工作范围内可能影响人身安全的一般危险源，评价方法推荐采用作业条件危险性评价法（LEC法），参考《水利水电工程施工危险源辨识与风险评价导则（试行）》（办监督函〔2018〕1693号）。</w:t>
      </w:r>
    </w:p>
    <w:p>
      <w:pPr>
        <w:spacing w:line="440" w:lineRule="exact"/>
        <w:ind w:firstLine="480" w:firstLineChars="200"/>
        <w:rPr>
          <w:rFonts w:hAnsi="微软雅黑" w:cs="宋体"/>
          <w:sz w:val="24"/>
          <w:szCs w:val="24"/>
        </w:rPr>
      </w:pPr>
      <w:r>
        <w:rPr>
          <w:rFonts w:hint="eastAsia" w:hAnsi="微软雅黑" w:cs="宋体"/>
          <w:sz w:val="24"/>
          <w:szCs w:val="24"/>
        </w:rPr>
        <w:t>（2）其他类别的危险源</w:t>
      </w:r>
      <w:r>
        <w:rPr>
          <w:rFonts w:hint="eastAsia" w:hAnsi="微软雅黑"/>
          <w:color w:val="000000"/>
          <w:sz w:val="24"/>
          <w:szCs w:val="24"/>
        </w:rPr>
        <w:t>风险评价推荐采用</w:t>
      </w:r>
      <w:bookmarkStart w:id="26" w:name="_Hlk117368108"/>
      <w:r>
        <w:rPr>
          <w:rFonts w:hint="eastAsia" w:hAnsi="微软雅黑"/>
          <w:color w:val="000000"/>
          <w:sz w:val="24"/>
          <w:szCs w:val="24"/>
        </w:rPr>
        <w:t>风险矩阵法（LS法）确定，参见附录F</w:t>
      </w:r>
      <w:r>
        <w:rPr>
          <w:rFonts w:hAnsi="微软雅黑"/>
          <w:color w:val="000000"/>
          <w:sz w:val="24"/>
          <w:szCs w:val="24"/>
        </w:rPr>
        <w:t>.5</w:t>
      </w:r>
      <w:r>
        <w:rPr>
          <w:rFonts w:hint="eastAsia" w:hAnsi="微软雅黑"/>
          <w:color w:val="000000"/>
          <w:sz w:val="24"/>
          <w:szCs w:val="24"/>
        </w:rPr>
        <w:t>《风险矩阵表》</w:t>
      </w:r>
      <w:bookmarkEnd w:id="26"/>
      <w:r>
        <w:rPr>
          <w:rFonts w:hint="eastAsia" w:hAnsi="微软雅黑"/>
          <w:color w:val="000000"/>
          <w:sz w:val="24"/>
          <w:szCs w:val="24"/>
        </w:rPr>
        <w:t>及相关规定。</w:t>
      </w:r>
    </w:p>
    <w:p>
      <w:pPr>
        <w:spacing w:line="440" w:lineRule="exact"/>
        <w:ind w:firstLine="480" w:firstLineChars="200"/>
        <w:rPr>
          <w:sz w:val="24"/>
          <w:szCs w:val="24"/>
        </w:rPr>
      </w:pPr>
      <w:r>
        <w:rPr>
          <w:rFonts w:hint="eastAsia"/>
          <w:sz w:val="24"/>
          <w:szCs w:val="24"/>
        </w:rPr>
        <w:t>3.3.2.6水文监测单位</w:t>
      </w:r>
    </w:p>
    <w:p>
      <w:pPr>
        <w:spacing w:line="440" w:lineRule="exact"/>
        <w:ind w:firstLine="480" w:firstLineChars="200"/>
        <w:rPr>
          <w:rFonts w:hAnsi="微软雅黑" w:cs="宋体"/>
          <w:sz w:val="24"/>
          <w:szCs w:val="24"/>
        </w:rPr>
      </w:pPr>
      <w:r>
        <w:rPr>
          <w:rFonts w:hint="eastAsia" w:hAnsi="微软雅黑" w:cs="宋体"/>
          <w:sz w:val="24"/>
          <w:szCs w:val="24"/>
        </w:rPr>
        <w:t>（1）对于维修养护等作业活动或工作范围内可能影响人身安全的一般危险源，评价方法推荐采用作业条件危险性评价法（LEC法），参考《水利水电工程施工危险源辨识与风险评价导则（试行）》（办监督函〔2018〕1693号）。</w:t>
      </w:r>
    </w:p>
    <w:p>
      <w:pPr>
        <w:spacing w:line="440" w:lineRule="exact"/>
        <w:ind w:firstLine="480" w:firstLineChars="200"/>
        <w:rPr>
          <w:rFonts w:hAnsi="微软雅黑" w:cs="宋体"/>
          <w:sz w:val="24"/>
          <w:szCs w:val="24"/>
        </w:rPr>
      </w:pPr>
      <w:r>
        <w:rPr>
          <w:rFonts w:hint="eastAsia" w:hAnsi="微软雅黑" w:cs="宋体"/>
          <w:sz w:val="24"/>
          <w:szCs w:val="24"/>
        </w:rPr>
        <w:t>（2）其他类别的危险源风险评价</w:t>
      </w:r>
      <w:r>
        <w:rPr>
          <w:rFonts w:hint="eastAsia" w:hAnsi="微软雅黑"/>
          <w:color w:val="000000"/>
          <w:sz w:val="24"/>
          <w:szCs w:val="24"/>
        </w:rPr>
        <w:t>推荐采用风险矩阵法（LS法）确定，参见附录F</w:t>
      </w:r>
      <w:r>
        <w:rPr>
          <w:rFonts w:hAnsi="微软雅黑"/>
          <w:color w:val="000000"/>
          <w:sz w:val="24"/>
          <w:szCs w:val="24"/>
        </w:rPr>
        <w:t>.5</w:t>
      </w:r>
      <w:r>
        <w:rPr>
          <w:rFonts w:hint="eastAsia" w:hAnsi="微软雅黑"/>
          <w:color w:val="000000"/>
          <w:sz w:val="24"/>
          <w:szCs w:val="24"/>
        </w:rPr>
        <w:t>《风险矩阵表》及相关规定。</w:t>
      </w:r>
    </w:p>
    <w:p>
      <w:pPr>
        <w:spacing w:line="440" w:lineRule="exact"/>
        <w:ind w:firstLine="480" w:firstLineChars="200"/>
        <w:rPr>
          <w:sz w:val="24"/>
          <w:szCs w:val="24"/>
        </w:rPr>
      </w:pPr>
      <w:r>
        <w:rPr>
          <w:rFonts w:hint="eastAsia"/>
          <w:sz w:val="24"/>
          <w:szCs w:val="24"/>
        </w:rPr>
        <w:t>3.3.2.7水利后勤保障单位</w:t>
      </w:r>
    </w:p>
    <w:p>
      <w:pPr>
        <w:spacing w:line="440" w:lineRule="exact"/>
        <w:ind w:firstLine="480" w:firstLineChars="200"/>
        <w:rPr>
          <w:rFonts w:hAnsi="微软雅黑" w:cs="宋体"/>
          <w:sz w:val="24"/>
          <w:szCs w:val="24"/>
        </w:rPr>
      </w:pPr>
      <w:r>
        <w:rPr>
          <w:rFonts w:hint="eastAsia" w:hAnsi="微软雅黑" w:cs="宋体"/>
          <w:sz w:val="24"/>
          <w:szCs w:val="24"/>
        </w:rPr>
        <w:t>（1）对于维修养护等作业活动或工作范围内可能影响人身安全的一般危险源，评价方法推荐采用作业条件危险性评价法（LEC法），参考《水利水电工程施工危险源辨识与风险评价导则（试行）》（办监督函〔2018〕1693号）。</w:t>
      </w:r>
    </w:p>
    <w:p>
      <w:pPr>
        <w:spacing w:line="440" w:lineRule="exact"/>
        <w:ind w:firstLine="480" w:firstLineChars="200"/>
        <w:rPr>
          <w:rFonts w:hAnsi="微软雅黑"/>
          <w:color w:val="000000"/>
          <w:sz w:val="24"/>
          <w:szCs w:val="24"/>
        </w:rPr>
      </w:pPr>
      <w:r>
        <w:rPr>
          <w:rFonts w:hint="eastAsia" w:hAnsi="微软雅黑" w:cs="宋体"/>
          <w:sz w:val="24"/>
          <w:szCs w:val="24"/>
        </w:rPr>
        <w:t>（2）其他类别的危险源风险评价</w:t>
      </w:r>
      <w:r>
        <w:rPr>
          <w:rFonts w:hint="eastAsia" w:hAnsi="微软雅黑"/>
          <w:color w:val="000000"/>
          <w:sz w:val="24"/>
          <w:szCs w:val="24"/>
        </w:rPr>
        <w:t>推荐采用风险矩阵法（LS法）确定，参见附录F</w:t>
      </w:r>
      <w:r>
        <w:rPr>
          <w:rFonts w:hAnsi="微软雅黑"/>
          <w:color w:val="000000"/>
          <w:sz w:val="24"/>
          <w:szCs w:val="24"/>
        </w:rPr>
        <w:t>.5</w:t>
      </w:r>
      <w:r>
        <w:rPr>
          <w:rFonts w:hint="eastAsia" w:hAnsi="微软雅黑"/>
          <w:color w:val="000000"/>
          <w:sz w:val="24"/>
          <w:szCs w:val="24"/>
        </w:rPr>
        <w:t>《风险矩阵表》及相关规定。</w:t>
      </w:r>
    </w:p>
    <w:p>
      <w:pPr>
        <w:spacing w:line="440" w:lineRule="exact"/>
        <w:ind w:firstLine="480" w:firstLineChars="200"/>
        <w:rPr>
          <w:sz w:val="24"/>
          <w:szCs w:val="24"/>
        </w:rPr>
      </w:pPr>
      <w:r>
        <w:rPr>
          <w:rFonts w:hint="eastAsia"/>
          <w:sz w:val="24"/>
          <w:szCs w:val="24"/>
        </w:rPr>
        <w:t>3.3.2.8其他水利生产经营单位</w:t>
      </w:r>
    </w:p>
    <w:p>
      <w:pPr>
        <w:spacing w:line="440" w:lineRule="exact"/>
        <w:ind w:firstLine="480" w:firstLineChars="200"/>
        <w:rPr>
          <w:sz w:val="24"/>
          <w:szCs w:val="24"/>
        </w:rPr>
      </w:pPr>
      <w:r>
        <w:rPr>
          <w:rFonts w:hint="eastAsia"/>
          <w:sz w:val="24"/>
          <w:szCs w:val="24"/>
        </w:rPr>
        <w:t>目前无风险评价方法的，采用综合确定法。即根据有关安全生产法律、法规、技术标准、规范、规章等强制性条款、设计文件、技术标准、安全管理经验、可能发生事故后果的严重程度以及水利生产经营单位风险的承受能力、国内外同行业事故发生情况等因素，定性确定风险等级。</w:t>
      </w:r>
    </w:p>
    <w:p>
      <w:pPr>
        <w:spacing w:line="440" w:lineRule="exact"/>
        <w:ind w:firstLine="480" w:firstLineChars="200"/>
        <w:rPr>
          <w:sz w:val="24"/>
          <w:szCs w:val="24"/>
        </w:rPr>
      </w:pPr>
      <w:r>
        <w:rPr>
          <w:rFonts w:hint="eastAsia"/>
          <w:sz w:val="24"/>
          <w:szCs w:val="24"/>
        </w:rPr>
        <w:t>3.3.3各水利生产经营单位储存、使用有危险化学品的应依据《危险化学品重大危险源辨识》（GB18218-2018）进行辨识指标计算，评定是否构成危险化学品重大危险源，形成</w:t>
      </w:r>
      <w:bookmarkStart w:id="27" w:name="_Hlk52878660"/>
      <w:r>
        <w:rPr>
          <w:rFonts w:hint="eastAsia"/>
          <w:sz w:val="24"/>
          <w:szCs w:val="24"/>
        </w:rPr>
        <w:t>《危险化学品重大危险源辨识结论》（参见附录G</w:t>
      </w:r>
      <w:r>
        <w:rPr>
          <w:sz w:val="24"/>
          <w:szCs w:val="24"/>
        </w:rPr>
        <w:t>.1</w:t>
      </w:r>
      <w:r>
        <w:rPr>
          <w:rFonts w:hint="eastAsia"/>
          <w:sz w:val="24"/>
          <w:szCs w:val="24"/>
        </w:rPr>
        <w:t>）</w:t>
      </w:r>
      <w:bookmarkEnd w:id="27"/>
      <w:r>
        <w:rPr>
          <w:rFonts w:hint="eastAsia"/>
          <w:sz w:val="24"/>
          <w:szCs w:val="24"/>
        </w:rPr>
        <w:t>。</w:t>
      </w:r>
    </w:p>
    <w:p>
      <w:pPr>
        <w:spacing w:line="440" w:lineRule="exact"/>
        <w:ind w:firstLine="480" w:firstLineChars="200"/>
        <w:rPr>
          <w:sz w:val="24"/>
          <w:szCs w:val="24"/>
        </w:rPr>
      </w:pPr>
      <w:r>
        <w:rPr>
          <w:rFonts w:hint="eastAsia"/>
          <w:sz w:val="24"/>
          <w:szCs w:val="24"/>
        </w:rPr>
        <w:t>3.3.4按照《水利部办公厅关于印发水利工程生产安全重大事故隐患清单指南(2021版）的通知》（办监督〔2021〕364号）对管理范围进行是否有重大事故隐患进行判定，形成</w:t>
      </w:r>
      <w:bookmarkStart w:id="28" w:name="_Hlk52878684"/>
      <w:r>
        <w:rPr>
          <w:rFonts w:hint="eastAsia"/>
          <w:sz w:val="24"/>
          <w:szCs w:val="24"/>
        </w:rPr>
        <w:t>《重大事故隐患判定结论》（示例）（参见附录G</w:t>
      </w:r>
      <w:r>
        <w:rPr>
          <w:sz w:val="24"/>
          <w:szCs w:val="24"/>
        </w:rPr>
        <w:t>.2</w:t>
      </w:r>
      <w:r>
        <w:rPr>
          <w:rFonts w:hint="eastAsia"/>
          <w:sz w:val="24"/>
          <w:szCs w:val="24"/>
        </w:rPr>
        <w:t>）</w:t>
      </w:r>
      <w:bookmarkEnd w:id="28"/>
      <w:r>
        <w:rPr>
          <w:rFonts w:hint="eastAsia"/>
          <w:sz w:val="24"/>
          <w:szCs w:val="24"/>
        </w:rPr>
        <w:t>，如判定结论存在重大事故隐患，则将此重大事故隐患对应的危险源直接评定为重大风险。</w:t>
      </w:r>
    </w:p>
    <w:p>
      <w:pPr>
        <w:spacing w:line="440" w:lineRule="exact"/>
        <w:ind w:firstLine="480" w:firstLineChars="200"/>
        <w:rPr>
          <w:sz w:val="24"/>
          <w:szCs w:val="24"/>
        </w:rPr>
      </w:pPr>
      <w:r>
        <w:rPr>
          <w:rFonts w:hint="eastAsia"/>
          <w:sz w:val="24"/>
          <w:szCs w:val="24"/>
        </w:rPr>
        <w:t>3</w:t>
      </w:r>
      <w:r>
        <w:rPr>
          <w:sz w:val="24"/>
          <w:szCs w:val="24"/>
        </w:rPr>
        <w:t xml:space="preserve">.3.5 </w:t>
      </w:r>
      <w:r>
        <w:rPr>
          <w:rFonts w:hint="eastAsia"/>
          <w:sz w:val="24"/>
          <w:szCs w:val="24"/>
        </w:rPr>
        <w:t>在开展危险源辨识和风险评价基础上，编制</w:t>
      </w:r>
      <w:bookmarkStart w:id="29" w:name="_Hlk117368169"/>
      <w:r>
        <w:rPr>
          <w:rFonts w:hint="eastAsia"/>
          <w:sz w:val="24"/>
          <w:szCs w:val="24"/>
        </w:rPr>
        <w:t>《危险源辨识与风险评价报告》，主要内容及要求参见附录</w:t>
      </w:r>
      <w:bookmarkEnd w:id="29"/>
      <w:r>
        <w:rPr>
          <w:rFonts w:hint="eastAsia"/>
          <w:sz w:val="24"/>
          <w:szCs w:val="24"/>
        </w:rPr>
        <w:t>G</w:t>
      </w:r>
      <w:r>
        <w:rPr>
          <w:sz w:val="24"/>
          <w:szCs w:val="24"/>
        </w:rPr>
        <w:t>.3</w:t>
      </w:r>
      <w:r>
        <w:rPr>
          <w:rFonts w:hint="eastAsia"/>
          <w:sz w:val="24"/>
          <w:szCs w:val="24"/>
        </w:rPr>
        <w:t>。</w:t>
      </w:r>
    </w:p>
    <w:p>
      <w:pPr>
        <w:pStyle w:val="3"/>
        <w:spacing w:line="440" w:lineRule="exact"/>
        <w:rPr>
          <w:rFonts w:ascii="黑体" w:hAnsi="黑体" w:eastAsia="黑体"/>
          <w:sz w:val="24"/>
          <w:szCs w:val="24"/>
        </w:rPr>
      </w:pPr>
      <w:bookmarkStart w:id="30" w:name="_Toc119336544"/>
      <w:r>
        <w:rPr>
          <w:rFonts w:hint="eastAsia" w:ascii="黑体" w:hAnsi="黑体" w:eastAsia="黑体"/>
          <w:sz w:val="24"/>
          <w:szCs w:val="24"/>
        </w:rPr>
        <w:t>3.4</w:t>
      </w:r>
      <w:r>
        <w:rPr>
          <w:rFonts w:ascii="黑体" w:hAnsi="黑体" w:eastAsia="黑体"/>
          <w:sz w:val="24"/>
          <w:szCs w:val="24"/>
        </w:rPr>
        <w:t xml:space="preserve"> </w:t>
      </w:r>
      <w:r>
        <w:rPr>
          <w:rFonts w:hint="eastAsia" w:ascii="黑体" w:hAnsi="黑体" w:eastAsia="黑体"/>
          <w:sz w:val="24"/>
          <w:szCs w:val="24"/>
        </w:rPr>
        <w:t>建立风险监管清单</w:t>
      </w:r>
      <w:bookmarkEnd w:id="30"/>
    </w:p>
    <w:p>
      <w:pPr>
        <w:spacing w:line="440" w:lineRule="exact"/>
        <w:ind w:firstLine="480" w:firstLineChars="200"/>
        <w:rPr>
          <w:sz w:val="24"/>
          <w:szCs w:val="24"/>
        </w:rPr>
      </w:pPr>
      <w:r>
        <w:rPr>
          <w:rFonts w:hint="eastAsia" w:hAnsi="微软雅黑" w:cs="宋体"/>
          <w:sz w:val="24"/>
          <w:szCs w:val="24"/>
        </w:rPr>
        <w:t>3.4.1 各水利生产经营单位</w:t>
      </w:r>
      <w:r>
        <w:rPr>
          <w:rFonts w:hint="eastAsia"/>
          <w:sz w:val="24"/>
          <w:szCs w:val="24"/>
        </w:rPr>
        <w:t>应根据最终风险分析评估记录结果，建立</w:t>
      </w:r>
      <w:bookmarkStart w:id="31" w:name="_Hlk117368200"/>
      <w:r>
        <w:rPr>
          <w:rFonts w:hint="eastAsia"/>
          <w:sz w:val="24"/>
          <w:szCs w:val="24"/>
        </w:rPr>
        <w:t>《</w:t>
      </w:r>
      <w:bookmarkStart w:id="32" w:name="_Hlk117242680"/>
      <w:r>
        <w:rPr>
          <w:rFonts w:hint="eastAsia"/>
          <w:sz w:val="24"/>
          <w:szCs w:val="24"/>
        </w:rPr>
        <w:t>风险分级管控清单</w:t>
      </w:r>
      <w:bookmarkEnd w:id="32"/>
      <w:r>
        <w:rPr>
          <w:rFonts w:hint="eastAsia"/>
          <w:sz w:val="24"/>
          <w:szCs w:val="24"/>
        </w:rPr>
        <w:t>（</w:t>
      </w:r>
      <w:r>
        <w:rPr>
          <w:rFonts w:hint="eastAsia" w:hAnsi="微软雅黑" w:cs="宋体"/>
          <w:sz w:val="24"/>
          <w:szCs w:val="24"/>
        </w:rPr>
        <w:t>或危险源基本信息</w:t>
      </w:r>
      <w:r>
        <w:rPr>
          <w:rFonts w:hint="eastAsia"/>
          <w:sz w:val="24"/>
          <w:szCs w:val="24"/>
        </w:rPr>
        <w:t>）》(附录</w:t>
      </w:r>
      <w:r>
        <w:rPr>
          <w:sz w:val="24"/>
          <w:szCs w:val="24"/>
        </w:rPr>
        <w:t>H.1</w:t>
      </w:r>
      <w:r>
        <w:rPr>
          <w:rFonts w:hint="eastAsia"/>
          <w:sz w:val="24"/>
          <w:szCs w:val="24"/>
        </w:rPr>
        <w:t>)</w:t>
      </w:r>
      <w:bookmarkEnd w:id="31"/>
      <w:r>
        <w:rPr>
          <w:rFonts w:hint="eastAsia"/>
          <w:sz w:val="24"/>
          <w:szCs w:val="24"/>
        </w:rPr>
        <w:t>，由本级主要负责人或分管负责人审核批准后发布并公告，重大风险应按照职责范围报告属地负有安全生产监督管理职责的部门和直接监管的行业主管部门或上级单位。</w:t>
      </w:r>
    </w:p>
    <w:p>
      <w:pPr>
        <w:spacing w:line="440" w:lineRule="exact"/>
        <w:ind w:firstLine="480" w:firstLineChars="200"/>
        <w:rPr>
          <w:rFonts w:hAnsi="微软雅黑" w:cs="宋体"/>
          <w:sz w:val="24"/>
          <w:szCs w:val="24"/>
        </w:rPr>
      </w:pPr>
      <w:r>
        <w:rPr>
          <w:rFonts w:hint="eastAsia" w:hAnsi="微软雅黑" w:cs="宋体"/>
          <w:sz w:val="24"/>
          <w:szCs w:val="24"/>
        </w:rPr>
        <w:t>3.4.2 风险分级管控清单基本信息（或危险源基本信息）包括名称、情况、所在工程、级别、类型、风险等级、辨识单位、辨识人员、辨识日期等。</w:t>
      </w:r>
    </w:p>
    <w:p>
      <w:pPr>
        <w:spacing w:line="440" w:lineRule="exact"/>
        <w:ind w:firstLine="480" w:firstLineChars="200"/>
        <w:rPr>
          <w:sz w:val="24"/>
          <w:szCs w:val="24"/>
        </w:rPr>
      </w:pPr>
      <w:r>
        <w:rPr>
          <w:rFonts w:hint="eastAsia" w:hAnsi="微软雅黑" w:cs="宋体"/>
          <w:sz w:val="24"/>
          <w:szCs w:val="24"/>
        </w:rPr>
        <w:t xml:space="preserve">3.4.3 </w:t>
      </w:r>
      <w:r>
        <w:rPr>
          <w:rFonts w:hint="eastAsia"/>
          <w:sz w:val="24"/>
          <w:szCs w:val="24"/>
        </w:rPr>
        <w:t>各水利生产经营单位应依据安全风险类别和等级建立安全风险数据库并进行动态管理，数据库应自下而上逐级建立，数量形成正金字塔状，班组(工段、岗位)级大于部门(车间、项目部等)级、部门(车间、项目部等)级大于单位级;风险级别形成倒金字塔，单位级大于部门(车间、项目部等)级、部门(车间、项目部)级大于班组(工段、岗位)级。</w:t>
      </w:r>
    </w:p>
    <w:p>
      <w:pPr>
        <w:pStyle w:val="3"/>
        <w:spacing w:line="440" w:lineRule="exact"/>
        <w:rPr>
          <w:rFonts w:ascii="黑体" w:hAnsi="黑体" w:eastAsia="黑体"/>
          <w:sz w:val="24"/>
          <w:szCs w:val="24"/>
        </w:rPr>
      </w:pPr>
      <w:bookmarkStart w:id="33" w:name="_Toc119336545"/>
      <w:r>
        <w:rPr>
          <w:rFonts w:hint="eastAsia" w:ascii="黑体" w:hAnsi="黑体" w:eastAsia="黑体"/>
          <w:sz w:val="24"/>
          <w:szCs w:val="24"/>
        </w:rPr>
        <w:t>3.5</w:t>
      </w:r>
      <w:r>
        <w:rPr>
          <w:rFonts w:ascii="黑体" w:hAnsi="黑体" w:eastAsia="黑体"/>
          <w:sz w:val="24"/>
          <w:szCs w:val="24"/>
        </w:rPr>
        <w:t xml:space="preserve"> </w:t>
      </w:r>
      <w:r>
        <w:rPr>
          <w:rFonts w:hint="eastAsia" w:ascii="黑体" w:hAnsi="黑体" w:eastAsia="黑体"/>
          <w:sz w:val="24"/>
          <w:szCs w:val="24"/>
        </w:rPr>
        <w:t>安全生产状况评价</w:t>
      </w:r>
      <w:bookmarkEnd w:id="33"/>
    </w:p>
    <w:p>
      <w:pPr>
        <w:spacing w:line="440" w:lineRule="exact"/>
        <w:ind w:firstLine="480" w:firstLineChars="200"/>
        <w:rPr>
          <w:rFonts w:hAnsi="微软雅黑" w:cs="宋体"/>
          <w:sz w:val="24"/>
          <w:szCs w:val="24"/>
          <w:u w:val="single"/>
        </w:rPr>
      </w:pPr>
      <w:r>
        <w:rPr>
          <w:rFonts w:hint="eastAsia" w:hAnsi="微软雅黑" w:cs="宋体"/>
          <w:sz w:val="24"/>
          <w:szCs w:val="24"/>
        </w:rPr>
        <w:t>3</w:t>
      </w:r>
      <w:r>
        <w:rPr>
          <w:rFonts w:hAnsi="微软雅黑" w:cs="宋体"/>
          <w:sz w:val="24"/>
          <w:szCs w:val="24"/>
        </w:rPr>
        <w:t xml:space="preserve">.5.1 </w:t>
      </w:r>
      <w:r>
        <w:rPr>
          <w:rFonts w:hint="eastAsia" w:hAnsi="微软雅黑" w:cs="宋体"/>
          <w:sz w:val="24"/>
          <w:szCs w:val="24"/>
        </w:rPr>
        <w:t>市水利局组织各区县水行政主管部门督促辖区内水利生产经营单位，运用水利安全生产监管信息系统的评价标准体系和评价模型，每月按时填报隐患、事故，及时开展危险源辨识、填报应急管理等信息，每季度开展本区域安全生产状况评价并进行系统排名，以及时掌握风险动向，对高风险地区和单位进行重点监管。</w:t>
      </w:r>
    </w:p>
    <w:p>
      <w:pPr>
        <w:spacing w:line="440" w:lineRule="exact"/>
        <w:ind w:firstLine="480" w:firstLineChars="200"/>
        <w:rPr>
          <w:sz w:val="24"/>
          <w:szCs w:val="24"/>
        </w:rPr>
      </w:pPr>
      <w:r>
        <w:rPr>
          <w:rFonts w:hint="eastAsia" w:hAnsi="宋体"/>
          <w:sz w:val="24"/>
          <w:szCs w:val="24"/>
        </w:rPr>
        <w:t>3</w:t>
      </w:r>
      <w:r>
        <w:rPr>
          <w:rFonts w:hAnsi="宋体"/>
          <w:sz w:val="24"/>
          <w:szCs w:val="24"/>
        </w:rPr>
        <w:t xml:space="preserve">.5.2 </w:t>
      </w:r>
      <w:r>
        <w:rPr>
          <w:rFonts w:hint="eastAsia" w:hAnsi="宋体"/>
          <w:sz w:val="24"/>
          <w:szCs w:val="24"/>
        </w:rPr>
        <w:t>重庆市水利行业涉及危险物品生产、储存的水利生产经营单位，每3年应委托具备规定资质条件的专业技术服务机构对本单位的安全生产状况进行安全评价。</w:t>
      </w:r>
    </w:p>
    <w:p>
      <w:pPr>
        <w:pStyle w:val="2"/>
        <w:spacing w:line="440" w:lineRule="exact"/>
        <w:rPr>
          <w:rFonts w:ascii="黑体" w:hAnsi="黑体" w:eastAsia="黑体"/>
          <w:b/>
          <w:sz w:val="24"/>
          <w:szCs w:val="24"/>
        </w:rPr>
      </w:pPr>
      <w:bookmarkStart w:id="34" w:name="_Toc119336546"/>
      <w:r>
        <w:rPr>
          <w:rFonts w:ascii="黑体" w:hAnsi="黑体" w:eastAsia="黑体"/>
          <w:b/>
          <w:sz w:val="24"/>
          <w:szCs w:val="24"/>
        </w:rPr>
        <w:t>4</w:t>
      </w:r>
      <w:r>
        <w:rPr>
          <w:rFonts w:hint="eastAsia" w:ascii="黑体" w:hAnsi="黑体" w:eastAsia="黑体"/>
          <w:b/>
          <w:sz w:val="24"/>
          <w:szCs w:val="24"/>
        </w:rPr>
        <w:t xml:space="preserve"> 风险防范</w:t>
      </w:r>
      <w:bookmarkEnd w:id="34"/>
    </w:p>
    <w:p>
      <w:pPr>
        <w:pStyle w:val="3"/>
        <w:spacing w:line="440" w:lineRule="exact"/>
        <w:rPr>
          <w:rFonts w:ascii="黑体" w:hAnsi="黑体" w:eastAsia="黑体"/>
          <w:sz w:val="24"/>
          <w:szCs w:val="24"/>
        </w:rPr>
      </w:pPr>
      <w:bookmarkStart w:id="35" w:name="_Toc119336547"/>
      <w:r>
        <w:rPr>
          <w:rFonts w:ascii="黑体" w:hAnsi="黑体" w:eastAsia="黑体"/>
          <w:sz w:val="24"/>
          <w:szCs w:val="24"/>
        </w:rPr>
        <w:t>4</w:t>
      </w:r>
      <w:r>
        <w:rPr>
          <w:rFonts w:hint="eastAsia" w:ascii="黑体" w:hAnsi="黑体" w:eastAsia="黑体"/>
          <w:sz w:val="24"/>
          <w:szCs w:val="24"/>
        </w:rPr>
        <w:t>.1 落实风险管控措施</w:t>
      </w:r>
      <w:bookmarkEnd w:id="35"/>
    </w:p>
    <w:p>
      <w:pPr>
        <w:spacing w:line="440" w:lineRule="exact"/>
        <w:ind w:firstLine="480" w:firstLineChars="200"/>
        <w:rPr>
          <w:sz w:val="24"/>
          <w:szCs w:val="24"/>
        </w:rPr>
      </w:pPr>
      <w:r>
        <w:rPr>
          <w:sz w:val="24"/>
          <w:szCs w:val="24"/>
        </w:rPr>
        <w:t>4</w:t>
      </w:r>
      <w:r>
        <w:rPr>
          <w:rFonts w:hint="eastAsia"/>
          <w:sz w:val="24"/>
          <w:szCs w:val="24"/>
        </w:rPr>
        <w:t>.1.1 风险管控措施类别及制定原则</w:t>
      </w:r>
    </w:p>
    <w:p>
      <w:pPr>
        <w:spacing w:line="440" w:lineRule="exact"/>
        <w:ind w:firstLine="480" w:firstLineChars="200"/>
        <w:rPr>
          <w:sz w:val="24"/>
          <w:szCs w:val="24"/>
        </w:rPr>
      </w:pPr>
      <w:r>
        <w:rPr>
          <w:sz w:val="24"/>
          <w:szCs w:val="24"/>
        </w:rPr>
        <w:t>4</w:t>
      </w:r>
      <w:r>
        <w:rPr>
          <w:rFonts w:hint="eastAsia"/>
          <w:sz w:val="24"/>
          <w:szCs w:val="24"/>
        </w:rPr>
        <w:t>.1.1.1风险管控措施类别</w:t>
      </w:r>
    </w:p>
    <w:p>
      <w:pPr>
        <w:spacing w:line="440" w:lineRule="exact"/>
        <w:ind w:firstLine="607" w:firstLineChars="253"/>
        <w:rPr>
          <w:sz w:val="24"/>
          <w:szCs w:val="24"/>
        </w:rPr>
      </w:pPr>
      <w:r>
        <w:rPr>
          <w:rFonts w:hint="eastAsia"/>
          <w:sz w:val="24"/>
          <w:szCs w:val="24"/>
        </w:rPr>
        <w:t>主要包括工程技术措施、管理控制措施、个体防护措施、教育培训措施、应急处置措施等。</w:t>
      </w:r>
    </w:p>
    <w:p>
      <w:pPr>
        <w:spacing w:line="440" w:lineRule="exact"/>
        <w:ind w:firstLine="607" w:firstLineChars="253"/>
        <w:rPr>
          <w:sz w:val="24"/>
          <w:szCs w:val="24"/>
        </w:rPr>
      </w:pPr>
      <w:r>
        <w:rPr>
          <w:rFonts w:hint="eastAsia"/>
          <w:sz w:val="24"/>
          <w:szCs w:val="24"/>
        </w:rPr>
        <w:t xml:space="preserve">（1）工程技术措施 </w:t>
      </w:r>
    </w:p>
    <w:p>
      <w:pPr>
        <w:spacing w:line="440" w:lineRule="exact"/>
        <w:ind w:firstLine="607" w:firstLineChars="253"/>
        <w:rPr>
          <w:sz w:val="24"/>
          <w:szCs w:val="24"/>
        </w:rPr>
      </w:pPr>
      <w:r>
        <w:rPr>
          <w:rFonts w:hint="eastAsia"/>
          <w:sz w:val="24"/>
          <w:szCs w:val="24"/>
        </w:rPr>
        <w:t>工程技术措施是指作业、设备设施本身固有的控制措施，通常采用的工程技术措施有：</w:t>
      </w:r>
    </w:p>
    <w:p>
      <w:pPr>
        <w:spacing w:line="440" w:lineRule="exact"/>
        <w:ind w:firstLine="607" w:firstLineChars="253"/>
        <w:rPr>
          <w:sz w:val="24"/>
          <w:szCs w:val="24"/>
        </w:rPr>
      </w:pPr>
      <w:r>
        <w:rPr>
          <w:rFonts w:hint="eastAsia"/>
          <w:sz w:val="24"/>
          <w:szCs w:val="24"/>
        </w:rPr>
        <w:t>——消除：通过合理的设计和科学的管理，尽可能从根本上消除危险有危害因素；如使用阻燃安全网、岩棉夹芯板，消除安全网、彩板房本身燃烧的可能；宿舍区采用集中充电、集中供热水，消除因宿舍私拉乱接带来的火灾或触电事故；</w:t>
      </w:r>
    </w:p>
    <w:p>
      <w:pPr>
        <w:spacing w:line="440" w:lineRule="exact"/>
        <w:ind w:firstLine="607" w:firstLineChars="253"/>
        <w:rPr>
          <w:sz w:val="24"/>
          <w:szCs w:val="24"/>
        </w:rPr>
      </w:pPr>
      <w:r>
        <w:rPr>
          <w:rFonts w:hint="eastAsia"/>
          <w:sz w:val="24"/>
          <w:szCs w:val="24"/>
        </w:rPr>
        <w:t>——预防：当消除危险、危害因素有困难时，可采取预防性技术措施，预防危险、危害发生，如漏电保护装置、短路及过载保护装置、保护接地装置、起重量限制器、力矩限制器、起升高度限制器、防坠器、临边防护、洞室及边坡危石清理、边坡防护、基坑降水及支护等；</w:t>
      </w:r>
    </w:p>
    <w:p>
      <w:pPr>
        <w:spacing w:line="440" w:lineRule="exact"/>
        <w:ind w:firstLine="607" w:firstLineChars="253"/>
        <w:rPr>
          <w:sz w:val="24"/>
          <w:szCs w:val="24"/>
        </w:rPr>
      </w:pPr>
      <w:r>
        <w:rPr>
          <w:rFonts w:hint="eastAsia"/>
          <w:sz w:val="24"/>
          <w:szCs w:val="24"/>
        </w:rPr>
        <w:t>——减弱：在无法消除危险、危害因素和难以预防的情况下，可采取减少危险、危害的措施，如设置安全平网、安全电压、避雷装置、绝缘垫、洞室内设置防撞墩等；</w:t>
      </w:r>
    </w:p>
    <w:p>
      <w:pPr>
        <w:spacing w:line="440" w:lineRule="exact"/>
        <w:ind w:firstLine="607" w:firstLineChars="253"/>
        <w:rPr>
          <w:sz w:val="24"/>
          <w:szCs w:val="24"/>
        </w:rPr>
      </w:pPr>
      <w:r>
        <w:rPr>
          <w:rFonts w:hint="eastAsia"/>
          <w:sz w:val="24"/>
          <w:szCs w:val="24"/>
        </w:rPr>
        <w:t>——隔离：在无法消除、预防、减弱危险、危害的情况下，应将人员与危险、危害因素隔开和将不能共存的物质分开，如机械设备旋转部位设置防护罩、拆除脚手架设置隔离区、起重机械自身安装拆除设置隔离区、吊装作业设置隔离区、液氨制冷系统设置隔离区、氧气瓶与乙炔瓶分开放置且与明火保持安全间距、施工现场主要临时用房及临时设施保持防火间距等；</w:t>
      </w:r>
    </w:p>
    <w:p>
      <w:pPr>
        <w:spacing w:line="440" w:lineRule="exact"/>
        <w:ind w:firstLine="607" w:firstLineChars="253"/>
        <w:rPr>
          <w:sz w:val="24"/>
          <w:szCs w:val="24"/>
        </w:rPr>
      </w:pPr>
      <w:r>
        <w:rPr>
          <w:rFonts w:hint="eastAsia"/>
          <w:sz w:val="24"/>
          <w:szCs w:val="24"/>
        </w:rPr>
        <w:t>——警告：在易发生故障和危险性较大的地方，设置醒目的安全色、安全标志，必要时，设置声、光或声光组合报警装置，如塔式起重机起重力矩设置声音报警装置、塔式起重机端部设置警示灯、挖泥船桅杆设置号型、号灯，水上作业设置浮漂等。</w:t>
      </w:r>
    </w:p>
    <w:p>
      <w:pPr>
        <w:spacing w:line="440" w:lineRule="exact"/>
        <w:ind w:firstLine="607" w:firstLineChars="253"/>
        <w:rPr>
          <w:sz w:val="24"/>
          <w:szCs w:val="24"/>
        </w:rPr>
      </w:pPr>
      <w:r>
        <w:rPr>
          <w:rFonts w:hint="eastAsia"/>
          <w:sz w:val="24"/>
          <w:szCs w:val="24"/>
        </w:rPr>
        <w:t>（2）管理控制措施</w:t>
      </w:r>
    </w:p>
    <w:p>
      <w:pPr>
        <w:spacing w:line="440" w:lineRule="exact"/>
        <w:ind w:firstLine="607" w:firstLineChars="253"/>
        <w:rPr>
          <w:sz w:val="24"/>
          <w:szCs w:val="24"/>
        </w:rPr>
      </w:pPr>
      <w:r>
        <w:rPr>
          <w:rFonts w:hint="eastAsia"/>
          <w:sz w:val="24"/>
          <w:szCs w:val="24"/>
        </w:rPr>
        <w:t>通常采用的管理控制措施有：制定安全管理制度、成立安全管理组织机构、制定安全技术操作规程、编制专项施工方案并组织专家论证、开展安全技术交底、开展安全检查、安全检测、安全监控以及实施安全奖罚等。</w:t>
      </w:r>
    </w:p>
    <w:p>
      <w:pPr>
        <w:spacing w:line="440" w:lineRule="exact"/>
        <w:ind w:firstLine="607" w:firstLineChars="253"/>
        <w:rPr>
          <w:sz w:val="24"/>
          <w:szCs w:val="24"/>
        </w:rPr>
      </w:pPr>
      <w:r>
        <w:rPr>
          <w:rFonts w:hint="eastAsia"/>
          <w:sz w:val="24"/>
          <w:szCs w:val="24"/>
        </w:rPr>
        <w:t>（3）教育培训措施</w:t>
      </w:r>
    </w:p>
    <w:p>
      <w:pPr>
        <w:spacing w:line="440" w:lineRule="exact"/>
        <w:ind w:firstLine="607" w:firstLineChars="253"/>
        <w:rPr>
          <w:sz w:val="24"/>
          <w:szCs w:val="24"/>
        </w:rPr>
      </w:pPr>
      <w:r>
        <w:rPr>
          <w:rFonts w:hint="eastAsia"/>
          <w:sz w:val="24"/>
          <w:szCs w:val="24"/>
        </w:rPr>
        <w:t>通常采用的教育培训措施有：新员工入场三级安全教育培训、每年再培训、安全管理人员及特种作业人员继续教育、“四新”安全教育培训、安全技术交底、体验式安全教育、安全告知等。</w:t>
      </w:r>
    </w:p>
    <w:p>
      <w:pPr>
        <w:spacing w:line="440" w:lineRule="exact"/>
        <w:ind w:firstLine="607" w:firstLineChars="253"/>
        <w:rPr>
          <w:sz w:val="24"/>
          <w:szCs w:val="24"/>
        </w:rPr>
      </w:pPr>
      <w:r>
        <w:rPr>
          <w:rFonts w:hint="eastAsia"/>
          <w:sz w:val="24"/>
          <w:szCs w:val="24"/>
        </w:rPr>
        <w:t>（4） 个体防护措施</w:t>
      </w:r>
    </w:p>
    <w:p>
      <w:pPr>
        <w:spacing w:line="440" w:lineRule="exact"/>
        <w:ind w:firstLine="607" w:firstLineChars="253"/>
        <w:rPr>
          <w:sz w:val="24"/>
          <w:szCs w:val="24"/>
        </w:rPr>
      </w:pPr>
      <w:r>
        <w:rPr>
          <w:rFonts w:hint="eastAsia"/>
          <w:sz w:val="24"/>
          <w:szCs w:val="24"/>
        </w:rPr>
        <w:t>通常采用的个体防护措施有：安全帽、安全带、安全绳、救生衣、绝缘鞋、绝缘手套、防毒面具、护目镜、耳塞、防护眼镜、呼吸器等。</w:t>
      </w:r>
    </w:p>
    <w:p>
      <w:pPr>
        <w:spacing w:line="440" w:lineRule="exact"/>
        <w:ind w:firstLine="607" w:firstLineChars="253"/>
        <w:rPr>
          <w:sz w:val="24"/>
          <w:szCs w:val="24"/>
        </w:rPr>
      </w:pPr>
      <w:r>
        <w:rPr>
          <w:rFonts w:hint="eastAsia"/>
          <w:sz w:val="24"/>
          <w:szCs w:val="24"/>
        </w:rPr>
        <w:t>（5） 应急处置措施</w:t>
      </w:r>
    </w:p>
    <w:p>
      <w:pPr>
        <w:spacing w:line="440" w:lineRule="exact"/>
        <w:ind w:firstLine="607" w:firstLineChars="253"/>
        <w:rPr>
          <w:sz w:val="24"/>
          <w:szCs w:val="24"/>
        </w:rPr>
      </w:pPr>
      <w:r>
        <w:rPr>
          <w:rFonts w:hint="eastAsia"/>
          <w:sz w:val="24"/>
          <w:szCs w:val="24"/>
        </w:rPr>
        <w:t>通常采用的应急处置措施有：紧急情况分析、制定应急预案体系和应急处置卡、成立应急组织机构、储备应急物资、签订救援协议、设置应急通道、开展应急演练及培训等。</w:t>
      </w:r>
    </w:p>
    <w:p>
      <w:pPr>
        <w:spacing w:line="440" w:lineRule="exact"/>
        <w:ind w:firstLine="480" w:firstLineChars="200"/>
        <w:rPr>
          <w:sz w:val="24"/>
          <w:szCs w:val="24"/>
        </w:rPr>
      </w:pPr>
      <w:r>
        <w:rPr>
          <w:sz w:val="24"/>
          <w:szCs w:val="24"/>
        </w:rPr>
        <w:t>4</w:t>
      </w:r>
      <w:r>
        <w:rPr>
          <w:rFonts w:hint="eastAsia"/>
          <w:sz w:val="24"/>
          <w:szCs w:val="24"/>
        </w:rPr>
        <w:t>.1.1.2 风险管控措施制定原则</w:t>
      </w:r>
    </w:p>
    <w:p>
      <w:pPr>
        <w:spacing w:line="440" w:lineRule="exact"/>
        <w:ind w:firstLine="480" w:firstLineChars="200"/>
        <w:rPr>
          <w:sz w:val="24"/>
          <w:szCs w:val="24"/>
        </w:rPr>
      </w:pPr>
      <w:r>
        <w:rPr>
          <w:rFonts w:hint="eastAsia"/>
          <w:sz w:val="24"/>
          <w:szCs w:val="24"/>
        </w:rPr>
        <w:t>(1)在选择风险管控措施时应遵循以下原则:</w:t>
      </w:r>
    </w:p>
    <w:p>
      <w:pPr>
        <w:spacing w:line="440" w:lineRule="exact"/>
        <w:ind w:firstLine="480" w:firstLineChars="200"/>
        <w:rPr>
          <w:sz w:val="24"/>
          <w:szCs w:val="24"/>
        </w:rPr>
      </w:pPr>
      <w:r>
        <w:rPr>
          <w:rFonts w:hint="eastAsia"/>
          <w:sz w:val="24"/>
          <w:szCs w:val="24"/>
        </w:rPr>
        <w:t>——等级顺序原则:消除-预防-减弱-隔离-联锁-设置薄弱环节-加强(冗余)-减少接触时间-合理布局-自动代替手工</w:t>
      </w:r>
      <w:r>
        <w:rPr>
          <w:sz w:val="24"/>
          <w:szCs w:val="24"/>
        </w:rPr>
        <w:t>-</w:t>
      </w:r>
      <w:r>
        <w:rPr>
          <w:rFonts w:hint="eastAsia"/>
          <w:sz w:val="24"/>
          <w:szCs w:val="24"/>
        </w:rPr>
        <w:t>警告-个体防护。</w:t>
      </w:r>
    </w:p>
    <w:p>
      <w:pPr>
        <w:spacing w:line="440" w:lineRule="exact"/>
        <w:ind w:firstLine="480" w:firstLineChars="200"/>
        <w:rPr>
          <w:sz w:val="24"/>
          <w:szCs w:val="24"/>
        </w:rPr>
      </w:pPr>
      <w:r>
        <w:rPr>
          <w:rFonts w:hint="eastAsia"/>
          <w:sz w:val="24"/>
          <w:szCs w:val="24"/>
        </w:rPr>
        <w:t>——三E对策同时落实的原则:工程技术措施(Engineering)、教育措施(Education)和安全管理(Enforcement)，三者相辅相成，同时进行，缺一不可。</w:t>
      </w:r>
    </w:p>
    <w:p>
      <w:pPr>
        <w:spacing w:line="440" w:lineRule="exact"/>
        <w:ind w:firstLine="480" w:firstLineChars="200"/>
        <w:rPr>
          <w:sz w:val="24"/>
          <w:szCs w:val="24"/>
        </w:rPr>
      </w:pPr>
      <w:r>
        <w:rPr>
          <w:rFonts w:hint="eastAsia"/>
          <w:sz w:val="24"/>
          <w:szCs w:val="24"/>
        </w:rPr>
        <w:t>——合法性原则:应满足法律法规和标准规范的要求。</w:t>
      </w:r>
    </w:p>
    <w:p>
      <w:pPr>
        <w:spacing w:line="440" w:lineRule="exact"/>
        <w:ind w:firstLine="480" w:firstLineChars="200"/>
        <w:rPr>
          <w:sz w:val="24"/>
          <w:szCs w:val="24"/>
        </w:rPr>
      </w:pPr>
      <w:r>
        <w:rPr>
          <w:rFonts w:hint="eastAsia"/>
          <w:sz w:val="24"/>
          <w:szCs w:val="24"/>
        </w:rPr>
        <w:t>——针对性、可操作性和经济合理性。</w:t>
      </w:r>
    </w:p>
    <w:p>
      <w:pPr>
        <w:spacing w:line="440" w:lineRule="exact"/>
        <w:ind w:firstLine="480" w:firstLineChars="200"/>
        <w:rPr>
          <w:sz w:val="24"/>
          <w:szCs w:val="24"/>
        </w:rPr>
      </w:pPr>
      <w:r>
        <w:rPr>
          <w:rFonts w:hint="eastAsia"/>
          <w:sz w:val="24"/>
          <w:szCs w:val="24"/>
        </w:rPr>
        <w:t>——事故状态下减少损失的处理原则。</w:t>
      </w:r>
    </w:p>
    <w:p>
      <w:pPr>
        <w:spacing w:line="440" w:lineRule="exact"/>
        <w:ind w:firstLine="480" w:firstLineChars="200"/>
        <w:rPr>
          <w:sz w:val="24"/>
          <w:szCs w:val="24"/>
        </w:rPr>
      </w:pPr>
      <w:r>
        <w:rPr>
          <w:rFonts w:hint="eastAsia"/>
          <w:sz w:val="24"/>
          <w:szCs w:val="24"/>
        </w:rPr>
        <w:t>——在制定风险管控措施中的工程技术措施、教育培训措施、管理措施、应急措施时务必举一反三，优先实施确保本质安全的工程技术措施，在确定其管控效果的有效性后应上升为机制性、系统性的管理规定。根据风险管控实际需要，防止为减少安全投入，只应付性采取教育培训措施、管理措施，不采取工程技术措施。</w:t>
      </w:r>
    </w:p>
    <w:p>
      <w:pPr>
        <w:spacing w:line="440" w:lineRule="exact"/>
        <w:ind w:firstLine="480" w:firstLineChars="200"/>
        <w:rPr>
          <w:sz w:val="24"/>
          <w:szCs w:val="24"/>
        </w:rPr>
      </w:pPr>
      <w:r>
        <w:rPr>
          <w:rFonts w:hint="eastAsia"/>
          <w:sz w:val="24"/>
          <w:szCs w:val="24"/>
        </w:rPr>
        <w:t>(2)水利生产经营单位风险控制可结合实际选择运用“职责、培训、准入、隔离、防护、改造、替换、限制、治理、救援”等措施。注意静态与动态，常态与特例，甚至紧急状况下的利害权衡相结合。</w:t>
      </w:r>
    </w:p>
    <w:p>
      <w:pPr>
        <w:spacing w:line="440" w:lineRule="exact"/>
        <w:ind w:firstLine="480" w:firstLineChars="200"/>
        <w:rPr>
          <w:sz w:val="24"/>
          <w:szCs w:val="24"/>
        </w:rPr>
      </w:pPr>
      <w:r>
        <w:rPr>
          <w:rFonts w:hint="eastAsia"/>
          <w:sz w:val="24"/>
          <w:szCs w:val="24"/>
        </w:rPr>
        <w:t>——职责：建立责任制和规章制度、操作规程，控制岗位风险。</w:t>
      </w:r>
    </w:p>
    <w:p>
      <w:pPr>
        <w:spacing w:line="440" w:lineRule="exact"/>
        <w:ind w:firstLine="480" w:firstLineChars="200"/>
        <w:rPr>
          <w:sz w:val="24"/>
          <w:szCs w:val="24"/>
        </w:rPr>
      </w:pPr>
      <w:r>
        <w:rPr>
          <w:rFonts w:hint="eastAsia"/>
          <w:sz w:val="24"/>
          <w:szCs w:val="24"/>
        </w:rPr>
        <w:t>——培训：利用各种形式的培训教育，使员工掌握安全生产所必须的知识和技能。</w:t>
      </w:r>
    </w:p>
    <w:p>
      <w:pPr>
        <w:spacing w:line="440" w:lineRule="exact"/>
        <w:ind w:firstLine="480" w:firstLineChars="200"/>
        <w:rPr>
          <w:sz w:val="24"/>
          <w:szCs w:val="24"/>
        </w:rPr>
      </w:pPr>
      <w:r>
        <w:rPr>
          <w:rFonts w:hint="eastAsia"/>
          <w:sz w:val="24"/>
          <w:szCs w:val="24"/>
        </w:rPr>
        <w:t>——准入：严格高风险项目建设安全审核把关，强化区域、设备设施、工艺准入管控和区域、岗位等人员准入控制，如公交司机筛查。</w:t>
      </w:r>
    </w:p>
    <w:p>
      <w:pPr>
        <w:spacing w:line="440" w:lineRule="exact"/>
        <w:ind w:firstLine="480" w:firstLineChars="200"/>
        <w:rPr>
          <w:sz w:val="24"/>
          <w:szCs w:val="24"/>
        </w:rPr>
      </w:pPr>
      <w:r>
        <w:rPr>
          <w:rFonts w:hint="eastAsia"/>
          <w:sz w:val="24"/>
          <w:szCs w:val="24"/>
        </w:rPr>
        <w:t>——隔离：将人员与危险、有害因素隔开或者不能共存的、存在储存或使用禁忌的物资分开，如：安全罩、隔离屏、隔离操作室、安全距离等。</w:t>
      </w:r>
    </w:p>
    <w:p>
      <w:pPr>
        <w:spacing w:line="440" w:lineRule="exact"/>
        <w:ind w:firstLine="480" w:firstLineChars="200"/>
        <w:rPr>
          <w:sz w:val="24"/>
          <w:szCs w:val="24"/>
        </w:rPr>
      </w:pPr>
      <w:r>
        <w:rPr>
          <w:rFonts w:hint="eastAsia"/>
          <w:sz w:val="24"/>
          <w:szCs w:val="24"/>
        </w:rPr>
        <w:t>——防护：固定防护设施，如防护栏杆、防护网、防护罩、防爆堤；个体防护措施，如安全帽、安全带、防砸靴、绝缘手套等。</w:t>
      </w:r>
    </w:p>
    <w:p>
      <w:pPr>
        <w:spacing w:line="440" w:lineRule="exact"/>
        <w:ind w:firstLine="480" w:firstLineChars="200"/>
        <w:rPr>
          <w:sz w:val="24"/>
          <w:szCs w:val="24"/>
        </w:rPr>
      </w:pPr>
      <w:r>
        <w:rPr>
          <w:rFonts w:hint="eastAsia"/>
          <w:sz w:val="24"/>
          <w:szCs w:val="24"/>
        </w:rPr>
        <w:t>——改造：工艺技术或设备设施改造，有效降低安全风险;移开或改变方向，如为危险及有毒气体设置有序排放口等。</w:t>
      </w:r>
    </w:p>
    <w:p>
      <w:pPr>
        <w:spacing w:line="440" w:lineRule="exact"/>
        <w:ind w:firstLine="480" w:firstLineChars="200"/>
        <w:rPr>
          <w:sz w:val="24"/>
          <w:szCs w:val="24"/>
        </w:rPr>
      </w:pPr>
      <w:r>
        <w:rPr>
          <w:rFonts w:hint="eastAsia"/>
          <w:sz w:val="24"/>
          <w:szCs w:val="24"/>
        </w:rPr>
        <w:t>——替换:用其他程序或物质代替，可有效降低风险，如不燃爆制冷剂替代可燃爆制冷剂。</w:t>
      </w:r>
    </w:p>
    <w:p>
      <w:pPr>
        <w:spacing w:line="440" w:lineRule="exact"/>
        <w:ind w:firstLine="480" w:firstLineChars="200"/>
        <w:rPr>
          <w:sz w:val="24"/>
          <w:szCs w:val="24"/>
        </w:rPr>
      </w:pPr>
      <w:r>
        <w:rPr>
          <w:rFonts w:hint="eastAsia"/>
          <w:sz w:val="24"/>
          <w:szCs w:val="24"/>
        </w:rPr>
        <w:t>——限制：场所边界警戒，危险场所人员数量限制，危险化学品限量存放、危害场所减少暴露时间等。</w:t>
      </w:r>
    </w:p>
    <w:p>
      <w:pPr>
        <w:spacing w:line="440" w:lineRule="exact"/>
        <w:ind w:firstLine="480" w:firstLineChars="200"/>
        <w:rPr>
          <w:sz w:val="24"/>
          <w:szCs w:val="24"/>
        </w:rPr>
      </w:pPr>
      <w:r>
        <w:rPr>
          <w:rFonts w:hint="eastAsia"/>
          <w:sz w:val="24"/>
          <w:szCs w:val="24"/>
        </w:rPr>
        <w:t>——治理：实施薄弱环节专项治理，通过补强短板以弥补系统的风险控制。</w:t>
      </w:r>
    </w:p>
    <w:p>
      <w:pPr>
        <w:spacing w:line="440" w:lineRule="exact"/>
        <w:ind w:firstLine="480" w:firstLineChars="200"/>
        <w:rPr>
          <w:sz w:val="24"/>
          <w:szCs w:val="24"/>
        </w:rPr>
      </w:pPr>
      <w:r>
        <w:rPr>
          <w:rFonts w:hint="eastAsia"/>
          <w:sz w:val="24"/>
          <w:szCs w:val="24"/>
        </w:rPr>
        <w:t>——救援：即救援准备和突发事件应对处置。包括制定综合应急预案、专项预案、现场处置方案或现场处置卡;配备应急救援物资和人员;开展应急演练、应急培训等。</w:t>
      </w:r>
    </w:p>
    <w:p>
      <w:pPr>
        <w:spacing w:line="440" w:lineRule="exact"/>
        <w:ind w:firstLine="480" w:firstLineChars="200"/>
        <w:rPr>
          <w:sz w:val="24"/>
          <w:szCs w:val="24"/>
        </w:rPr>
      </w:pPr>
      <w:r>
        <w:rPr>
          <w:sz w:val="24"/>
          <w:szCs w:val="24"/>
        </w:rPr>
        <w:t>4</w:t>
      </w:r>
      <w:r>
        <w:rPr>
          <w:rFonts w:hint="eastAsia"/>
          <w:sz w:val="24"/>
          <w:szCs w:val="24"/>
        </w:rPr>
        <w:t>.1.2 风险管控措施评审</w:t>
      </w:r>
    </w:p>
    <w:p>
      <w:pPr>
        <w:spacing w:line="440" w:lineRule="exact"/>
        <w:ind w:firstLine="480" w:firstLineChars="200"/>
        <w:rPr>
          <w:sz w:val="24"/>
          <w:szCs w:val="24"/>
        </w:rPr>
      </w:pPr>
      <w:r>
        <w:rPr>
          <w:rFonts w:hint="eastAsia"/>
          <w:sz w:val="24"/>
          <w:szCs w:val="24"/>
        </w:rPr>
        <w:t>控制措施在实施前应针对以下内容进行评审，并形成评审记录。</w:t>
      </w:r>
      <w:bookmarkStart w:id="36" w:name="_Hlk117368270"/>
      <w:r>
        <w:rPr>
          <w:rFonts w:hint="eastAsia"/>
          <w:sz w:val="24"/>
          <w:szCs w:val="24"/>
        </w:rPr>
        <w:t>《风险控制措施评审记录表》参见附录</w:t>
      </w:r>
      <w:bookmarkEnd w:id="36"/>
      <w:r>
        <w:rPr>
          <w:rFonts w:hint="eastAsia"/>
          <w:sz w:val="24"/>
          <w:szCs w:val="24"/>
        </w:rPr>
        <w:t>H</w:t>
      </w:r>
      <w:r>
        <w:rPr>
          <w:sz w:val="24"/>
          <w:szCs w:val="24"/>
        </w:rPr>
        <w:t>.2</w:t>
      </w:r>
      <w:r>
        <w:rPr>
          <w:rFonts w:hint="eastAsia"/>
          <w:sz w:val="24"/>
          <w:szCs w:val="24"/>
        </w:rPr>
        <w:t>。</w:t>
      </w:r>
    </w:p>
    <w:p>
      <w:pPr>
        <w:spacing w:line="440" w:lineRule="exact"/>
        <w:ind w:firstLine="480" w:firstLineChars="200"/>
        <w:rPr>
          <w:sz w:val="24"/>
          <w:szCs w:val="24"/>
        </w:rPr>
      </w:pPr>
      <w:r>
        <w:rPr>
          <w:sz w:val="24"/>
          <w:szCs w:val="24"/>
        </w:rPr>
        <w:t>4</w:t>
      </w:r>
      <w:r>
        <w:rPr>
          <w:rFonts w:hint="eastAsia"/>
          <w:sz w:val="24"/>
          <w:szCs w:val="24"/>
        </w:rPr>
        <w:t>.1.2.1 措施的可行性和有效性。</w:t>
      </w:r>
    </w:p>
    <w:p>
      <w:pPr>
        <w:spacing w:line="440" w:lineRule="exact"/>
        <w:ind w:firstLine="480" w:firstLineChars="200"/>
        <w:rPr>
          <w:sz w:val="24"/>
          <w:szCs w:val="24"/>
        </w:rPr>
      </w:pPr>
      <w:r>
        <w:rPr>
          <w:sz w:val="24"/>
          <w:szCs w:val="24"/>
        </w:rPr>
        <w:t>4</w:t>
      </w:r>
      <w:r>
        <w:rPr>
          <w:rFonts w:hint="eastAsia"/>
          <w:sz w:val="24"/>
          <w:szCs w:val="24"/>
        </w:rPr>
        <w:t>.1.2.2 是否使风险降低至可接受风险。</w:t>
      </w:r>
    </w:p>
    <w:p>
      <w:pPr>
        <w:spacing w:line="440" w:lineRule="exact"/>
        <w:ind w:firstLine="480" w:firstLineChars="200"/>
        <w:rPr>
          <w:sz w:val="24"/>
          <w:szCs w:val="24"/>
        </w:rPr>
      </w:pPr>
      <w:r>
        <w:rPr>
          <w:sz w:val="24"/>
          <w:szCs w:val="24"/>
        </w:rPr>
        <w:t>4</w:t>
      </w:r>
      <w:r>
        <w:rPr>
          <w:rFonts w:hint="eastAsia"/>
          <w:sz w:val="24"/>
          <w:szCs w:val="24"/>
        </w:rPr>
        <w:t>.1.2.3 是否产生新的危险源或危险有害因素。</w:t>
      </w:r>
    </w:p>
    <w:p>
      <w:pPr>
        <w:spacing w:line="440" w:lineRule="exact"/>
        <w:ind w:firstLine="480" w:firstLineChars="200"/>
        <w:rPr>
          <w:sz w:val="24"/>
          <w:szCs w:val="24"/>
        </w:rPr>
      </w:pPr>
      <w:r>
        <w:rPr>
          <w:sz w:val="24"/>
          <w:szCs w:val="24"/>
        </w:rPr>
        <w:t>4</w:t>
      </w:r>
      <w:r>
        <w:rPr>
          <w:rFonts w:hint="eastAsia"/>
          <w:sz w:val="24"/>
          <w:szCs w:val="24"/>
        </w:rPr>
        <w:t>.1.2.4 是否已选定最佳的解决方案。</w:t>
      </w:r>
    </w:p>
    <w:p>
      <w:pPr>
        <w:spacing w:line="440" w:lineRule="exact"/>
        <w:ind w:firstLine="480" w:firstLineChars="200"/>
        <w:rPr>
          <w:sz w:val="24"/>
          <w:szCs w:val="24"/>
        </w:rPr>
      </w:pPr>
      <w:r>
        <w:rPr>
          <w:sz w:val="24"/>
          <w:szCs w:val="24"/>
        </w:rPr>
        <w:t>4</w:t>
      </w:r>
      <w:r>
        <w:rPr>
          <w:rFonts w:hint="eastAsia"/>
          <w:sz w:val="24"/>
          <w:szCs w:val="24"/>
        </w:rPr>
        <w:t>.1.2.5 是否有临时措施方案和（或）应急救援措施方案。</w:t>
      </w:r>
    </w:p>
    <w:p>
      <w:pPr>
        <w:spacing w:line="440" w:lineRule="exact"/>
        <w:ind w:firstLine="480" w:firstLineChars="200"/>
        <w:rPr>
          <w:sz w:val="24"/>
          <w:szCs w:val="24"/>
        </w:rPr>
      </w:pPr>
      <w:r>
        <w:rPr>
          <w:sz w:val="24"/>
          <w:szCs w:val="24"/>
        </w:rPr>
        <w:t>4</w:t>
      </w:r>
      <w:r>
        <w:rPr>
          <w:rFonts w:hint="eastAsia"/>
          <w:sz w:val="24"/>
          <w:szCs w:val="24"/>
        </w:rPr>
        <w:t>.1.3 风险管控层级</w:t>
      </w:r>
    </w:p>
    <w:p>
      <w:pPr>
        <w:spacing w:line="440" w:lineRule="exact"/>
        <w:ind w:firstLine="480" w:firstLineChars="200"/>
        <w:rPr>
          <w:sz w:val="24"/>
          <w:szCs w:val="24"/>
        </w:rPr>
      </w:pPr>
      <w:r>
        <w:rPr>
          <w:sz w:val="24"/>
          <w:szCs w:val="24"/>
        </w:rPr>
        <w:t>4</w:t>
      </w:r>
      <w:r>
        <w:rPr>
          <w:rFonts w:hint="eastAsia"/>
          <w:sz w:val="24"/>
          <w:szCs w:val="24"/>
        </w:rPr>
        <w:t>.1.3.1风险管控层级由高到低一般分为企业（公司、单位）级、车间(部门、项目部等)级、班组(工段、岗位)级，也可根据单位规模大小和组织机构设置情况进行增加和合并，各层级的风险管控只要涉及技术性管控务必由专业技术人员依据相关标准主导,如本单位缺少专业技术人员可临时外请以制定相应的工程管控措施。</w:t>
      </w:r>
    </w:p>
    <w:p>
      <w:pPr>
        <w:spacing w:line="440" w:lineRule="exact"/>
        <w:ind w:firstLine="480" w:firstLineChars="200"/>
        <w:rPr>
          <w:sz w:val="24"/>
          <w:szCs w:val="24"/>
        </w:rPr>
      </w:pPr>
      <w:r>
        <w:rPr>
          <w:sz w:val="24"/>
          <w:szCs w:val="24"/>
        </w:rPr>
        <w:t>4</w:t>
      </w:r>
      <w:r>
        <w:rPr>
          <w:rFonts w:hint="eastAsia"/>
          <w:sz w:val="24"/>
          <w:szCs w:val="24"/>
        </w:rPr>
        <w:t>.1.3.2 风险分级管控应遵循风险越大，管控级别越高、投入资源越全的原则，上一级负责管控的风险，下一级必须同时负责管控，并逐级落实具体措施。对于操作难度大、技术含量高、风险等级高、可能导致严重后果的系统、作业活动、设备设施、场所、岗位应进行重点管控，甚至可由行业主管部门、政府及其职能管理部门协调相应资源予以管控。不同风险管控层级如下:</w:t>
      </w:r>
    </w:p>
    <w:p>
      <w:pPr>
        <w:spacing w:line="440" w:lineRule="exact"/>
        <w:ind w:firstLine="480" w:firstLineChars="200"/>
        <w:rPr>
          <w:sz w:val="24"/>
          <w:szCs w:val="24"/>
        </w:rPr>
      </w:pPr>
      <w:r>
        <w:rPr>
          <w:rFonts w:hint="eastAsia"/>
          <w:sz w:val="24"/>
          <w:szCs w:val="24"/>
        </w:rPr>
        <w:t>（1）重大风险:企业（公司、单位）级、车间(部门、项目部等)级、班组(工段、岗位)级管控，重大风险应处于严密管控中，必要时(出现隐患时)应停止生产经营活动，待风险降低后再恢复生产经营。</w:t>
      </w:r>
    </w:p>
    <w:p>
      <w:pPr>
        <w:spacing w:line="440" w:lineRule="exact"/>
        <w:ind w:firstLine="480" w:firstLineChars="200"/>
        <w:rPr>
          <w:sz w:val="24"/>
          <w:szCs w:val="24"/>
        </w:rPr>
      </w:pPr>
      <w:r>
        <w:rPr>
          <w:rFonts w:hint="eastAsia"/>
          <w:sz w:val="24"/>
          <w:szCs w:val="24"/>
        </w:rPr>
        <w:t>（2）较大风险:车间(部门、项目部等)级、班组(工段、岗位)级管控。</w:t>
      </w:r>
    </w:p>
    <w:p>
      <w:pPr>
        <w:spacing w:line="440" w:lineRule="exact"/>
        <w:ind w:firstLine="480" w:firstLineChars="200"/>
        <w:rPr>
          <w:sz w:val="24"/>
          <w:szCs w:val="24"/>
        </w:rPr>
      </w:pPr>
      <w:r>
        <w:rPr>
          <w:rFonts w:hint="eastAsia"/>
          <w:sz w:val="24"/>
          <w:szCs w:val="24"/>
        </w:rPr>
        <w:t>（3）一般风险:班组(工段、岗位)级管控。</w:t>
      </w:r>
    </w:p>
    <w:p>
      <w:pPr>
        <w:spacing w:line="440" w:lineRule="exact"/>
        <w:ind w:firstLine="480" w:firstLineChars="200"/>
        <w:rPr>
          <w:sz w:val="24"/>
          <w:szCs w:val="24"/>
        </w:rPr>
      </w:pPr>
      <w:r>
        <w:rPr>
          <w:rFonts w:hint="eastAsia"/>
          <w:sz w:val="24"/>
          <w:szCs w:val="24"/>
        </w:rPr>
        <w:t>（4）低风险:工段、岗位级管控。</w:t>
      </w:r>
    </w:p>
    <w:p>
      <w:pPr>
        <w:spacing w:line="440" w:lineRule="exact"/>
        <w:ind w:firstLine="480" w:firstLineChars="200"/>
        <w:rPr>
          <w:sz w:val="24"/>
          <w:szCs w:val="24"/>
        </w:rPr>
      </w:pPr>
      <w:r>
        <w:rPr>
          <w:rFonts w:hint="eastAsia"/>
          <w:sz w:val="24"/>
          <w:szCs w:val="24"/>
        </w:rPr>
        <w:t>风险的分级管控不是一成不变的，应为动态的。当低、一般、较大风险层级的风险出现管控失效和(或)失控的情况，也即出现隐患时，可能导致风险等级发生猝变，相应的管控层级应急速提升、甚至需实施应急处置措施;当重大风险涉及的危险物料、能量及其载体缩量，且管控措施持续有效，应将其风险作降级处理。</w:t>
      </w:r>
    </w:p>
    <w:p>
      <w:pPr>
        <w:spacing w:line="440" w:lineRule="exact"/>
        <w:ind w:firstLine="480" w:firstLineChars="200"/>
        <w:rPr>
          <w:sz w:val="24"/>
          <w:szCs w:val="24"/>
        </w:rPr>
      </w:pPr>
      <w:r>
        <w:rPr>
          <w:sz w:val="24"/>
          <w:szCs w:val="24"/>
        </w:rPr>
        <w:t>4</w:t>
      </w:r>
      <w:r>
        <w:rPr>
          <w:rFonts w:hint="eastAsia"/>
          <w:sz w:val="24"/>
          <w:szCs w:val="24"/>
        </w:rPr>
        <w:t>.1.3.3 水利生产经营单位风险分级管控层级</w:t>
      </w:r>
    </w:p>
    <w:p>
      <w:pPr>
        <w:spacing w:line="440" w:lineRule="exact"/>
        <w:ind w:firstLine="607" w:firstLineChars="253"/>
        <w:rPr>
          <w:rFonts w:hAnsi="仿宋" w:cs="仿宋"/>
          <w:sz w:val="24"/>
          <w:szCs w:val="24"/>
        </w:rPr>
      </w:pPr>
      <w:r>
        <w:rPr>
          <w:rFonts w:hint="eastAsia"/>
          <w:sz w:val="24"/>
          <w:szCs w:val="24"/>
        </w:rPr>
        <w:t>（1）</w:t>
      </w:r>
      <w:r>
        <w:rPr>
          <w:rFonts w:hint="eastAsia" w:hAnsi="仿宋" w:cs="仿宋"/>
          <w:sz w:val="24"/>
          <w:szCs w:val="24"/>
        </w:rPr>
        <w:t>水利水电工程施工</w:t>
      </w:r>
      <w:r>
        <w:rPr>
          <w:rFonts w:hint="eastAsia"/>
          <w:sz w:val="24"/>
          <w:szCs w:val="24"/>
        </w:rPr>
        <w:t>风险分级管控层级见表一</w:t>
      </w:r>
    </w:p>
    <w:p>
      <w:pPr>
        <w:spacing w:line="440" w:lineRule="exact"/>
        <w:jc w:val="center"/>
        <w:rPr>
          <w:sz w:val="24"/>
          <w:szCs w:val="24"/>
        </w:rPr>
      </w:pPr>
      <w:r>
        <w:rPr>
          <w:rFonts w:hint="eastAsia"/>
          <w:sz w:val="24"/>
          <w:szCs w:val="24"/>
        </w:rPr>
        <w:t xml:space="preserve">表一 </w:t>
      </w:r>
      <w:r>
        <w:rPr>
          <w:sz w:val="24"/>
          <w:szCs w:val="24"/>
        </w:rPr>
        <w:t xml:space="preserve"> </w:t>
      </w:r>
      <w:r>
        <w:rPr>
          <w:rFonts w:hint="eastAsia" w:hAnsi="仿宋" w:cs="仿宋"/>
          <w:sz w:val="24"/>
          <w:szCs w:val="24"/>
        </w:rPr>
        <w:t>水利水电工程施工</w:t>
      </w:r>
      <w:r>
        <w:rPr>
          <w:rFonts w:hint="eastAsia"/>
          <w:sz w:val="24"/>
          <w:szCs w:val="24"/>
        </w:rPr>
        <w:t>风险分级管控层级</w:t>
      </w:r>
    </w:p>
    <w:tbl>
      <w:tblPr>
        <w:tblStyle w:val="34"/>
        <w:tblW w:w="5000" w:type="pct"/>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autofit"/>
        <w:tblCellMar>
          <w:top w:w="0" w:type="dxa"/>
          <w:left w:w="108" w:type="dxa"/>
          <w:bottom w:w="0" w:type="dxa"/>
          <w:right w:w="108" w:type="dxa"/>
        </w:tblCellMar>
      </w:tblPr>
      <w:tblGrid>
        <w:gridCol w:w="1156"/>
        <w:gridCol w:w="1165"/>
        <w:gridCol w:w="1167"/>
        <w:gridCol w:w="1605"/>
        <w:gridCol w:w="3435"/>
      </w:tblGrid>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678" w:type="pct"/>
            <w:tcBorders>
              <w:top w:val="single" w:color="000000" w:sz="8" w:space="0"/>
              <w:bottom w:val="single" w:color="000000" w:sz="8" w:space="0"/>
            </w:tcBorders>
            <w:shd w:val="clear" w:color="auto" w:fill="auto"/>
            <w:vAlign w:val="center"/>
          </w:tcPr>
          <w:p>
            <w:pPr>
              <w:spacing w:line="360" w:lineRule="exact"/>
              <w:jc w:val="center"/>
              <w:rPr>
                <w:sz w:val="21"/>
                <w:szCs w:val="21"/>
              </w:rPr>
            </w:pPr>
            <w:r>
              <w:rPr>
                <w:rFonts w:hint="eastAsia"/>
                <w:sz w:val="21"/>
                <w:szCs w:val="21"/>
              </w:rPr>
              <w:t>风险等级</w:t>
            </w:r>
          </w:p>
        </w:tc>
        <w:tc>
          <w:tcPr>
            <w:tcW w:w="683" w:type="pct"/>
            <w:tcBorders>
              <w:top w:val="single" w:color="000000" w:sz="8" w:space="0"/>
              <w:bottom w:val="single" w:color="000000" w:sz="8" w:space="0"/>
            </w:tcBorders>
            <w:shd w:val="clear" w:color="auto" w:fill="auto"/>
            <w:vAlign w:val="center"/>
          </w:tcPr>
          <w:p>
            <w:pPr>
              <w:spacing w:line="360" w:lineRule="exact"/>
              <w:jc w:val="center"/>
              <w:rPr>
                <w:sz w:val="21"/>
                <w:szCs w:val="21"/>
              </w:rPr>
            </w:pPr>
            <w:r>
              <w:rPr>
                <w:rFonts w:hint="eastAsia"/>
                <w:sz w:val="21"/>
                <w:szCs w:val="21"/>
              </w:rPr>
              <w:t>危险程度</w:t>
            </w:r>
          </w:p>
        </w:tc>
        <w:tc>
          <w:tcPr>
            <w:tcW w:w="684" w:type="pct"/>
            <w:tcBorders>
              <w:top w:val="single" w:color="000000" w:sz="8" w:space="0"/>
              <w:bottom w:val="single" w:color="000000" w:sz="8" w:space="0"/>
            </w:tcBorders>
            <w:shd w:val="clear" w:color="auto" w:fill="auto"/>
            <w:vAlign w:val="center"/>
          </w:tcPr>
          <w:p>
            <w:pPr>
              <w:spacing w:line="360" w:lineRule="exact"/>
              <w:jc w:val="center"/>
              <w:rPr>
                <w:sz w:val="21"/>
                <w:szCs w:val="21"/>
              </w:rPr>
            </w:pPr>
            <w:r>
              <w:rPr>
                <w:rFonts w:hint="eastAsia"/>
                <w:sz w:val="21"/>
                <w:szCs w:val="21"/>
              </w:rPr>
              <w:t>标识颜色</w:t>
            </w:r>
          </w:p>
        </w:tc>
        <w:tc>
          <w:tcPr>
            <w:tcW w:w="941" w:type="pct"/>
            <w:tcBorders>
              <w:top w:val="single" w:color="000000" w:sz="8" w:space="0"/>
              <w:bottom w:val="single" w:color="000000" w:sz="8" w:space="0"/>
            </w:tcBorders>
            <w:shd w:val="clear" w:color="auto" w:fill="auto"/>
            <w:vAlign w:val="center"/>
          </w:tcPr>
          <w:p>
            <w:pPr>
              <w:spacing w:line="360" w:lineRule="exact"/>
              <w:jc w:val="center"/>
              <w:rPr>
                <w:sz w:val="21"/>
                <w:szCs w:val="21"/>
              </w:rPr>
            </w:pPr>
            <w:r>
              <w:rPr>
                <w:rFonts w:hint="eastAsia"/>
                <w:sz w:val="21"/>
                <w:szCs w:val="21"/>
              </w:rPr>
              <w:t>管控责任主体</w:t>
            </w:r>
          </w:p>
        </w:tc>
        <w:tc>
          <w:tcPr>
            <w:tcW w:w="2014" w:type="pct"/>
            <w:tcBorders>
              <w:top w:val="single" w:color="000000" w:sz="8" w:space="0"/>
              <w:bottom w:val="single" w:color="000000" w:sz="8" w:space="0"/>
            </w:tcBorders>
            <w:shd w:val="clear" w:color="auto" w:fill="auto"/>
            <w:vAlign w:val="center"/>
          </w:tcPr>
          <w:p>
            <w:pPr>
              <w:spacing w:line="360" w:lineRule="exact"/>
              <w:jc w:val="center"/>
              <w:rPr>
                <w:sz w:val="21"/>
                <w:szCs w:val="21"/>
              </w:rPr>
            </w:pPr>
            <w:r>
              <w:rPr>
                <w:rFonts w:hint="eastAsia"/>
                <w:sz w:val="21"/>
                <w:szCs w:val="21"/>
              </w:rPr>
              <w:t>备注</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678" w:type="pct"/>
            <w:tcBorders>
              <w:top w:val="single" w:color="000000" w:sz="8" w:space="0"/>
            </w:tcBorders>
            <w:shd w:val="clear" w:color="auto" w:fill="auto"/>
            <w:vAlign w:val="center"/>
          </w:tcPr>
          <w:p>
            <w:pPr>
              <w:spacing w:line="360" w:lineRule="exact"/>
              <w:jc w:val="center"/>
              <w:rPr>
                <w:sz w:val="21"/>
                <w:szCs w:val="21"/>
              </w:rPr>
            </w:pPr>
            <w:r>
              <w:rPr>
                <w:rFonts w:hint="eastAsia"/>
                <w:sz w:val="21"/>
                <w:szCs w:val="21"/>
              </w:rPr>
              <w:t>重大风险</w:t>
            </w:r>
          </w:p>
        </w:tc>
        <w:tc>
          <w:tcPr>
            <w:tcW w:w="683" w:type="pct"/>
            <w:tcBorders>
              <w:top w:val="single" w:color="000000" w:sz="8" w:space="0"/>
            </w:tcBorders>
            <w:shd w:val="clear" w:color="auto" w:fill="auto"/>
            <w:vAlign w:val="center"/>
          </w:tcPr>
          <w:p>
            <w:pPr>
              <w:spacing w:line="360" w:lineRule="exact"/>
              <w:jc w:val="center"/>
              <w:rPr>
                <w:sz w:val="21"/>
                <w:szCs w:val="21"/>
              </w:rPr>
            </w:pPr>
            <w:r>
              <w:rPr>
                <w:rFonts w:hint="eastAsia"/>
                <w:sz w:val="21"/>
                <w:szCs w:val="21"/>
              </w:rPr>
              <w:t>极其危险</w:t>
            </w:r>
          </w:p>
        </w:tc>
        <w:tc>
          <w:tcPr>
            <w:tcW w:w="684" w:type="pct"/>
            <w:tcBorders>
              <w:top w:val="single" w:color="000000" w:sz="8" w:space="0"/>
            </w:tcBorders>
            <w:shd w:val="clear" w:color="auto" w:fill="auto"/>
            <w:vAlign w:val="center"/>
          </w:tcPr>
          <w:p>
            <w:pPr>
              <w:spacing w:line="360" w:lineRule="exact"/>
              <w:jc w:val="center"/>
              <w:rPr>
                <w:sz w:val="21"/>
                <w:szCs w:val="21"/>
              </w:rPr>
            </w:pPr>
            <w:r>
              <w:rPr>
                <w:rFonts w:hint="eastAsia"/>
                <w:sz w:val="21"/>
                <w:szCs w:val="21"/>
              </w:rPr>
              <w:t>红色</w:t>
            </w:r>
          </w:p>
        </w:tc>
        <w:tc>
          <w:tcPr>
            <w:tcW w:w="941" w:type="pct"/>
            <w:tcBorders>
              <w:top w:val="single" w:color="000000" w:sz="8" w:space="0"/>
            </w:tcBorders>
            <w:shd w:val="clear" w:color="auto" w:fill="auto"/>
            <w:vAlign w:val="center"/>
          </w:tcPr>
          <w:p>
            <w:pPr>
              <w:spacing w:line="360" w:lineRule="exact"/>
              <w:jc w:val="center"/>
              <w:rPr>
                <w:sz w:val="21"/>
                <w:szCs w:val="21"/>
              </w:rPr>
            </w:pPr>
            <w:r>
              <w:rPr>
                <w:rFonts w:hint="eastAsia"/>
                <w:sz w:val="21"/>
                <w:szCs w:val="21"/>
              </w:rPr>
              <w:t>项目法人</w:t>
            </w:r>
          </w:p>
          <w:p>
            <w:pPr>
              <w:spacing w:line="360" w:lineRule="exact"/>
              <w:jc w:val="center"/>
              <w:rPr>
                <w:sz w:val="21"/>
                <w:szCs w:val="21"/>
              </w:rPr>
            </w:pPr>
            <w:r>
              <w:rPr>
                <w:rFonts w:hint="eastAsia"/>
                <w:sz w:val="21"/>
                <w:szCs w:val="21"/>
              </w:rPr>
              <w:t>监理单位</w:t>
            </w:r>
          </w:p>
          <w:p>
            <w:pPr>
              <w:spacing w:line="360" w:lineRule="exact"/>
              <w:jc w:val="center"/>
              <w:rPr>
                <w:sz w:val="21"/>
                <w:szCs w:val="21"/>
              </w:rPr>
            </w:pPr>
            <w:r>
              <w:rPr>
                <w:rFonts w:hint="eastAsia"/>
                <w:sz w:val="21"/>
                <w:szCs w:val="21"/>
              </w:rPr>
              <w:t>施工单位</w:t>
            </w:r>
          </w:p>
        </w:tc>
        <w:tc>
          <w:tcPr>
            <w:tcW w:w="2014" w:type="pct"/>
            <w:tcBorders>
              <w:top w:val="single" w:color="000000" w:sz="8" w:space="0"/>
            </w:tcBorders>
            <w:shd w:val="clear" w:color="auto" w:fill="auto"/>
            <w:vAlign w:val="center"/>
          </w:tcPr>
          <w:p>
            <w:pPr>
              <w:spacing w:line="360" w:lineRule="exact"/>
              <w:rPr>
                <w:sz w:val="21"/>
                <w:szCs w:val="21"/>
              </w:rPr>
            </w:pPr>
            <w:r>
              <w:rPr>
                <w:rFonts w:hint="eastAsia"/>
                <w:sz w:val="21"/>
                <w:szCs w:val="21"/>
              </w:rPr>
              <w:t>项目法人组织监理单位、施工单位共同管控，市、区县水行政主管部门重点监督检查</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678" w:type="pct"/>
            <w:shd w:val="clear" w:color="auto" w:fill="auto"/>
            <w:vAlign w:val="center"/>
          </w:tcPr>
          <w:p>
            <w:pPr>
              <w:spacing w:line="360" w:lineRule="exact"/>
              <w:jc w:val="center"/>
              <w:rPr>
                <w:sz w:val="21"/>
                <w:szCs w:val="21"/>
              </w:rPr>
            </w:pPr>
            <w:r>
              <w:rPr>
                <w:rFonts w:hint="eastAsia"/>
                <w:sz w:val="21"/>
                <w:szCs w:val="21"/>
              </w:rPr>
              <w:t>较大风险</w:t>
            </w:r>
          </w:p>
        </w:tc>
        <w:tc>
          <w:tcPr>
            <w:tcW w:w="683" w:type="pct"/>
            <w:shd w:val="clear" w:color="auto" w:fill="auto"/>
            <w:vAlign w:val="center"/>
          </w:tcPr>
          <w:p>
            <w:pPr>
              <w:spacing w:line="360" w:lineRule="exact"/>
              <w:jc w:val="center"/>
              <w:rPr>
                <w:sz w:val="21"/>
                <w:szCs w:val="21"/>
              </w:rPr>
            </w:pPr>
            <w:r>
              <w:rPr>
                <w:rFonts w:hint="eastAsia"/>
                <w:sz w:val="21"/>
                <w:szCs w:val="21"/>
              </w:rPr>
              <w:t>高度危险</w:t>
            </w:r>
          </w:p>
        </w:tc>
        <w:tc>
          <w:tcPr>
            <w:tcW w:w="684" w:type="pct"/>
            <w:shd w:val="clear" w:color="auto" w:fill="auto"/>
            <w:vAlign w:val="center"/>
          </w:tcPr>
          <w:p>
            <w:pPr>
              <w:spacing w:line="360" w:lineRule="exact"/>
              <w:jc w:val="center"/>
              <w:rPr>
                <w:sz w:val="21"/>
                <w:szCs w:val="21"/>
              </w:rPr>
            </w:pPr>
            <w:r>
              <w:rPr>
                <w:rFonts w:hint="eastAsia"/>
                <w:sz w:val="21"/>
                <w:szCs w:val="21"/>
              </w:rPr>
              <w:t>橙色</w:t>
            </w:r>
          </w:p>
        </w:tc>
        <w:tc>
          <w:tcPr>
            <w:tcW w:w="941" w:type="pct"/>
            <w:shd w:val="clear" w:color="auto" w:fill="auto"/>
            <w:vAlign w:val="center"/>
          </w:tcPr>
          <w:p>
            <w:pPr>
              <w:spacing w:line="360" w:lineRule="exact"/>
              <w:jc w:val="center"/>
              <w:rPr>
                <w:sz w:val="21"/>
                <w:szCs w:val="21"/>
              </w:rPr>
            </w:pPr>
            <w:r>
              <w:rPr>
                <w:rFonts w:hint="eastAsia"/>
                <w:sz w:val="21"/>
                <w:szCs w:val="21"/>
              </w:rPr>
              <w:t>监理单位</w:t>
            </w:r>
          </w:p>
          <w:p>
            <w:pPr>
              <w:spacing w:line="360" w:lineRule="exact"/>
              <w:jc w:val="center"/>
              <w:rPr>
                <w:sz w:val="21"/>
                <w:szCs w:val="21"/>
              </w:rPr>
            </w:pPr>
            <w:r>
              <w:rPr>
                <w:rFonts w:hint="eastAsia"/>
                <w:sz w:val="21"/>
                <w:szCs w:val="21"/>
              </w:rPr>
              <w:t>施工单位</w:t>
            </w:r>
          </w:p>
        </w:tc>
        <w:tc>
          <w:tcPr>
            <w:tcW w:w="2014" w:type="pct"/>
            <w:shd w:val="clear" w:color="auto" w:fill="auto"/>
            <w:vAlign w:val="center"/>
          </w:tcPr>
          <w:p>
            <w:pPr>
              <w:spacing w:line="360" w:lineRule="exact"/>
              <w:rPr>
                <w:sz w:val="21"/>
                <w:szCs w:val="21"/>
              </w:rPr>
            </w:pPr>
            <w:r>
              <w:rPr>
                <w:rFonts w:hint="eastAsia"/>
                <w:sz w:val="21"/>
                <w:szCs w:val="21"/>
              </w:rPr>
              <w:t>监理单位组织施工单位共同管控，项目法人监督检查</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678" w:type="pct"/>
            <w:shd w:val="clear" w:color="auto" w:fill="auto"/>
            <w:vAlign w:val="center"/>
          </w:tcPr>
          <w:p>
            <w:pPr>
              <w:spacing w:line="360" w:lineRule="exact"/>
              <w:jc w:val="center"/>
              <w:rPr>
                <w:sz w:val="21"/>
                <w:szCs w:val="21"/>
              </w:rPr>
            </w:pPr>
            <w:r>
              <w:rPr>
                <w:rFonts w:hint="eastAsia"/>
                <w:sz w:val="21"/>
                <w:szCs w:val="21"/>
              </w:rPr>
              <w:t>一般风险</w:t>
            </w:r>
          </w:p>
        </w:tc>
        <w:tc>
          <w:tcPr>
            <w:tcW w:w="683" w:type="pct"/>
            <w:shd w:val="clear" w:color="auto" w:fill="auto"/>
            <w:vAlign w:val="center"/>
          </w:tcPr>
          <w:p>
            <w:pPr>
              <w:spacing w:line="360" w:lineRule="exact"/>
              <w:jc w:val="center"/>
              <w:rPr>
                <w:sz w:val="21"/>
                <w:szCs w:val="21"/>
              </w:rPr>
            </w:pPr>
            <w:r>
              <w:rPr>
                <w:rFonts w:hint="eastAsia"/>
                <w:sz w:val="21"/>
                <w:szCs w:val="21"/>
              </w:rPr>
              <w:t>中度危险</w:t>
            </w:r>
          </w:p>
        </w:tc>
        <w:tc>
          <w:tcPr>
            <w:tcW w:w="684" w:type="pct"/>
            <w:shd w:val="clear" w:color="auto" w:fill="auto"/>
            <w:vAlign w:val="center"/>
          </w:tcPr>
          <w:p>
            <w:pPr>
              <w:spacing w:line="360" w:lineRule="exact"/>
              <w:jc w:val="center"/>
              <w:rPr>
                <w:sz w:val="21"/>
                <w:szCs w:val="21"/>
              </w:rPr>
            </w:pPr>
            <w:r>
              <w:rPr>
                <w:rFonts w:hint="eastAsia"/>
                <w:sz w:val="21"/>
                <w:szCs w:val="21"/>
              </w:rPr>
              <w:t>黄色</w:t>
            </w:r>
          </w:p>
        </w:tc>
        <w:tc>
          <w:tcPr>
            <w:tcW w:w="941" w:type="pct"/>
            <w:shd w:val="clear" w:color="auto" w:fill="auto"/>
            <w:vAlign w:val="center"/>
          </w:tcPr>
          <w:p>
            <w:pPr>
              <w:spacing w:line="360" w:lineRule="exact"/>
              <w:jc w:val="center"/>
              <w:rPr>
                <w:sz w:val="21"/>
                <w:szCs w:val="21"/>
              </w:rPr>
            </w:pPr>
            <w:r>
              <w:rPr>
                <w:rFonts w:hint="eastAsia"/>
                <w:sz w:val="21"/>
                <w:szCs w:val="21"/>
              </w:rPr>
              <w:t>施工单位</w:t>
            </w:r>
          </w:p>
        </w:tc>
        <w:tc>
          <w:tcPr>
            <w:tcW w:w="2014" w:type="pct"/>
            <w:shd w:val="clear" w:color="auto" w:fill="auto"/>
            <w:vAlign w:val="center"/>
          </w:tcPr>
          <w:p>
            <w:pPr>
              <w:spacing w:line="360" w:lineRule="exact"/>
              <w:rPr>
                <w:sz w:val="21"/>
                <w:szCs w:val="21"/>
              </w:rPr>
            </w:pPr>
            <w:r>
              <w:rPr>
                <w:rFonts w:hint="eastAsia"/>
                <w:sz w:val="21"/>
                <w:szCs w:val="21"/>
              </w:rPr>
              <w:t>施工单位（班组长），监理单位监督检查</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678" w:type="pct"/>
            <w:shd w:val="clear" w:color="auto" w:fill="auto"/>
            <w:vAlign w:val="center"/>
          </w:tcPr>
          <w:p>
            <w:pPr>
              <w:spacing w:line="360" w:lineRule="exact"/>
              <w:jc w:val="center"/>
              <w:rPr>
                <w:sz w:val="21"/>
                <w:szCs w:val="21"/>
              </w:rPr>
            </w:pPr>
            <w:r>
              <w:rPr>
                <w:rFonts w:hint="eastAsia"/>
                <w:sz w:val="21"/>
                <w:szCs w:val="21"/>
              </w:rPr>
              <w:t>低风险</w:t>
            </w:r>
          </w:p>
        </w:tc>
        <w:tc>
          <w:tcPr>
            <w:tcW w:w="683" w:type="pct"/>
            <w:shd w:val="clear" w:color="auto" w:fill="auto"/>
            <w:vAlign w:val="center"/>
          </w:tcPr>
          <w:p>
            <w:pPr>
              <w:spacing w:line="360" w:lineRule="exact"/>
              <w:jc w:val="center"/>
              <w:rPr>
                <w:sz w:val="21"/>
                <w:szCs w:val="21"/>
              </w:rPr>
            </w:pPr>
            <w:r>
              <w:rPr>
                <w:rFonts w:hint="eastAsia"/>
                <w:sz w:val="21"/>
                <w:szCs w:val="21"/>
              </w:rPr>
              <w:t>轻度危险</w:t>
            </w:r>
          </w:p>
        </w:tc>
        <w:tc>
          <w:tcPr>
            <w:tcW w:w="684" w:type="pct"/>
            <w:shd w:val="clear" w:color="auto" w:fill="auto"/>
            <w:vAlign w:val="center"/>
          </w:tcPr>
          <w:p>
            <w:pPr>
              <w:spacing w:line="360" w:lineRule="exact"/>
              <w:jc w:val="center"/>
              <w:rPr>
                <w:sz w:val="21"/>
                <w:szCs w:val="21"/>
              </w:rPr>
            </w:pPr>
            <w:r>
              <w:rPr>
                <w:rFonts w:hint="eastAsia"/>
                <w:sz w:val="21"/>
                <w:szCs w:val="21"/>
              </w:rPr>
              <w:t>蓝色</w:t>
            </w:r>
          </w:p>
        </w:tc>
        <w:tc>
          <w:tcPr>
            <w:tcW w:w="941" w:type="pct"/>
            <w:shd w:val="clear" w:color="auto" w:fill="auto"/>
            <w:vAlign w:val="center"/>
          </w:tcPr>
          <w:p>
            <w:pPr>
              <w:spacing w:line="360" w:lineRule="exact"/>
              <w:jc w:val="center"/>
              <w:rPr>
                <w:sz w:val="21"/>
                <w:szCs w:val="21"/>
              </w:rPr>
            </w:pPr>
            <w:r>
              <w:rPr>
                <w:rFonts w:hint="eastAsia"/>
                <w:sz w:val="21"/>
                <w:szCs w:val="21"/>
              </w:rPr>
              <w:t>施工单位</w:t>
            </w:r>
          </w:p>
        </w:tc>
        <w:tc>
          <w:tcPr>
            <w:tcW w:w="2014" w:type="pct"/>
            <w:shd w:val="clear" w:color="auto" w:fill="auto"/>
            <w:vAlign w:val="center"/>
          </w:tcPr>
          <w:p>
            <w:pPr>
              <w:spacing w:line="360" w:lineRule="exact"/>
              <w:rPr>
                <w:sz w:val="21"/>
                <w:szCs w:val="21"/>
              </w:rPr>
            </w:pPr>
            <w:r>
              <w:rPr>
                <w:rFonts w:hint="eastAsia"/>
                <w:sz w:val="21"/>
                <w:szCs w:val="21"/>
              </w:rPr>
              <w:t>施工单位（岗位员工），监理单位监督检查</w:t>
            </w:r>
          </w:p>
        </w:tc>
      </w:tr>
    </w:tbl>
    <w:p>
      <w:pPr>
        <w:spacing w:line="440" w:lineRule="exact"/>
        <w:ind w:firstLine="480" w:firstLineChars="200"/>
        <w:rPr>
          <w:sz w:val="24"/>
          <w:szCs w:val="24"/>
        </w:rPr>
      </w:pPr>
    </w:p>
    <w:p>
      <w:pPr>
        <w:jc w:val="left"/>
        <w:rPr>
          <w:sz w:val="24"/>
          <w:szCs w:val="24"/>
        </w:rPr>
      </w:pPr>
      <w:r>
        <w:rPr>
          <w:sz w:val="24"/>
          <w:szCs w:val="24"/>
        </w:rPr>
        <w:br w:type="page"/>
      </w:r>
    </w:p>
    <w:p>
      <w:pPr>
        <w:spacing w:line="440" w:lineRule="exact"/>
        <w:ind w:firstLine="480" w:firstLineChars="200"/>
        <w:rPr>
          <w:sz w:val="24"/>
          <w:szCs w:val="24"/>
        </w:rPr>
      </w:pPr>
      <w:r>
        <w:rPr>
          <w:rFonts w:hint="eastAsia"/>
          <w:sz w:val="24"/>
          <w:szCs w:val="24"/>
        </w:rPr>
        <w:t>（2）水利水电工程（水库、水闸）运行风险分级管控层级见表二</w:t>
      </w:r>
    </w:p>
    <w:p>
      <w:pPr>
        <w:spacing w:line="440" w:lineRule="exact"/>
        <w:jc w:val="center"/>
        <w:rPr>
          <w:rFonts w:ascii="Times New Roman"/>
          <w:sz w:val="24"/>
          <w:szCs w:val="24"/>
        </w:rPr>
      </w:pPr>
      <w:r>
        <w:rPr>
          <w:rFonts w:hint="eastAsia"/>
          <w:sz w:val="24"/>
          <w:szCs w:val="24"/>
        </w:rPr>
        <w:t xml:space="preserve">表二 </w:t>
      </w:r>
      <w:r>
        <w:rPr>
          <w:sz w:val="24"/>
          <w:szCs w:val="24"/>
        </w:rPr>
        <w:t xml:space="preserve"> </w:t>
      </w:r>
      <w:r>
        <w:rPr>
          <w:rFonts w:hint="eastAsia"/>
          <w:sz w:val="24"/>
          <w:szCs w:val="24"/>
        </w:rPr>
        <w:t>水库、水闸运行</w:t>
      </w:r>
      <w:r>
        <w:rPr>
          <w:rFonts w:hint="eastAsia" w:ascii="Times New Roman"/>
          <w:sz w:val="24"/>
          <w:szCs w:val="24"/>
        </w:rPr>
        <w:t>风</w:t>
      </w:r>
      <w:r>
        <w:rPr>
          <w:rFonts w:ascii="Times New Roman"/>
          <w:sz w:val="24"/>
          <w:szCs w:val="24"/>
        </w:rPr>
        <w:t>险分级管控层级</w:t>
      </w:r>
    </w:p>
    <w:tbl>
      <w:tblPr>
        <w:tblStyle w:val="34"/>
        <w:tblW w:w="5000" w:type="pct"/>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autofit"/>
        <w:tblCellMar>
          <w:top w:w="0" w:type="dxa"/>
          <w:left w:w="108" w:type="dxa"/>
          <w:bottom w:w="0" w:type="dxa"/>
          <w:right w:w="108" w:type="dxa"/>
        </w:tblCellMar>
      </w:tblPr>
      <w:tblGrid>
        <w:gridCol w:w="1156"/>
        <w:gridCol w:w="1165"/>
        <w:gridCol w:w="1167"/>
        <w:gridCol w:w="1605"/>
        <w:gridCol w:w="3435"/>
      </w:tblGrid>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678" w:type="pct"/>
            <w:tcBorders>
              <w:top w:val="single" w:color="000000" w:sz="8" w:space="0"/>
              <w:bottom w:val="single" w:color="000000" w:sz="8" w:space="0"/>
            </w:tcBorders>
            <w:shd w:val="clear" w:color="auto" w:fill="auto"/>
            <w:vAlign w:val="center"/>
          </w:tcPr>
          <w:p>
            <w:pPr>
              <w:spacing w:line="360" w:lineRule="exact"/>
              <w:jc w:val="center"/>
              <w:rPr>
                <w:sz w:val="21"/>
                <w:szCs w:val="21"/>
              </w:rPr>
            </w:pPr>
            <w:r>
              <w:rPr>
                <w:rFonts w:hint="eastAsia"/>
                <w:sz w:val="21"/>
                <w:szCs w:val="21"/>
              </w:rPr>
              <w:t>风险等级</w:t>
            </w:r>
          </w:p>
        </w:tc>
        <w:tc>
          <w:tcPr>
            <w:tcW w:w="683" w:type="pct"/>
            <w:tcBorders>
              <w:top w:val="single" w:color="000000" w:sz="8" w:space="0"/>
              <w:bottom w:val="single" w:color="000000" w:sz="8" w:space="0"/>
            </w:tcBorders>
            <w:shd w:val="clear" w:color="auto" w:fill="auto"/>
            <w:vAlign w:val="center"/>
          </w:tcPr>
          <w:p>
            <w:pPr>
              <w:spacing w:line="360" w:lineRule="exact"/>
              <w:jc w:val="center"/>
              <w:rPr>
                <w:sz w:val="21"/>
                <w:szCs w:val="21"/>
              </w:rPr>
            </w:pPr>
            <w:r>
              <w:rPr>
                <w:rFonts w:hint="eastAsia"/>
                <w:sz w:val="21"/>
                <w:szCs w:val="21"/>
              </w:rPr>
              <w:t>危险程度</w:t>
            </w:r>
          </w:p>
        </w:tc>
        <w:tc>
          <w:tcPr>
            <w:tcW w:w="684" w:type="pct"/>
            <w:tcBorders>
              <w:top w:val="single" w:color="000000" w:sz="8" w:space="0"/>
              <w:bottom w:val="single" w:color="000000" w:sz="8" w:space="0"/>
            </w:tcBorders>
            <w:shd w:val="clear" w:color="auto" w:fill="auto"/>
            <w:vAlign w:val="center"/>
          </w:tcPr>
          <w:p>
            <w:pPr>
              <w:spacing w:line="360" w:lineRule="exact"/>
              <w:jc w:val="center"/>
              <w:rPr>
                <w:sz w:val="21"/>
                <w:szCs w:val="21"/>
              </w:rPr>
            </w:pPr>
            <w:r>
              <w:rPr>
                <w:rFonts w:hint="eastAsia"/>
                <w:sz w:val="21"/>
                <w:szCs w:val="21"/>
              </w:rPr>
              <w:t>标识颜色</w:t>
            </w:r>
          </w:p>
        </w:tc>
        <w:tc>
          <w:tcPr>
            <w:tcW w:w="941" w:type="pct"/>
            <w:tcBorders>
              <w:top w:val="single" w:color="000000" w:sz="8" w:space="0"/>
              <w:bottom w:val="single" w:color="000000" w:sz="8" w:space="0"/>
            </w:tcBorders>
            <w:shd w:val="clear" w:color="auto" w:fill="auto"/>
            <w:vAlign w:val="center"/>
          </w:tcPr>
          <w:p>
            <w:pPr>
              <w:spacing w:line="360" w:lineRule="exact"/>
              <w:jc w:val="center"/>
              <w:rPr>
                <w:sz w:val="21"/>
                <w:szCs w:val="21"/>
              </w:rPr>
            </w:pPr>
            <w:r>
              <w:rPr>
                <w:rFonts w:hint="eastAsia"/>
                <w:sz w:val="21"/>
                <w:szCs w:val="21"/>
              </w:rPr>
              <w:t>管控责任主体</w:t>
            </w:r>
          </w:p>
        </w:tc>
        <w:tc>
          <w:tcPr>
            <w:tcW w:w="2014" w:type="pct"/>
            <w:tcBorders>
              <w:top w:val="single" w:color="000000" w:sz="8" w:space="0"/>
              <w:bottom w:val="single" w:color="000000" w:sz="8" w:space="0"/>
            </w:tcBorders>
            <w:shd w:val="clear" w:color="auto" w:fill="auto"/>
            <w:vAlign w:val="center"/>
          </w:tcPr>
          <w:p>
            <w:pPr>
              <w:spacing w:line="360" w:lineRule="exact"/>
              <w:jc w:val="center"/>
              <w:rPr>
                <w:sz w:val="21"/>
                <w:szCs w:val="21"/>
              </w:rPr>
            </w:pPr>
            <w:r>
              <w:rPr>
                <w:rFonts w:hint="eastAsia"/>
                <w:sz w:val="21"/>
                <w:szCs w:val="21"/>
              </w:rPr>
              <w:t>备注</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678" w:type="pct"/>
            <w:tcBorders>
              <w:top w:val="single" w:color="000000" w:sz="8" w:space="0"/>
            </w:tcBorders>
            <w:shd w:val="clear" w:color="auto" w:fill="auto"/>
            <w:vAlign w:val="center"/>
          </w:tcPr>
          <w:p>
            <w:pPr>
              <w:spacing w:line="360" w:lineRule="exact"/>
              <w:jc w:val="center"/>
              <w:rPr>
                <w:sz w:val="21"/>
                <w:szCs w:val="21"/>
              </w:rPr>
            </w:pPr>
            <w:r>
              <w:rPr>
                <w:rFonts w:hint="eastAsia"/>
                <w:sz w:val="21"/>
                <w:szCs w:val="21"/>
              </w:rPr>
              <w:t>重大风险</w:t>
            </w:r>
          </w:p>
        </w:tc>
        <w:tc>
          <w:tcPr>
            <w:tcW w:w="683" w:type="pct"/>
            <w:tcBorders>
              <w:top w:val="single" w:color="000000" w:sz="8" w:space="0"/>
            </w:tcBorders>
            <w:shd w:val="clear" w:color="auto" w:fill="auto"/>
            <w:vAlign w:val="center"/>
          </w:tcPr>
          <w:p>
            <w:pPr>
              <w:spacing w:line="360" w:lineRule="exact"/>
              <w:jc w:val="center"/>
              <w:rPr>
                <w:sz w:val="21"/>
                <w:szCs w:val="21"/>
              </w:rPr>
            </w:pPr>
            <w:r>
              <w:rPr>
                <w:rFonts w:hint="eastAsia"/>
                <w:sz w:val="21"/>
                <w:szCs w:val="21"/>
              </w:rPr>
              <w:t>极其危险</w:t>
            </w:r>
          </w:p>
        </w:tc>
        <w:tc>
          <w:tcPr>
            <w:tcW w:w="684" w:type="pct"/>
            <w:tcBorders>
              <w:top w:val="single" w:color="000000" w:sz="8" w:space="0"/>
            </w:tcBorders>
            <w:shd w:val="clear" w:color="auto" w:fill="auto"/>
            <w:vAlign w:val="center"/>
          </w:tcPr>
          <w:p>
            <w:pPr>
              <w:spacing w:line="360" w:lineRule="exact"/>
              <w:jc w:val="center"/>
              <w:rPr>
                <w:sz w:val="21"/>
                <w:szCs w:val="21"/>
              </w:rPr>
            </w:pPr>
            <w:r>
              <w:rPr>
                <w:rFonts w:hint="eastAsia"/>
                <w:sz w:val="21"/>
                <w:szCs w:val="21"/>
              </w:rPr>
              <w:t>红色</w:t>
            </w:r>
          </w:p>
        </w:tc>
        <w:tc>
          <w:tcPr>
            <w:tcW w:w="941" w:type="pct"/>
            <w:tcBorders>
              <w:top w:val="single" w:color="000000" w:sz="8" w:space="0"/>
            </w:tcBorders>
            <w:shd w:val="clear" w:color="auto" w:fill="auto"/>
            <w:vAlign w:val="center"/>
          </w:tcPr>
          <w:p>
            <w:pPr>
              <w:spacing w:line="360" w:lineRule="exact"/>
              <w:jc w:val="center"/>
              <w:rPr>
                <w:sz w:val="21"/>
                <w:szCs w:val="21"/>
              </w:rPr>
            </w:pPr>
            <w:r>
              <w:rPr>
                <w:rFonts w:hint="eastAsia"/>
                <w:sz w:val="21"/>
                <w:szCs w:val="21"/>
              </w:rPr>
              <w:t>管理单位</w:t>
            </w:r>
          </w:p>
        </w:tc>
        <w:tc>
          <w:tcPr>
            <w:tcW w:w="2014" w:type="pct"/>
            <w:tcBorders>
              <w:top w:val="single" w:color="000000" w:sz="8" w:space="0"/>
            </w:tcBorders>
            <w:shd w:val="clear" w:color="auto" w:fill="auto"/>
            <w:vAlign w:val="center"/>
          </w:tcPr>
          <w:p>
            <w:pPr>
              <w:spacing w:line="360" w:lineRule="exact"/>
              <w:rPr>
                <w:sz w:val="21"/>
                <w:szCs w:val="21"/>
              </w:rPr>
            </w:pPr>
            <w:r>
              <w:rPr>
                <w:rFonts w:hint="eastAsia"/>
                <w:sz w:val="21"/>
                <w:szCs w:val="21"/>
              </w:rPr>
              <w:t>主要负责人负责组织管控，上级主管部门重点监督检查。必要时，管理单位应报请上级主管部门并与当地应急管理部门沟通，协调相关单位共同管控。</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678" w:type="pct"/>
            <w:shd w:val="clear" w:color="auto" w:fill="auto"/>
            <w:vAlign w:val="center"/>
          </w:tcPr>
          <w:p>
            <w:pPr>
              <w:spacing w:line="360" w:lineRule="exact"/>
              <w:jc w:val="center"/>
              <w:rPr>
                <w:sz w:val="21"/>
                <w:szCs w:val="21"/>
              </w:rPr>
            </w:pPr>
            <w:r>
              <w:rPr>
                <w:rFonts w:hint="eastAsia"/>
                <w:sz w:val="21"/>
                <w:szCs w:val="21"/>
              </w:rPr>
              <w:t>较大风险</w:t>
            </w:r>
          </w:p>
        </w:tc>
        <w:tc>
          <w:tcPr>
            <w:tcW w:w="683" w:type="pct"/>
            <w:shd w:val="clear" w:color="auto" w:fill="auto"/>
            <w:vAlign w:val="center"/>
          </w:tcPr>
          <w:p>
            <w:pPr>
              <w:spacing w:line="360" w:lineRule="exact"/>
              <w:jc w:val="center"/>
              <w:rPr>
                <w:sz w:val="21"/>
                <w:szCs w:val="21"/>
              </w:rPr>
            </w:pPr>
            <w:r>
              <w:rPr>
                <w:rFonts w:hint="eastAsia"/>
                <w:sz w:val="21"/>
                <w:szCs w:val="21"/>
              </w:rPr>
              <w:t>高度危险</w:t>
            </w:r>
          </w:p>
        </w:tc>
        <w:tc>
          <w:tcPr>
            <w:tcW w:w="684" w:type="pct"/>
            <w:shd w:val="clear" w:color="auto" w:fill="auto"/>
            <w:vAlign w:val="center"/>
          </w:tcPr>
          <w:p>
            <w:pPr>
              <w:spacing w:line="360" w:lineRule="exact"/>
              <w:jc w:val="center"/>
              <w:rPr>
                <w:sz w:val="21"/>
                <w:szCs w:val="21"/>
              </w:rPr>
            </w:pPr>
            <w:r>
              <w:rPr>
                <w:rFonts w:hint="eastAsia"/>
                <w:sz w:val="21"/>
                <w:szCs w:val="21"/>
              </w:rPr>
              <w:t>橙色</w:t>
            </w:r>
          </w:p>
        </w:tc>
        <w:tc>
          <w:tcPr>
            <w:tcW w:w="941" w:type="pct"/>
            <w:shd w:val="clear" w:color="auto" w:fill="auto"/>
            <w:vAlign w:val="center"/>
          </w:tcPr>
          <w:p>
            <w:pPr>
              <w:spacing w:line="360" w:lineRule="exact"/>
              <w:jc w:val="center"/>
              <w:rPr>
                <w:sz w:val="21"/>
                <w:szCs w:val="21"/>
              </w:rPr>
            </w:pPr>
            <w:r>
              <w:rPr>
                <w:rFonts w:hint="eastAsia"/>
                <w:sz w:val="21"/>
                <w:szCs w:val="21"/>
              </w:rPr>
              <w:t>管理单位</w:t>
            </w:r>
          </w:p>
        </w:tc>
        <w:tc>
          <w:tcPr>
            <w:tcW w:w="2014" w:type="pct"/>
            <w:shd w:val="clear" w:color="auto" w:fill="auto"/>
            <w:vAlign w:val="center"/>
          </w:tcPr>
          <w:p>
            <w:pPr>
              <w:spacing w:line="360" w:lineRule="exact"/>
              <w:rPr>
                <w:sz w:val="21"/>
                <w:szCs w:val="21"/>
              </w:rPr>
            </w:pPr>
            <w:r>
              <w:rPr>
                <w:rFonts w:hint="eastAsia"/>
                <w:sz w:val="21"/>
                <w:szCs w:val="21"/>
              </w:rPr>
              <w:t>分管运管或有关部门的领导组织管控，分管安全管理部门的领导协助主要负责人监督。</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678" w:type="pct"/>
            <w:shd w:val="clear" w:color="auto" w:fill="auto"/>
            <w:vAlign w:val="center"/>
          </w:tcPr>
          <w:p>
            <w:pPr>
              <w:spacing w:line="360" w:lineRule="exact"/>
              <w:jc w:val="center"/>
              <w:rPr>
                <w:sz w:val="21"/>
                <w:szCs w:val="21"/>
              </w:rPr>
            </w:pPr>
            <w:r>
              <w:rPr>
                <w:rFonts w:hint="eastAsia"/>
                <w:sz w:val="21"/>
                <w:szCs w:val="21"/>
              </w:rPr>
              <w:t>一般风险</w:t>
            </w:r>
          </w:p>
        </w:tc>
        <w:tc>
          <w:tcPr>
            <w:tcW w:w="683" w:type="pct"/>
            <w:shd w:val="clear" w:color="auto" w:fill="auto"/>
            <w:vAlign w:val="center"/>
          </w:tcPr>
          <w:p>
            <w:pPr>
              <w:spacing w:line="360" w:lineRule="exact"/>
              <w:jc w:val="center"/>
              <w:rPr>
                <w:sz w:val="21"/>
                <w:szCs w:val="21"/>
              </w:rPr>
            </w:pPr>
            <w:r>
              <w:rPr>
                <w:rFonts w:hint="eastAsia"/>
                <w:sz w:val="21"/>
                <w:szCs w:val="21"/>
              </w:rPr>
              <w:t>中度危险</w:t>
            </w:r>
          </w:p>
        </w:tc>
        <w:tc>
          <w:tcPr>
            <w:tcW w:w="684" w:type="pct"/>
            <w:shd w:val="clear" w:color="auto" w:fill="auto"/>
            <w:vAlign w:val="center"/>
          </w:tcPr>
          <w:p>
            <w:pPr>
              <w:spacing w:line="360" w:lineRule="exact"/>
              <w:jc w:val="center"/>
              <w:rPr>
                <w:sz w:val="21"/>
                <w:szCs w:val="21"/>
              </w:rPr>
            </w:pPr>
            <w:r>
              <w:rPr>
                <w:rFonts w:hint="eastAsia"/>
                <w:sz w:val="21"/>
                <w:szCs w:val="21"/>
              </w:rPr>
              <w:t>黄色</w:t>
            </w:r>
          </w:p>
        </w:tc>
        <w:tc>
          <w:tcPr>
            <w:tcW w:w="941" w:type="pct"/>
            <w:shd w:val="clear" w:color="auto" w:fill="auto"/>
            <w:vAlign w:val="center"/>
          </w:tcPr>
          <w:p>
            <w:pPr>
              <w:spacing w:line="360" w:lineRule="exact"/>
              <w:jc w:val="center"/>
              <w:rPr>
                <w:sz w:val="21"/>
                <w:szCs w:val="21"/>
              </w:rPr>
            </w:pPr>
            <w:r>
              <w:rPr>
                <w:rFonts w:hint="eastAsia"/>
                <w:sz w:val="21"/>
                <w:szCs w:val="21"/>
              </w:rPr>
              <w:t>管理单位</w:t>
            </w:r>
          </w:p>
        </w:tc>
        <w:tc>
          <w:tcPr>
            <w:tcW w:w="2014" w:type="pct"/>
            <w:shd w:val="clear" w:color="auto" w:fill="auto"/>
            <w:vAlign w:val="center"/>
          </w:tcPr>
          <w:p>
            <w:pPr>
              <w:spacing w:line="360" w:lineRule="exact"/>
              <w:rPr>
                <w:sz w:val="21"/>
                <w:szCs w:val="21"/>
              </w:rPr>
            </w:pPr>
            <w:r>
              <w:rPr>
                <w:rFonts w:hint="eastAsia"/>
                <w:sz w:val="21"/>
                <w:szCs w:val="21"/>
              </w:rPr>
              <w:t>运管或有关部门负责人组织管控，安全管理部门负责人协助其分管领导监督。</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678" w:type="pct"/>
            <w:shd w:val="clear" w:color="auto" w:fill="auto"/>
            <w:vAlign w:val="center"/>
          </w:tcPr>
          <w:p>
            <w:pPr>
              <w:spacing w:line="360" w:lineRule="exact"/>
              <w:jc w:val="center"/>
              <w:rPr>
                <w:sz w:val="21"/>
                <w:szCs w:val="21"/>
              </w:rPr>
            </w:pPr>
            <w:r>
              <w:rPr>
                <w:rFonts w:hint="eastAsia"/>
                <w:sz w:val="21"/>
                <w:szCs w:val="21"/>
              </w:rPr>
              <w:t>低风险</w:t>
            </w:r>
          </w:p>
        </w:tc>
        <w:tc>
          <w:tcPr>
            <w:tcW w:w="683" w:type="pct"/>
            <w:shd w:val="clear" w:color="auto" w:fill="auto"/>
            <w:vAlign w:val="center"/>
          </w:tcPr>
          <w:p>
            <w:pPr>
              <w:spacing w:line="360" w:lineRule="exact"/>
              <w:jc w:val="center"/>
              <w:rPr>
                <w:sz w:val="21"/>
                <w:szCs w:val="21"/>
              </w:rPr>
            </w:pPr>
            <w:r>
              <w:rPr>
                <w:rFonts w:hint="eastAsia"/>
                <w:sz w:val="21"/>
                <w:szCs w:val="21"/>
              </w:rPr>
              <w:t>轻度危险</w:t>
            </w:r>
          </w:p>
        </w:tc>
        <w:tc>
          <w:tcPr>
            <w:tcW w:w="684" w:type="pct"/>
            <w:shd w:val="clear" w:color="auto" w:fill="auto"/>
            <w:vAlign w:val="center"/>
          </w:tcPr>
          <w:p>
            <w:pPr>
              <w:spacing w:line="360" w:lineRule="exact"/>
              <w:jc w:val="center"/>
              <w:rPr>
                <w:sz w:val="21"/>
                <w:szCs w:val="21"/>
              </w:rPr>
            </w:pPr>
            <w:r>
              <w:rPr>
                <w:rFonts w:hint="eastAsia"/>
                <w:sz w:val="21"/>
                <w:szCs w:val="21"/>
              </w:rPr>
              <w:t>蓝色</w:t>
            </w:r>
          </w:p>
        </w:tc>
        <w:tc>
          <w:tcPr>
            <w:tcW w:w="941" w:type="pct"/>
            <w:shd w:val="clear" w:color="auto" w:fill="auto"/>
            <w:vAlign w:val="center"/>
          </w:tcPr>
          <w:p>
            <w:pPr>
              <w:spacing w:line="360" w:lineRule="exact"/>
              <w:jc w:val="center"/>
              <w:rPr>
                <w:sz w:val="21"/>
                <w:szCs w:val="21"/>
              </w:rPr>
            </w:pPr>
            <w:r>
              <w:rPr>
                <w:rFonts w:hint="eastAsia"/>
                <w:sz w:val="21"/>
                <w:szCs w:val="21"/>
              </w:rPr>
              <w:t>管理单位</w:t>
            </w:r>
          </w:p>
        </w:tc>
        <w:tc>
          <w:tcPr>
            <w:tcW w:w="2014" w:type="pct"/>
            <w:shd w:val="clear" w:color="auto" w:fill="auto"/>
            <w:vAlign w:val="center"/>
          </w:tcPr>
          <w:p>
            <w:pPr>
              <w:spacing w:line="360" w:lineRule="exact"/>
              <w:rPr>
                <w:sz w:val="21"/>
                <w:szCs w:val="21"/>
              </w:rPr>
            </w:pPr>
            <w:r>
              <w:rPr>
                <w:rFonts w:hint="eastAsia"/>
                <w:sz w:val="21"/>
                <w:szCs w:val="21"/>
              </w:rPr>
              <w:t>有关部门或班组自行管控。</w:t>
            </w:r>
          </w:p>
        </w:tc>
      </w:tr>
    </w:tbl>
    <w:p>
      <w:pPr>
        <w:spacing w:line="440" w:lineRule="exact"/>
        <w:ind w:firstLine="607" w:firstLineChars="253"/>
        <w:rPr>
          <w:sz w:val="24"/>
          <w:szCs w:val="24"/>
        </w:rPr>
      </w:pPr>
    </w:p>
    <w:p>
      <w:pPr>
        <w:spacing w:line="440" w:lineRule="exact"/>
        <w:ind w:firstLine="607" w:firstLineChars="253"/>
        <w:rPr>
          <w:sz w:val="24"/>
          <w:szCs w:val="24"/>
        </w:rPr>
      </w:pPr>
      <w:r>
        <w:rPr>
          <w:rFonts w:hint="eastAsia"/>
          <w:sz w:val="24"/>
          <w:szCs w:val="24"/>
        </w:rPr>
        <w:t>（3）水利水电工程（水电站、泵站）运行风险分级管控层级见表三</w:t>
      </w:r>
    </w:p>
    <w:p>
      <w:pPr>
        <w:spacing w:line="440" w:lineRule="exact"/>
        <w:jc w:val="center"/>
        <w:rPr>
          <w:rFonts w:ascii="Times New Roman"/>
          <w:sz w:val="24"/>
          <w:szCs w:val="24"/>
        </w:rPr>
      </w:pPr>
      <w:r>
        <w:rPr>
          <w:rFonts w:hint="eastAsia"/>
          <w:sz w:val="24"/>
          <w:szCs w:val="24"/>
        </w:rPr>
        <w:t xml:space="preserve">表三 </w:t>
      </w:r>
      <w:r>
        <w:rPr>
          <w:sz w:val="24"/>
          <w:szCs w:val="24"/>
        </w:rPr>
        <w:t xml:space="preserve"> </w:t>
      </w:r>
      <w:r>
        <w:rPr>
          <w:rFonts w:hint="eastAsia"/>
          <w:sz w:val="24"/>
          <w:szCs w:val="24"/>
        </w:rPr>
        <w:t>水电站、泵站运行</w:t>
      </w:r>
      <w:r>
        <w:rPr>
          <w:rFonts w:hint="eastAsia" w:ascii="Times New Roman"/>
          <w:sz w:val="24"/>
          <w:szCs w:val="24"/>
        </w:rPr>
        <w:t>风</w:t>
      </w:r>
      <w:r>
        <w:rPr>
          <w:rFonts w:ascii="Times New Roman"/>
          <w:sz w:val="24"/>
          <w:szCs w:val="24"/>
        </w:rPr>
        <w:t>险分级管控层级</w:t>
      </w:r>
    </w:p>
    <w:tbl>
      <w:tblPr>
        <w:tblStyle w:val="34"/>
        <w:tblW w:w="5000" w:type="pct"/>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autofit"/>
        <w:tblCellMar>
          <w:top w:w="0" w:type="dxa"/>
          <w:left w:w="108" w:type="dxa"/>
          <w:bottom w:w="0" w:type="dxa"/>
          <w:right w:w="108" w:type="dxa"/>
        </w:tblCellMar>
      </w:tblPr>
      <w:tblGrid>
        <w:gridCol w:w="1156"/>
        <w:gridCol w:w="1165"/>
        <w:gridCol w:w="1167"/>
        <w:gridCol w:w="1605"/>
        <w:gridCol w:w="3435"/>
      </w:tblGrid>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529" w:hRule="atLeast"/>
        </w:trPr>
        <w:tc>
          <w:tcPr>
            <w:tcW w:w="678" w:type="pct"/>
            <w:tcBorders>
              <w:top w:val="single" w:color="000000" w:sz="8" w:space="0"/>
              <w:bottom w:val="single" w:color="000000" w:sz="8" w:space="0"/>
            </w:tcBorders>
            <w:shd w:val="clear" w:color="auto" w:fill="auto"/>
            <w:vAlign w:val="center"/>
          </w:tcPr>
          <w:p>
            <w:pPr>
              <w:spacing w:line="360" w:lineRule="exact"/>
              <w:jc w:val="center"/>
              <w:rPr>
                <w:sz w:val="21"/>
                <w:szCs w:val="21"/>
              </w:rPr>
            </w:pPr>
            <w:r>
              <w:rPr>
                <w:rFonts w:hint="eastAsia"/>
                <w:sz w:val="21"/>
                <w:szCs w:val="21"/>
              </w:rPr>
              <w:t>风险等级</w:t>
            </w:r>
          </w:p>
        </w:tc>
        <w:tc>
          <w:tcPr>
            <w:tcW w:w="683" w:type="pct"/>
            <w:tcBorders>
              <w:top w:val="single" w:color="000000" w:sz="8" w:space="0"/>
              <w:bottom w:val="single" w:color="000000" w:sz="8" w:space="0"/>
            </w:tcBorders>
            <w:shd w:val="clear" w:color="auto" w:fill="auto"/>
            <w:vAlign w:val="center"/>
          </w:tcPr>
          <w:p>
            <w:pPr>
              <w:spacing w:line="360" w:lineRule="exact"/>
              <w:jc w:val="center"/>
              <w:rPr>
                <w:sz w:val="21"/>
                <w:szCs w:val="21"/>
              </w:rPr>
            </w:pPr>
            <w:r>
              <w:rPr>
                <w:rFonts w:hint="eastAsia"/>
                <w:sz w:val="21"/>
                <w:szCs w:val="21"/>
              </w:rPr>
              <w:t>危险程度</w:t>
            </w:r>
          </w:p>
        </w:tc>
        <w:tc>
          <w:tcPr>
            <w:tcW w:w="684" w:type="pct"/>
            <w:tcBorders>
              <w:top w:val="single" w:color="000000" w:sz="8" w:space="0"/>
              <w:bottom w:val="single" w:color="000000" w:sz="8" w:space="0"/>
            </w:tcBorders>
            <w:shd w:val="clear" w:color="auto" w:fill="auto"/>
            <w:vAlign w:val="center"/>
          </w:tcPr>
          <w:p>
            <w:pPr>
              <w:spacing w:line="360" w:lineRule="exact"/>
              <w:jc w:val="center"/>
              <w:rPr>
                <w:sz w:val="21"/>
                <w:szCs w:val="21"/>
              </w:rPr>
            </w:pPr>
            <w:r>
              <w:rPr>
                <w:rFonts w:hint="eastAsia"/>
                <w:sz w:val="21"/>
                <w:szCs w:val="21"/>
              </w:rPr>
              <w:t>标识颜色</w:t>
            </w:r>
          </w:p>
        </w:tc>
        <w:tc>
          <w:tcPr>
            <w:tcW w:w="941" w:type="pct"/>
            <w:tcBorders>
              <w:top w:val="single" w:color="000000" w:sz="8" w:space="0"/>
              <w:bottom w:val="single" w:color="000000" w:sz="8" w:space="0"/>
            </w:tcBorders>
            <w:shd w:val="clear" w:color="auto" w:fill="auto"/>
            <w:vAlign w:val="center"/>
          </w:tcPr>
          <w:p>
            <w:pPr>
              <w:spacing w:line="360" w:lineRule="exact"/>
              <w:jc w:val="center"/>
              <w:rPr>
                <w:sz w:val="21"/>
                <w:szCs w:val="21"/>
              </w:rPr>
            </w:pPr>
            <w:r>
              <w:rPr>
                <w:rFonts w:hint="eastAsia"/>
                <w:sz w:val="21"/>
                <w:szCs w:val="21"/>
              </w:rPr>
              <w:t>管控责任主体</w:t>
            </w:r>
          </w:p>
        </w:tc>
        <w:tc>
          <w:tcPr>
            <w:tcW w:w="2014" w:type="pct"/>
            <w:tcBorders>
              <w:top w:val="single" w:color="000000" w:sz="8" w:space="0"/>
              <w:bottom w:val="single" w:color="000000" w:sz="8" w:space="0"/>
            </w:tcBorders>
            <w:shd w:val="clear" w:color="auto" w:fill="auto"/>
            <w:vAlign w:val="center"/>
          </w:tcPr>
          <w:p>
            <w:pPr>
              <w:spacing w:line="360" w:lineRule="exact"/>
              <w:jc w:val="center"/>
              <w:rPr>
                <w:sz w:val="21"/>
                <w:szCs w:val="21"/>
              </w:rPr>
            </w:pPr>
            <w:r>
              <w:rPr>
                <w:rFonts w:hint="eastAsia"/>
                <w:sz w:val="21"/>
                <w:szCs w:val="21"/>
              </w:rPr>
              <w:t>备注</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936" w:hRule="atLeast"/>
        </w:trPr>
        <w:tc>
          <w:tcPr>
            <w:tcW w:w="678" w:type="pct"/>
            <w:tcBorders>
              <w:top w:val="single" w:color="000000" w:sz="8" w:space="0"/>
            </w:tcBorders>
            <w:shd w:val="clear" w:color="auto" w:fill="auto"/>
            <w:vAlign w:val="center"/>
          </w:tcPr>
          <w:p>
            <w:pPr>
              <w:spacing w:line="360" w:lineRule="exact"/>
              <w:jc w:val="center"/>
              <w:rPr>
                <w:sz w:val="21"/>
                <w:szCs w:val="21"/>
              </w:rPr>
            </w:pPr>
            <w:r>
              <w:rPr>
                <w:rFonts w:hint="eastAsia"/>
                <w:sz w:val="21"/>
                <w:szCs w:val="21"/>
              </w:rPr>
              <w:t>重大风险</w:t>
            </w:r>
          </w:p>
        </w:tc>
        <w:tc>
          <w:tcPr>
            <w:tcW w:w="683" w:type="pct"/>
            <w:tcBorders>
              <w:top w:val="single" w:color="000000" w:sz="8" w:space="0"/>
            </w:tcBorders>
            <w:shd w:val="clear" w:color="auto" w:fill="auto"/>
            <w:vAlign w:val="center"/>
          </w:tcPr>
          <w:p>
            <w:pPr>
              <w:spacing w:line="360" w:lineRule="exact"/>
              <w:jc w:val="center"/>
              <w:rPr>
                <w:sz w:val="21"/>
                <w:szCs w:val="21"/>
              </w:rPr>
            </w:pPr>
            <w:r>
              <w:rPr>
                <w:rFonts w:hint="eastAsia"/>
                <w:sz w:val="21"/>
                <w:szCs w:val="21"/>
              </w:rPr>
              <w:t>极其危险</w:t>
            </w:r>
          </w:p>
        </w:tc>
        <w:tc>
          <w:tcPr>
            <w:tcW w:w="684" w:type="pct"/>
            <w:tcBorders>
              <w:top w:val="single" w:color="000000" w:sz="8" w:space="0"/>
            </w:tcBorders>
            <w:shd w:val="clear" w:color="auto" w:fill="auto"/>
            <w:vAlign w:val="center"/>
          </w:tcPr>
          <w:p>
            <w:pPr>
              <w:spacing w:line="360" w:lineRule="exact"/>
              <w:jc w:val="center"/>
              <w:rPr>
                <w:sz w:val="21"/>
                <w:szCs w:val="21"/>
              </w:rPr>
            </w:pPr>
            <w:r>
              <w:rPr>
                <w:rFonts w:hint="eastAsia"/>
                <w:sz w:val="21"/>
                <w:szCs w:val="21"/>
              </w:rPr>
              <w:t>红色</w:t>
            </w:r>
          </w:p>
        </w:tc>
        <w:tc>
          <w:tcPr>
            <w:tcW w:w="941" w:type="pct"/>
            <w:tcBorders>
              <w:top w:val="single" w:color="000000" w:sz="8" w:space="0"/>
            </w:tcBorders>
            <w:shd w:val="clear" w:color="auto" w:fill="auto"/>
            <w:vAlign w:val="center"/>
          </w:tcPr>
          <w:p>
            <w:pPr>
              <w:spacing w:line="360" w:lineRule="exact"/>
              <w:jc w:val="center"/>
              <w:rPr>
                <w:sz w:val="21"/>
                <w:szCs w:val="21"/>
              </w:rPr>
            </w:pPr>
            <w:r>
              <w:rPr>
                <w:rFonts w:hint="eastAsia"/>
                <w:sz w:val="21"/>
                <w:szCs w:val="21"/>
              </w:rPr>
              <w:t>管理单位</w:t>
            </w:r>
          </w:p>
        </w:tc>
        <w:tc>
          <w:tcPr>
            <w:tcW w:w="2014" w:type="pct"/>
            <w:tcBorders>
              <w:top w:val="single" w:color="000000" w:sz="8" w:space="0"/>
            </w:tcBorders>
            <w:shd w:val="clear" w:color="auto" w:fill="auto"/>
            <w:vAlign w:val="center"/>
          </w:tcPr>
          <w:p>
            <w:pPr>
              <w:spacing w:line="360" w:lineRule="exact"/>
              <w:rPr>
                <w:sz w:val="21"/>
                <w:szCs w:val="21"/>
              </w:rPr>
            </w:pPr>
            <w:r>
              <w:rPr>
                <w:rFonts w:hint="eastAsia"/>
                <w:sz w:val="21"/>
                <w:szCs w:val="21"/>
              </w:rPr>
              <w:t>主要负责人组织管控，上级主管部门重点监督检查。必要时，管理单位应报请上级主管部门协调相关单位共同管控。</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750" w:hRule="atLeast"/>
        </w:trPr>
        <w:tc>
          <w:tcPr>
            <w:tcW w:w="678" w:type="pct"/>
            <w:shd w:val="clear" w:color="auto" w:fill="auto"/>
            <w:vAlign w:val="center"/>
          </w:tcPr>
          <w:p>
            <w:pPr>
              <w:spacing w:line="360" w:lineRule="exact"/>
              <w:jc w:val="center"/>
              <w:rPr>
                <w:sz w:val="21"/>
                <w:szCs w:val="21"/>
              </w:rPr>
            </w:pPr>
            <w:r>
              <w:rPr>
                <w:rFonts w:hint="eastAsia"/>
                <w:sz w:val="21"/>
                <w:szCs w:val="21"/>
              </w:rPr>
              <w:t>较大风险</w:t>
            </w:r>
          </w:p>
        </w:tc>
        <w:tc>
          <w:tcPr>
            <w:tcW w:w="683" w:type="pct"/>
            <w:shd w:val="clear" w:color="auto" w:fill="auto"/>
            <w:vAlign w:val="center"/>
          </w:tcPr>
          <w:p>
            <w:pPr>
              <w:spacing w:line="360" w:lineRule="exact"/>
              <w:jc w:val="center"/>
              <w:rPr>
                <w:sz w:val="21"/>
                <w:szCs w:val="21"/>
              </w:rPr>
            </w:pPr>
            <w:r>
              <w:rPr>
                <w:rFonts w:hint="eastAsia"/>
                <w:sz w:val="21"/>
                <w:szCs w:val="21"/>
              </w:rPr>
              <w:t>高度危险</w:t>
            </w:r>
          </w:p>
        </w:tc>
        <w:tc>
          <w:tcPr>
            <w:tcW w:w="684" w:type="pct"/>
            <w:shd w:val="clear" w:color="auto" w:fill="auto"/>
            <w:vAlign w:val="center"/>
          </w:tcPr>
          <w:p>
            <w:pPr>
              <w:spacing w:line="360" w:lineRule="exact"/>
              <w:jc w:val="center"/>
              <w:rPr>
                <w:sz w:val="21"/>
                <w:szCs w:val="21"/>
              </w:rPr>
            </w:pPr>
            <w:r>
              <w:rPr>
                <w:rFonts w:hint="eastAsia"/>
                <w:sz w:val="21"/>
                <w:szCs w:val="21"/>
              </w:rPr>
              <w:t>橙色</w:t>
            </w:r>
          </w:p>
        </w:tc>
        <w:tc>
          <w:tcPr>
            <w:tcW w:w="941" w:type="pct"/>
            <w:shd w:val="clear" w:color="auto" w:fill="auto"/>
            <w:vAlign w:val="center"/>
          </w:tcPr>
          <w:p>
            <w:pPr>
              <w:spacing w:line="360" w:lineRule="exact"/>
              <w:jc w:val="center"/>
              <w:rPr>
                <w:sz w:val="21"/>
                <w:szCs w:val="21"/>
              </w:rPr>
            </w:pPr>
            <w:r>
              <w:rPr>
                <w:rFonts w:hint="eastAsia"/>
                <w:sz w:val="21"/>
                <w:szCs w:val="21"/>
              </w:rPr>
              <w:t>管理单位</w:t>
            </w:r>
          </w:p>
        </w:tc>
        <w:tc>
          <w:tcPr>
            <w:tcW w:w="2014" w:type="pct"/>
            <w:shd w:val="clear" w:color="auto" w:fill="auto"/>
            <w:vAlign w:val="center"/>
          </w:tcPr>
          <w:p>
            <w:pPr>
              <w:spacing w:line="360" w:lineRule="exact"/>
              <w:rPr>
                <w:sz w:val="21"/>
                <w:szCs w:val="21"/>
              </w:rPr>
            </w:pPr>
            <w:r>
              <w:rPr>
                <w:rFonts w:hint="eastAsia"/>
                <w:sz w:val="21"/>
                <w:szCs w:val="21"/>
              </w:rPr>
              <w:t>分管运管或有关部门的领导组织管控，分管安全管理部门的领导协助主要负责人监督。</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936" w:hRule="atLeast"/>
        </w:trPr>
        <w:tc>
          <w:tcPr>
            <w:tcW w:w="678" w:type="pct"/>
            <w:shd w:val="clear" w:color="auto" w:fill="auto"/>
            <w:vAlign w:val="center"/>
          </w:tcPr>
          <w:p>
            <w:pPr>
              <w:spacing w:line="360" w:lineRule="exact"/>
              <w:jc w:val="center"/>
              <w:rPr>
                <w:sz w:val="21"/>
                <w:szCs w:val="21"/>
              </w:rPr>
            </w:pPr>
            <w:r>
              <w:rPr>
                <w:rFonts w:hint="eastAsia"/>
                <w:sz w:val="21"/>
                <w:szCs w:val="21"/>
              </w:rPr>
              <w:t>一般风险</w:t>
            </w:r>
          </w:p>
        </w:tc>
        <w:tc>
          <w:tcPr>
            <w:tcW w:w="683" w:type="pct"/>
            <w:shd w:val="clear" w:color="auto" w:fill="auto"/>
            <w:vAlign w:val="center"/>
          </w:tcPr>
          <w:p>
            <w:pPr>
              <w:spacing w:line="360" w:lineRule="exact"/>
              <w:jc w:val="center"/>
              <w:rPr>
                <w:sz w:val="21"/>
                <w:szCs w:val="21"/>
              </w:rPr>
            </w:pPr>
            <w:r>
              <w:rPr>
                <w:rFonts w:hint="eastAsia"/>
                <w:sz w:val="21"/>
                <w:szCs w:val="21"/>
              </w:rPr>
              <w:t>中度危险</w:t>
            </w:r>
          </w:p>
        </w:tc>
        <w:tc>
          <w:tcPr>
            <w:tcW w:w="684" w:type="pct"/>
            <w:shd w:val="clear" w:color="auto" w:fill="auto"/>
            <w:vAlign w:val="center"/>
          </w:tcPr>
          <w:p>
            <w:pPr>
              <w:spacing w:line="360" w:lineRule="exact"/>
              <w:jc w:val="center"/>
              <w:rPr>
                <w:sz w:val="21"/>
                <w:szCs w:val="21"/>
              </w:rPr>
            </w:pPr>
            <w:r>
              <w:rPr>
                <w:rFonts w:hint="eastAsia"/>
                <w:sz w:val="21"/>
                <w:szCs w:val="21"/>
              </w:rPr>
              <w:t>黄色</w:t>
            </w:r>
          </w:p>
        </w:tc>
        <w:tc>
          <w:tcPr>
            <w:tcW w:w="941" w:type="pct"/>
            <w:shd w:val="clear" w:color="auto" w:fill="auto"/>
            <w:vAlign w:val="center"/>
          </w:tcPr>
          <w:p>
            <w:pPr>
              <w:spacing w:line="360" w:lineRule="exact"/>
              <w:jc w:val="center"/>
              <w:rPr>
                <w:sz w:val="21"/>
                <w:szCs w:val="21"/>
              </w:rPr>
            </w:pPr>
            <w:r>
              <w:rPr>
                <w:rFonts w:hint="eastAsia"/>
                <w:sz w:val="21"/>
                <w:szCs w:val="21"/>
              </w:rPr>
              <w:t>管理单位</w:t>
            </w:r>
          </w:p>
        </w:tc>
        <w:tc>
          <w:tcPr>
            <w:tcW w:w="2014" w:type="pct"/>
            <w:shd w:val="clear" w:color="auto" w:fill="auto"/>
            <w:vAlign w:val="center"/>
          </w:tcPr>
          <w:p>
            <w:pPr>
              <w:spacing w:line="360" w:lineRule="exact"/>
              <w:rPr>
                <w:sz w:val="21"/>
                <w:szCs w:val="21"/>
              </w:rPr>
            </w:pPr>
            <w:r>
              <w:rPr>
                <w:rFonts w:hint="eastAsia"/>
                <w:sz w:val="21"/>
                <w:szCs w:val="21"/>
              </w:rPr>
              <w:t>运管或有关部门负责人组织管控，安全管理部门负责人协助其分管领导监督。</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699" w:hRule="atLeast"/>
        </w:trPr>
        <w:tc>
          <w:tcPr>
            <w:tcW w:w="678" w:type="pct"/>
            <w:shd w:val="clear" w:color="auto" w:fill="auto"/>
            <w:vAlign w:val="center"/>
          </w:tcPr>
          <w:p>
            <w:pPr>
              <w:spacing w:line="360" w:lineRule="exact"/>
              <w:jc w:val="center"/>
              <w:rPr>
                <w:sz w:val="21"/>
                <w:szCs w:val="21"/>
              </w:rPr>
            </w:pPr>
            <w:r>
              <w:rPr>
                <w:rFonts w:hint="eastAsia"/>
                <w:sz w:val="21"/>
                <w:szCs w:val="21"/>
              </w:rPr>
              <w:t>低风险</w:t>
            </w:r>
          </w:p>
        </w:tc>
        <w:tc>
          <w:tcPr>
            <w:tcW w:w="683" w:type="pct"/>
            <w:shd w:val="clear" w:color="auto" w:fill="auto"/>
            <w:vAlign w:val="center"/>
          </w:tcPr>
          <w:p>
            <w:pPr>
              <w:spacing w:line="360" w:lineRule="exact"/>
              <w:jc w:val="center"/>
              <w:rPr>
                <w:sz w:val="21"/>
                <w:szCs w:val="21"/>
              </w:rPr>
            </w:pPr>
            <w:r>
              <w:rPr>
                <w:rFonts w:hint="eastAsia"/>
                <w:sz w:val="21"/>
                <w:szCs w:val="21"/>
              </w:rPr>
              <w:t>轻度危险</w:t>
            </w:r>
          </w:p>
        </w:tc>
        <w:tc>
          <w:tcPr>
            <w:tcW w:w="684" w:type="pct"/>
            <w:shd w:val="clear" w:color="auto" w:fill="auto"/>
            <w:vAlign w:val="center"/>
          </w:tcPr>
          <w:p>
            <w:pPr>
              <w:spacing w:line="360" w:lineRule="exact"/>
              <w:jc w:val="center"/>
              <w:rPr>
                <w:sz w:val="21"/>
                <w:szCs w:val="21"/>
              </w:rPr>
            </w:pPr>
            <w:r>
              <w:rPr>
                <w:rFonts w:hint="eastAsia"/>
                <w:sz w:val="21"/>
                <w:szCs w:val="21"/>
              </w:rPr>
              <w:t>蓝色</w:t>
            </w:r>
          </w:p>
        </w:tc>
        <w:tc>
          <w:tcPr>
            <w:tcW w:w="941" w:type="pct"/>
            <w:shd w:val="clear" w:color="auto" w:fill="auto"/>
            <w:vAlign w:val="center"/>
          </w:tcPr>
          <w:p>
            <w:pPr>
              <w:spacing w:line="360" w:lineRule="exact"/>
              <w:jc w:val="center"/>
              <w:rPr>
                <w:sz w:val="21"/>
                <w:szCs w:val="21"/>
              </w:rPr>
            </w:pPr>
            <w:r>
              <w:rPr>
                <w:rFonts w:hint="eastAsia"/>
                <w:sz w:val="21"/>
                <w:szCs w:val="21"/>
              </w:rPr>
              <w:t>管理单位</w:t>
            </w:r>
          </w:p>
        </w:tc>
        <w:tc>
          <w:tcPr>
            <w:tcW w:w="2014" w:type="pct"/>
            <w:shd w:val="clear" w:color="auto" w:fill="auto"/>
            <w:vAlign w:val="center"/>
          </w:tcPr>
          <w:p>
            <w:pPr>
              <w:spacing w:line="360" w:lineRule="exact"/>
              <w:rPr>
                <w:sz w:val="21"/>
                <w:szCs w:val="21"/>
              </w:rPr>
            </w:pPr>
            <w:r>
              <w:rPr>
                <w:rFonts w:hint="eastAsia"/>
                <w:sz w:val="21"/>
                <w:szCs w:val="21"/>
              </w:rPr>
              <w:t>有关部门或班组自行管控。</w:t>
            </w:r>
          </w:p>
        </w:tc>
      </w:tr>
    </w:tbl>
    <w:p>
      <w:pPr>
        <w:spacing w:line="440" w:lineRule="exact"/>
        <w:ind w:firstLine="607" w:firstLineChars="253"/>
        <w:rPr>
          <w:sz w:val="24"/>
          <w:szCs w:val="24"/>
        </w:rPr>
      </w:pPr>
    </w:p>
    <w:p>
      <w:pPr>
        <w:jc w:val="left"/>
        <w:rPr>
          <w:sz w:val="24"/>
          <w:szCs w:val="24"/>
        </w:rPr>
      </w:pPr>
      <w:r>
        <w:rPr>
          <w:sz w:val="24"/>
          <w:szCs w:val="24"/>
        </w:rPr>
        <w:br w:type="page"/>
      </w:r>
    </w:p>
    <w:p>
      <w:pPr>
        <w:spacing w:line="440" w:lineRule="exact"/>
        <w:ind w:firstLine="480" w:firstLineChars="200"/>
        <w:rPr>
          <w:sz w:val="24"/>
          <w:szCs w:val="24"/>
        </w:rPr>
      </w:pPr>
      <w:r>
        <w:rPr>
          <w:rFonts w:hint="eastAsia"/>
          <w:sz w:val="24"/>
          <w:szCs w:val="24"/>
        </w:rPr>
        <w:t>（4）水利水电工程（堤防、淤地坝）运行风险分级管控层级见表四</w:t>
      </w:r>
    </w:p>
    <w:p>
      <w:pPr>
        <w:spacing w:line="440" w:lineRule="exact"/>
        <w:jc w:val="center"/>
        <w:rPr>
          <w:rFonts w:ascii="Times New Roman"/>
          <w:sz w:val="24"/>
          <w:szCs w:val="24"/>
        </w:rPr>
      </w:pPr>
      <w:r>
        <w:rPr>
          <w:rFonts w:hint="eastAsia"/>
          <w:sz w:val="24"/>
          <w:szCs w:val="24"/>
        </w:rPr>
        <w:t xml:space="preserve">表四 </w:t>
      </w:r>
      <w:r>
        <w:rPr>
          <w:sz w:val="24"/>
          <w:szCs w:val="24"/>
        </w:rPr>
        <w:t xml:space="preserve"> </w:t>
      </w:r>
      <w:r>
        <w:rPr>
          <w:rFonts w:hint="eastAsia"/>
          <w:sz w:val="24"/>
          <w:szCs w:val="24"/>
        </w:rPr>
        <w:t>堤防、淤地坝运行</w:t>
      </w:r>
      <w:r>
        <w:rPr>
          <w:rFonts w:hint="eastAsia" w:ascii="Times New Roman"/>
          <w:sz w:val="24"/>
          <w:szCs w:val="24"/>
        </w:rPr>
        <w:t>风</w:t>
      </w:r>
      <w:r>
        <w:rPr>
          <w:rFonts w:ascii="Times New Roman"/>
          <w:sz w:val="24"/>
          <w:szCs w:val="24"/>
        </w:rPr>
        <w:t>险分级管控层级</w:t>
      </w:r>
    </w:p>
    <w:tbl>
      <w:tblPr>
        <w:tblStyle w:val="34"/>
        <w:tblW w:w="5000" w:type="pct"/>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autofit"/>
        <w:tblCellMar>
          <w:top w:w="0" w:type="dxa"/>
          <w:left w:w="108" w:type="dxa"/>
          <w:bottom w:w="0" w:type="dxa"/>
          <w:right w:w="108" w:type="dxa"/>
        </w:tblCellMar>
      </w:tblPr>
      <w:tblGrid>
        <w:gridCol w:w="1156"/>
        <w:gridCol w:w="1165"/>
        <w:gridCol w:w="1167"/>
        <w:gridCol w:w="1605"/>
        <w:gridCol w:w="3435"/>
      </w:tblGrid>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529" w:hRule="atLeast"/>
        </w:trPr>
        <w:tc>
          <w:tcPr>
            <w:tcW w:w="678" w:type="pct"/>
            <w:tcBorders>
              <w:top w:val="single" w:color="000000" w:sz="8" w:space="0"/>
              <w:bottom w:val="single" w:color="000000" w:sz="8" w:space="0"/>
            </w:tcBorders>
            <w:shd w:val="clear" w:color="auto" w:fill="auto"/>
            <w:vAlign w:val="center"/>
          </w:tcPr>
          <w:p>
            <w:pPr>
              <w:spacing w:line="360" w:lineRule="exact"/>
              <w:jc w:val="center"/>
              <w:rPr>
                <w:sz w:val="21"/>
                <w:szCs w:val="21"/>
              </w:rPr>
            </w:pPr>
            <w:r>
              <w:rPr>
                <w:rFonts w:hint="eastAsia"/>
                <w:sz w:val="21"/>
                <w:szCs w:val="21"/>
              </w:rPr>
              <w:t>风险等级</w:t>
            </w:r>
          </w:p>
        </w:tc>
        <w:tc>
          <w:tcPr>
            <w:tcW w:w="683" w:type="pct"/>
            <w:tcBorders>
              <w:top w:val="single" w:color="000000" w:sz="8" w:space="0"/>
              <w:bottom w:val="single" w:color="000000" w:sz="8" w:space="0"/>
            </w:tcBorders>
            <w:shd w:val="clear" w:color="auto" w:fill="auto"/>
            <w:vAlign w:val="center"/>
          </w:tcPr>
          <w:p>
            <w:pPr>
              <w:spacing w:line="360" w:lineRule="exact"/>
              <w:jc w:val="center"/>
              <w:rPr>
                <w:sz w:val="21"/>
                <w:szCs w:val="21"/>
              </w:rPr>
            </w:pPr>
            <w:r>
              <w:rPr>
                <w:rFonts w:hint="eastAsia"/>
                <w:sz w:val="21"/>
                <w:szCs w:val="21"/>
              </w:rPr>
              <w:t>危险程度</w:t>
            </w:r>
          </w:p>
        </w:tc>
        <w:tc>
          <w:tcPr>
            <w:tcW w:w="684" w:type="pct"/>
            <w:tcBorders>
              <w:top w:val="single" w:color="000000" w:sz="8" w:space="0"/>
              <w:bottom w:val="single" w:color="000000" w:sz="8" w:space="0"/>
            </w:tcBorders>
            <w:shd w:val="clear" w:color="auto" w:fill="auto"/>
            <w:vAlign w:val="center"/>
          </w:tcPr>
          <w:p>
            <w:pPr>
              <w:spacing w:line="360" w:lineRule="exact"/>
              <w:jc w:val="center"/>
              <w:rPr>
                <w:sz w:val="21"/>
                <w:szCs w:val="21"/>
              </w:rPr>
            </w:pPr>
            <w:r>
              <w:rPr>
                <w:rFonts w:hint="eastAsia"/>
                <w:sz w:val="21"/>
                <w:szCs w:val="21"/>
              </w:rPr>
              <w:t>标识颜色</w:t>
            </w:r>
          </w:p>
        </w:tc>
        <w:tc>
          <w:tcPr>
            <w:tcW w:w="941" w:type="pct"/>
            <w:tcBorders>
              <w:top w:val="single" w:color="000000" w:sz="8" w:space="0"/>
              <w:bottom w:val="single" w:color="000000" w:sz="8" w:space="0"/>
            </w:tcBorders>
            <w:shd w:val="clear" w:color="auto" w:fill="auto"/>
            <w:vAlign w:val="center"/>
          </w:tcPr>
          <w:p>
            <w:pPr>
              <w:spacing w:line="360" w:lineRule="exact"/>
              <w:jc w:val="center"/>
              <w:rPr>
                <w:sz w:val="21"/>
                <w:szCs w:val="21"/>
              </w:rPr>
            </w:pPr>
            <w:r>
              <w:rPr>
                <w:rFonts w:hint="eastAsia"/>
                <w:sz w:val="21"/>
                <w:szCs w:val="21"/>
              </w:rPr>
              <w:t>管控责任主体</w:t>
            </w:r>
          </w:p>
        </w:tc>
        <w:tc>
          <w:tcPr>
            <w:tcW w:w="2014" w:type="pct"/>
            <w:tcBorders>
              <w:top w:val="single" w:color="000000" w:sz="8" w:space="0"/>
              <w:bottom w:val="single" w:color="000000" w:sz="8" w:space="0"/>
            </w:tcBorders>
            <w:shd w:val="clear" w:color="auto" w:fill="auto"/>
            <w:vAlign w:val="center"/>
          </w:tcPr>
          <w:p>
            <w:pPr>
              <w:spacing w:line="360" w:lineRule="exact"/>
              <w:jc w:val="center"/>
              <w:rPr>
                <w:sz w:val="21"/>
                <w:szCs w:val="21"/>
              </w:rPr>
            </w:pPr>
            <w:r>
              <w:rPr>
                <w:rFonts w:hint="eastAsia"/>
                <w:sz w:val="21"/>
                <w:szCs w:val="21"/>
              </w:rPr>
              <w:t>备注</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936" w:hRule="atLeast"/>
        </w:trPr>
        <w:tc>
          <w:tcPr>
            <w:tcW w:w="678" w:type="pct"/>
            <w:tcBorders>
              <w:top w:val="single" w:color="000000" w:sz="8" w:space="0"/>
            </w:tcBorders>
            <w:shd w:val="clear" w:color="auto" w:fill="auto"/>
            <w:vAlign w:val="center"/>
          </w:tcPr>
          <w:p>
            <w:pPr>
              <w:spacing w:line="360" w:lineRule="exact"/>
              <w:jc w:val="center"/>
              <w:rPr>
                <w:sz w:val="21"/>
                <w:szCs w:val="21"/>
              </w:rPr>
            </w:pPr>
            <w:r>
              <w:rPr>
                <w:rFonts w:hint="eastAsia"/>
                <w:sz w:val="21"/>
                <w:szCs w:val="21"/>
              </w:rPr>
              <w:t>重大风险</w:t>
            </w:r>
          </w:p>
        </w:tc>
        <w:tc>
          <w:tcPr>
            <w:tcW w:w="683" w:type="pct"/>
            <w:tcBorders>
              <w:top w:val="single" w:color="000000" w:sz="8" w:space="0"/>
            </w:tcBorders>
            <w:shd w:val="clear" w:color="auto" w:fill="auto"/>
            <w:vAlign w:val="center"/>
          </w:tcPr>
          <w:p>
            <w:pPr>
              <w:spacing w:line="360" w:lineRule="exact"/>
              <w:jc w:val="center"/>
              <w:rPr>
                <w:sz w:val="21"/>
                <w:szCs w:val="21"/>
              </w:rPr>
            </w:pPr>
            <w:r>
              <w:rPr>
                <w:rFonts w:hint="eastAsia"/>
                <w:sz w:val="21"/>
                <w:szCs w:val="21"/>
              </w:rPr>
              <w:t>极其危险</w:t>
            </w:r>
          </w:p>
        </w:tc>
        <w:tc>
          <w:tcPr>
            <w:tcW w:w="684" w:type="pct"/>
            <w:tcBorders>
              <w:top w:val="single" w:color="000000" w:sz="8" w:space="0"/>
            </w:tcBorders>
            <w:shd w:val="clear" w:color="auto" w:fill="auto"/>
            <w:vAlign w:val="center"/>
          </w:tcPr>
          <w:p>
            <w:pPr>
              <w:spacing w:line="360" w:lineRule="exact"/>
              <w:jc w:val="center"/>
              <w:rPr>
                <w:sz w:val="21"/>
                <w:szCs w:val="21"/>
              </w:rPr>
            </w:pPr>
            <w:r>
              <w:rPr>
                <w:rFonts w:hint="eastAsia"/>
                <w:sz w:val="21"/>
                <w:szCs w:val="21"/>
              </w:rPr>
              <w:t>红色</w:t>
            </w:r>
          </w:p>
        </w:tc>
        <w:tc>
          <w:tcPr>
            <w:tcW w:w="941" w:type="pct"/>
            <w:tcBorders>
              <w:top w:val="single" w:color="000000" w:sz="8" w:space="0"/>
            </w:tcBorders>
            <w:shd w:val="clear" w:color="auto" w:fill="auto"/>
            <w:vAlign w:val="center"/>
          </w:tcPr>
          <w:p>
            <w:pPr>
              <w:spacing w:line="360" w:lineRule="exact"/>
              <w:jc w:val="center"/>
              <w:rPr>
                <w:sz w:val="21"/>
                <w:szCs w:val="21"/>
              </w:rPr>
            </w:pPr>
            <w:r>
              <w:rPr>
                <w:rFonts w:hint="eastAsia"/>
                <w:sz w:val="21"/>
                <w:szCs w:val="21"/>
              </w:rPr>
              <w:t>管理单位</w:t>
            </w:r>
          </w:p>
        </w:tc>
        <w:tc>
          <w:tcPr>
            <w:tcW w:w="2014" w:type="pct"/>
            <w:tcBorders>
              <w:top w:val="single" w:color="000000" w:sz="8" w:space="0"/>
            </w:tcBorders>
            <w:shd w:val="clear" w:color="auto" w:fill="auto"/>
            <w:vAlign w:val="center"/>
          </w:tcPr>
          <w:p>
            <w:pPr>
              <w:spacing w:line="360" w:lineRule="exact"/>
              <w:rPr>
                <w:sz w:val="21"/>
                <w:szCs w:val="21"/>
              </w:rPr>
            </w:pPr>
            <w:r>
              <w:rPr>
                <w:rFonts w:hint="eastAsia"/>
                <w:sz w:val="21"/>
                <w:szCs w:val="21"/>
              </w:rPr>
              <w:t>主要负责人组织管控，上级主管部门重点监督检查。必要时，管理单位应报请上级主管部门协调相关单位共同管控。</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750" w:hRule="atLeast"/>
        </w:trPr>
        <w:tc>
          <w:tcPr>
            <w:tcW w:w="678" w:type="pct"/>
            <w:shd w:val="clear" w:color="auto" w:fill="auto"/>
            <w:vAlign w:val="center"/>
          </w:tcPr>
          <w:p>
            <w:pPr>
              <w:spacing w:line="360" w:lineRule="exact"/>
              <w:jc w:val="center"/>
              <w:rPr>
                <w:sz w:val="21"/>
                <w:szCs w:val="21"/>
              </w:rPr>
            </w:pPr>
            <w:r>
              <w:rPr>
                <w:rFonts w:hint="eastAsia"/>
                <w:sz w:val="21"/>
                <w:szCs w:val="21"/>
              </w:rPr>
              <w:t>较大风险</w:t>
            </w:r>
          </w:p>
        </w:tc>
        <w:tc>
          <w:tcPr>
            <w:tcW w:w="683" w:type="pct"/>
            <w:shd w:val="clear" w:color="auto" w:fill="auto"/>
            <w:vAlign w:val="center"/>
          </w:tcPr>
          <w:p>
            <w:pPr>
              <w:spacing w:line="360" w:lineRule="exact"/>
              <w:jc w:val="center"/>
              <w:rPr>
                <w:sz w:val="21"/>
                <w:szCs w:val="21"/>
              </w:rPr>
            </w:pPr>
            <w:r>
              <w:rPr>
                <w:rFonts w:hint="eastAsia"/>
                <w:sz w:val="21"/>
                <w:szCs w:val="21"/>
              </w:rPr>
              <w:t>高度危险</w:t>
            </w:r>
          </w:p>
        </w:tc>
        <w:tc>
          <w:tcPr>
            <w:tcW w:w="684" w:type="pct"/>
            <w:shd w:val="clear" w:color="auto" w:fill="auto"/>
            <w:vAlign w:val="center"/>
          </w:tcPr>
          <w:p>
            <w:pPr>
              <w:spacing w:line="360" w:lineRule="exact"/>
              <w:jc w:val="center"/>
              <w:rPr>
                <w:sz w:val="21"/>
                <w:szCs w:val="21"/>
              </w:rPr>
            </w:pPr>
            <w:r>
              <w:rPr>
                <w:rFonts w:hint="eastAsia"/>
                <w:sz w:val="21"/>
                <w:szCs w:val="21"/>
              </w:rPr>
              <w:t>橙色</w:t>
            </w:r>
          </w:p>
        </w:tc>
        <w:tc>
          <w:tcPr>
            <w:tcW w:w="941" w:type="pct"/>
            <w:shd w:val="clear" w:color="auto" w:fill="auto"/>
            <w:vAlign w:val="center"/>
          </w:tcPr>
          <w:p>
            <w:pPr>
              <w:spacing w:line="360" w:lineRule="exact"/>
              <w:jc w:val="center"/>
              <w:rPr>
                <w:sz w:val="21"/>
                <w:szCs w:val="21"/>
              </w:rPr>
            </w:pPr>
            <w:r>
              <w:rPr>
                <w:rFonts w:hint="eastAsia"/>
                <w:sz w:val="21"/>
                <w:szCs w:val="21"/>
              </w:rPr>
              <w:t>管理单位</w:t>
            </w:r>
          </w:p>
        </w:tc>
        <w:tc>
          <w:tcPr>
            <w:tcW w:w="2014" w:type="pct"/>
            <w:shd w:val="clear" w:color="auto" w:fill="auto"/>
            <w:vAlign w:val="center"/>
          </w:tcPr>
          <w:p>
            <w:pPr>
              <w:spacing w:line="360" w:lineRule="exact"/>
              <w:rPr>
                <w:sz w:val="21"/>
                <w:szCs w:val="21"/>
              </w:rPr>
            </w:pPr>
            <w:r>
              <w:rPr>
                <w:rFonts w:hint="eastAsia"/>
                <w:sz w:val="21"/>
                <w:szCs w:val="21"/>
              </w:rPr>
              <w:t>分管运行管理或有关部门的领导组织管控，分管安全管理部门的领导协助主要负责人监督。</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936" w:hRule="atLeast"/>
        </w:trPr>
        <w:tc>
          <w:tcPr>
            <w:tcW w:w="678" w:type="pct"/>
            <w:shd w:val="clear" w:color="auto" w:fill="auto"/>
            <w:vAlign w:val="center"/>
          </w:tcPr>
          <w:p>
            <w:pPr>
              <w:spacing w:line="360" w:lineRule="exact"/>
              <w:jc w:val="center"/>
              <w:rPr>
                <w:sz w:val="21"/>
                <w:szCs w:val="21"/>
              </w:rPr>
            </w:pPr>
            <w:r>
              <w:rPr>
                <w:rFonts w:hint="eastAsia"/>
                <w:sz w:val="21"/>
                <w:szCs w:val="21"/>
              </w:rPr>
              <w:t>一般风险</w:t>
            </w:r>
          </w:p>
        </w:tc>
        <w:tc>
          <w:tcPr>
            <w:tcW w:w="683" w:type="pct"/>
            <w:shd w:val="clear" w:color="auto" w:fill="auto"/>
            <w:vAlign w:val="center"/>
          </w:tcPr>
          <w:p>
            <w:pPr>
              <w:spacing w:line="360" w:lineRule="exact"/>
              <w:jc w:val="center"/>
              <w:rPr>
                <w:sz w:val="21"/>
                <w:szCs w:val="21"/>
              </w:rPr>
            </w:pPr>
            <w:r>
              <w:rPr>
                <w:rFonts w:hint="eastAsia"/>
                <w:sz w:val="21"/>
                <w:szCs w:val="21"/>
              </w:rPr>
              <w:t>中度危险</w:t>
            </w:r>
          </w:p>
        </w:tc>
        <w:tc>
          <w:tcPr>
            <w:tcW w:w="684" w:type="pct"/>
            <w:shd w:val="clear" w:color="auto" w:fill="auto"/>
            <w:vAlign w:val="center"/>
          </w:tcPr>
          <w:p>
            <w:pPr>
              <w:spacing w:line="360" w:lineRule="exact"/>
              <w:jc w:val="center"/>
              <w:rPr>
                <w:sz w:val="21"/>
                <w:szCs w:val="21"/>
              </w:rPr>
            </w:pPr>
            <w:r>
              <w:rPr>
                <w:rFonts w:hint="eastAsia"/>
                <w:sz w:val="21"/>
                <w:szCs w:val="21"/>
              </w:rPr>
              <w:t>黄色</w:t>
            </w:r>
          </w:p>
        </w:tc>
        <w:tc>
          <w:tcPr>
            <w:tcW w:w="941" w:type="pct"/>
            <w:shd w:val="clear" w:color="auto" w:fill="auto"/>
            <w:vAlign w:val="center"/>
          </w:tcPr>
          <w:p>
            <w:pPr>
              <w:spacing w:line="360" w:lineRule="exact"/>
              <w:jc w:val="center"/>
              <w:rPr>
                <w:sz w:val="21"/>
                <w:szCs w:val="21"/>
              </w:rPr>
            </w:pPr>
            <w:r>
              <w:rPr>
                <w:rFonts w:hint="eastAsia"/>
                <w:sz w:val="21"/>
                <w:szCs w:val="21"/>
              </w:rPr>
              <w:t>管理单位</w:t>
            </w:r>
          </w:p>
        </w:tc>
        <w:tc>
          <w:tcPr>
            <w:tcW w:w="2014" w:type="pct"/>
            <w:shd w:val="clear" w:color="auto" w:fill="auto"/>
            <w:vAlign w:val="center"/>
          </w:tcPr>
          <w:p>
            <w:pPr>
              <w:spacing w:line="360" w:lineRule="exact"/>
              <w:rPr>
                <w:sz w:val="21"/>
                <w:szCs w:val="21"/>
              </w:rPr>
            </w:pPr>
            <w:r>
              <w:rPr>
                <w:rFonts w:hint="eastAsia"/>
                <w:sz w:val="21"/>
                <w:szCs w:val="21"/>
              </w:rPr>
              <w:t>运行管理部门或有关部门负责人组织管控，安全管理部门负责人协助其分管领导监督。</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699" w:hRule="atLeast"/>
        </w:trPr>
        <w:tc>
          <w:tcPr>
            <w:tcW w:w="678" w:type="pct"/>
            <w:shd w:val="clear" w:color="auto" w:fill="auto"/>
            <w:vAlign w:val="center"/>
          </w:tcPr>
          <w:p>
            <w:pPr>
              <w:spacing w:line="360" w:lineRule="exact"/>
              <w:jc w:val="center"/>
              <w:rPr>
                <w:sz w:val="21"/>
                <w:szCs w:val="21"/>
              </w:rPr>
            </w:pPr>
            <w:r>
              <w:rPr>
                <w:rFonts w:hint="eastAsia"/>
                <w:sz w:val="21"/>
                <w:szCs w:val="21"/>
              </w:rPr>
              <w:t>低风险</w:t>
            </w:r>
          </w:p>
        </w:tc>
        <w:tc>
          <w:tcPr>
            <w:tcW w:w="683" w:type="pct"/>
            <w:shd w:val="clear" w:color="auto" w:fill="auto"/>
            <w:vAlign w:val="center"/>
          </w:tcPr>
          <w:p>
            <w:pPr>
              <w:spacing w:line="360" w:lineRule="exact"/>
              <w:jc w:val="center"/>
              <w:rPr>
                <w:sz w:val="21"/>
                <w:szCs w:val="21"/>
              </w:rPr>
            </w:pPr>
            <w:r>
              <w:rPr>
                <w:rFonts w:hint="eastAsia"/>
                <w:sz w:val="21"/>
                <w:szCs w:val="21"/>
              </w:rPr>
              <w:t>轻度危险</w:t>
            </w:r>
          </w:p>
        </w:tc>
        <w:tc>
          <w:tcPr>
            <w:tcW w:w="684" w:type="pct"/>
            <w:shd w:val="clear" w:color="auto" w:fill="auto"/>
            <w:vAlign w:val="center"/>
          </w:tcPr>
          <w:p>
            <w:pPr>
              <w:spacing w:line="360" w:lineRule="exact"/>
              <w:jc w:val="center"/>
              <w:rPr>
                <w:sz w:val="21"/>
                <w:szCs w:val="21"/>
              </w:rPr>
            </w:pPr>
            <w:r>
              <w:rPr>
                <w:rFonts w:hint="eastAsia"/>
                <w:sz w:val="21"/>
                <w:szCs w:val="21"/>
              </w:rPr>
              <w:t>蓝色</w:t>
            </w:r>
          </w:p>
        </w:tc>
        <w:tc>
          <w:tcPr>
            <w:tcW w:w="941" w:type="pct"/>
            <w:shd w:val="clear" w:color="auto" w:fill="auto"/>
            <w:vAlign w:val="center"/>
          </w:tcPr>
          <w:p>
            <w:pPr>
              <w:spacing w:line="360" w:lineRule="exact"/>
              <w:jc w:val="center"/>
              <w:rPr>
                <w:sz w:val="21"/>
                <w:szCs w:val="21"/>
              </w:rPr>
            </w:pPr>
            <w:r>
              <w:rPr>
                <w:rFonts w:hint="eastAsia"/>
                <w:sz w:val="21"/>
                <w:szCs w:val="21"/>
              </w:rPr>
              <w:t>管理单位</w:t>
            </w:r>
          </w:p>
        </w:tc>
        <w:tc>
          <w:tcPr>
            <w:tcW w:w="2014" w:type="pct"/>
            <w:shd w:val="clear" w:color="auto" w:fill="auto"/>
            <w:vAlign w:val="center"/>
          </w:tcPr>
          <w:p>
            <w:pPr>
              <w:spacing w:line="360" w:lineRule="exact"/>
              <w:rPr>
                <w:sz w:val="21"/>
                <w:szCs w:val="21"/>
              </w:rPr>
            </w:pPr>
            <w:r>
              <w:rPr>
                <w:rFonts w:hint="eastAsia"/>
                <w:sz w:val="21"/>
                <w:szCs w:val="21"/>
              </w:rPr>
              <w:t>有关班组或岗位自行管控。</w:t>
            </w:r>
          </w:p>
        </w:tc>
      </w:tr>
    </w:tbl>
    <w:p>
      <w:pPr>
        <w:spacing w:line="440" w:lineRule="exact"/>
        <w:ind w:firstLine="480" w:firstLineChars="200"/>
        <w:rPr>
          <w:sz w:val="24"/>
          <w:szCs w:val="24"/>
        </w:rPr>
      </w:pPr>
      <w:r>
        <w:rPr>
          <w:rFonts w:hint="eastAsia"/>
          <w:sz w:val="24"/>
          <w:szCs w:val="24"/>
        </w:rPr>
        <w:t>（5）水利水电勘测设计单位、水文监测单位、水利后勤保障单位及其他水利生产经营单位按</w:t>
      </w:r>
      <w:r>
        <w:rPr>
          <w:sz w:val="24"/>
          <w:szCs w:val="24"/>
        </w:rPr>
        <w:t>4</w:t>
      </w:r>
      <w:r>
        <w:rPr>
          <w:rFonts w:hint="eastAsia"/>
          <w:sz w:val="24"/>
          <w:szCs w:val="24"/>
        </w:rPr>
        <w:t>.1.3.2规定结合本单位危险源风险评价结果自行确定。</w:t>
      </w:r>
    </w:p>
    <w:p>
      <w:pPr>
        <w:spacing w:line="440" w:lineRule="exact"/>
        <w:ind w:firstLine="480" w:firstLineChars="200"/>
        <w:rPr>
          <w:sz w:val="24"/>
          <w:szCs w:val="24"/>
        </w:rPr>
      </w:pPr>
      <w:r>
        <w:rPr>
          <w:sz w:val="24"/>
          <w:szCs w:val="24"/>
        </w:rPr>
        <w:t>4</w:t>
      </w:r>
      <w:r>
        <w:rPr>
          <w:rFonts w:hint="eastAsia"/>
          <w:sz w:val="24"/>
          <w:szCs w:val="24"/>
        </w:rPr>
        <w:t>.1.3.4 各层级管控内容</w:t>
      </w:r>
    </w:p>
    <w:p>
      <w:pPr>
        <w:spacing w:line="440" w:lineRule="exact"/>
        <w:ind w:firstLine="480" w:firstLineChars="200"/>
        <w:rPr>
          <w:sz w:val="24"/>
          <w:szCs w:val="24"/>
        </w:rPr>
      </w:pPr>
      <w:r>
        <w:rPr>
          <w:rFonts w:hint="eastAsia"/>
          <w:sz w:val="24"/>
          <w:szCs w:val="24"/>
        </w:rPr>
        <w:t>（1）企业（公司、单位）级管控主要包括:</w:t>
      </w:r>
    </w:p>
    <w:p>
      <w:pPr>
        <w:spacing w:line="440" w:lineRule="exact"/>
        <w:ind w:firstLine="480" w:firstLineChars="200"/>
        <w:rPr>
          <w:sz w:val="24"/>
          <w:szCs w:val="24"/>
        </w:rPr>
      </w:pPr>
      <w:r>
        <w:rPr>
          <w:rFonts w:hint="eastAsia"/>
          <w:sz w:val="24"/>
          <w:szCs w:val="24"/>
        </w:rPr>
        <w:t>——主要负责人负责。</w:t>
      </w:r>
    </w:p>
    <w:p>
      <w:pPr>
        <w:spacing w:line="440" w:lineRule="exact"/>
        <w:ind w:firstLine="480" w:firstLineChars="200"/>
        <w:rPr>
          <w:sz w:val="24"/>
          <w:szCs w:val="24"/>
        </w:rPr>
      </w:pPr>
      <w:r>
        <w:rPr>
          <w:rFonts w:hint="eastAsia"/>
          <w:sz w:val="24"/>
          <w:szCs w:val="24"/>
        </w:rPr>
        <w:t>——负责管控重大风险或本单位最高等级风险。</w:t>
      </w:r>
    </w:p>
    <w:p>
      <w:pPr>
        <w:spacing w:line="440" w:lineRule="exact"/>
        <w:ind w:firstLine="480" w:firstLineChars="200"/>
        <w:rPr>
          <w:sz w:val="24"/>
          <w:szCs w:val="24"/>
        </w:rPr>
      </w:pPr>
      <w:r>
        <w:rPr>
          <w:rFonts w:hint="eastAsia"/>
          <w:sz w:val="24"/>
          <w:szCs w:val="24"/>
        </w:rPr>
        <w:t>——组织制定并落实重大风险或本单位最高等级风险管控措施及专项管控方案。</w:t>
      </w:r>
    </w:p>
    <w:p>
      <w:pPr>
        <w:spacing w:line="440" w:lineRule="exact"/>
        <w:ind w:firstLine="480" w:firstLineChars="200"/>
        <w:rPr>
          <w:sz w:val="24"/>
          <w:szCs w:val="24"/>
        </w:rPr>
      </w:pPr>
      <w:r>
        <w:rPr>
          <w:rFonts w:hint="eastAsia"/>
          <w:sz w:val="24"/>
          <w:szCs w:val="24"/>
        </w:rPr>
        <w:t>——每月至少组织开展一次风险点管控措施有效性检查，检查风险管控措施和管控方案落实情况。每季度至少组织开展一次重大风险辨识、分级状况及其管控措施有效性的审核、研判。</w:t>
      </w:r>
    </w:p>
    <w:p>
      <w:pPr>
        <w:spacing w:line="440" w:lineRule="exact"/>
        <w:ind w:firstLine="480" w:firstLineChars="200"/>
        <w:rPr>
          <w:sz w:val="24"/>
          <w:szCs w:val="24"/>
        </w:rPr>
      </w:pPr>
      <w:r>
        <w:rPr>
          <w:rFonts w:hint="eastAsia"/>
          <w:sz w:val="24"/>
          <w:szCs w:val="24"/>
        </w:rPr>
        <w:t>——督促各层级、各专业、各岗位落实风险辨识管控及其有效性检查整改工作，严格考核奖惩。</w:t>
      </w:r>
    </w:p>
    <w:p>
      <w:pPr>
        <w:spacing w:line="440" w:lineRule="exact"/>
        <w:ind w:firstLine="480" w:firstLineChars="200"/>
        <w:rPr>
          <w:sz w:val="24"/>
          <w:szCs w:val="24"/>
        </w:rPr>
      </w:pPr>
      <w:r>
        <w:rPr>
          <w:rFonts w:hint="eastAsia"/>
          <w:sz w:val="24"/>
          <w:szCs w:val="24"/>
        </w:rPr>
        <w:t>——定期向企业（公司、单位）职工代表大会报告重大安全生产风险管控情况。</w:t>
      </w:r>
    </w:p>
    <w:p>
      <w:pPr>
        <w:spacing w:line="440" w:lineRule="exact"/>
        <w:ind w:firstLine="480" w:firstLineChars="200"/>
        <w:rPr>
          <w:sz w:val="24"/>
          <w:szCs w:val="24"/>
        </w:rPr>
      </w:pPr>
      <w:r>
        <w:rPr>
          <w:rFonts w:hint="eastAsia"/>
          <w:sz w:val="24"/>
          <w:szCs w:val="24"/>
        </w:rPr>
        <w:t>——组织风险管控措施、专项方案重大失控的整改工作，向企业（公司、单位）通报整治情况。</w:t>
      </w:r>
    </w:p>
    <w:p>
      <w:pPr>
        <w:spacing w:line="440" w:lineRule="exact"/>
        <w:ind w:firstLine="480" w:firstLineChars="200"/>
        <w:rPr>
          <w:sz w:val="24"/>
          <w:szCs w:val="24"/>
        </w:rPr>
      </w:pPr>
      <w:r>
        <w:rPr>
          <w:rFonts w:hint="eastAsia"/>
          <w:sz w:val="24"/>
          <w:szCs w:val="24"/>
        </w:rPr>
        <w:t>——其他应由企业（公司、单位）级管控的内容。</w:t>
      </w:r>
    </w:p>
    <w:p>
      <w:pPr>
        <w:spacing w:line="440" w:lineRule="exact"/>
        <w:ind w:firstLine="480" w:firstLineChars="200"/>
        <w:rPr>
          <w:sz w:val="24"/>
          <w:szCs w:val="24"/>
        </w:rPr>
      </w:pPr>
      <w:r>
        <w:rPr>
          <w:rFonts w:hint="eastAsia"/>
          <w:sz w:val="24"/>
          <w:szCs w:val="24"/>
        </w:rPr>
        <w:t>（2）车间(部门、项目部等)级管控内容主要包括:</w:t>
      </w:r>
    </w:p>
    <w:p>
      <w:pPr>
        <w:spacing w:line="440" w:lineRule="exact"/>
        <w:ind w:firstLine="480" w:firstLineChars="200"/>
        <w:rPr>
          <w:sz w:val="24"/>
          <w:szCs w:val="24"/>
        </w:rPr>
      </w:pPr>
      <w:r>
        <w:rPr>
          <w:rFonts w:hint="eastAsia"/>
          <w:sz w:val="24"/>
          <w:szCs w:val="24"/>
        </w:rPr>
        <w:t>——车间(部门、项目部等)负责人负责。</w:t>
      </w:r>
    </w:p>
    <w:p>
      <w:pPr>
        <w:spacing w:line="440" w:lineRule="exact"/>
        <w:ind w:firstLine="480" w:firstLineChars="200"/>
        <w:rPr>
          <w:sz w:val="24"/>
          <w:szCs w:val="24"/>
        </w:rPr>
      </w:pPr>
      <w:r>
        <w:rPr>
          <w:rFonts w:hint="eastAsia"/>
          <w:sz w:val="24"/>
          <w:szCs w:val="24"/>
        </w:rPr>
        <w:t>——负责管控职责范围内一般及以上风险。</w:t>
      </w:r>
    </w:p>
    <w:p>
      <w:pPr>
        <w:spacing w:line="440" w:lineRule="exact"/>
        <w:ind w:firstLine="480" w:firstLineChars="200"/>
        <w:rPr>
          <w:sz w:val="24"/>
          <w:szCs w:val="24"/>
        </w:rPr>
      </w:pPr>
      <w:r>
        <w:rPr>
          <w:rFonts w:hint="eastAsia"/>
          <w:sz w:val="24"/>
          <w:szCs w:val="24"/>
        </w:rPr>
        <w:t>——负责落实职责范围内风险管控措施的执行监督。</w:t>
      </w:r>
    </w:p>
    <w:p>
      <w:pPr>
        <w:spacing w:line="440" w:lineRule="exact"/>
        <w:ind w:firstLine="480" w:firstLineChars="200"/>
        <w:rPr>
          <w:sz w:val="24"/>
          <w:szCs w:val="24"/>
        </w:rPr>
      </w:pPr>
      <w:r>
        <w:rPr>
          <w:rFonts w:hint="eastAsia"/>
          <w:sz w:val="24"/>
          <w:szCs w:val="24"/>
        </w:rPr>
        <w:t>——结合实际，负责每周至少开展一次属地风险管控有效性检查和风险辨识、分级状况及其管控措施有效性的审核、研判。</w:t>
      </w:r>
    </w:p>
    <w:p>
      <w:pPr>
        <w:spacing w:line="440" w:lineRule="exact"/>
        <w:ind w:firstLine="480" w:firstLineChars="200"/>
        <w:rPr>
          <w:sz w:val="24"/>
          <w:szCs w:val="24"/>
        </w:rPr>
      </w:pPr>
      <w:r>
        <w:rPr>
          <w:rFonts w:hint="eastAsia"/>
          <w:sz w:val="24"/>
          <w:szCs w:val="24"/>
        </w:rPr>
        <w:t>——负责分析本车间(部门、项目部等)层面风险管控效果和失控产生原因，修订完善风险控制管控措施。</w:t>
      </w:r>
    </w:p>
    <w:p>
      <w:pPr>
        <w:spacing w:line="440" w:lineRule="exact"/>
        <w:ind w:firstLine="480" w:firstLineChars="200"/>
        <w:rPr>
          <w:sz w:val="24"/>
          <w:szCs w:val="24"/>
        </w:rPr>
      </w:pPr>
      <w:r>
        <w:rPr>
          <w:rFonts w:hint="eastAsia"/>
          <w:sz w:val="24"/>
          <w:szCs w:val="24"/>
        </w:rPr>
        <w:t>——负责治理本车间(部门、项目部等)相关管控措施失控，通报本车间(部门、项目部等)管控措施失控整改情况。</w:t>
      </w:r>
    </w:p>
    <w:p>
      <w:pPr>
        <w:spacing w:line="440" w:lineRule="exact"/>
        <w:ind w:firstLine="480" w:firstLineChars="200"/>
        <w:rPr>
          <w:sz w:val="24"/>
          <w:szCs w:val="24"/>
        </w:rPr>
      </w:pPr>
      <w:r>
        <w:rPr>
          <w:rFonts w:hint="eastAsia"/>
          <w:sz w:val="24"/>
          <w:szCs w:val="24"/>
        </w:rPr>
        <w:t>——督促本车间(部门、项目部等)、班组(工段、岗位)落实风险管控有效性检查整改工作，严格考核奖惩。</w:t>
      </w:r>
    </w:p>
    <w:p>
      <w:pPr>
        <w:spacing w:line="440" w:lineRule="exact"/>
        <w:ind w:firstLine="480" w:firstLineChars="200"/>
        <w:rPr>
          <w:sz w:val="24"/>
          <w:szCs w:val="24"/>
        </w:rPr>
      </w:pPr>
      <w:r>
        <w:rPr>
          <w:rFonts w:hint="eastAsia"/>
          <w:sz w:val="24"/>
          <w:szCs w:val="24"/>
        </w:rPr>
        <w:t>——其他关联车间(部门、项目部等)级管控的内容。</w:t>
      </w:r>
    </w:p>
    <w:p>
      <w:pPr>
        <w:spacing w:line="440" w:lineRule="exact"/>
        <w:ind w:firstLine="480" w:firstLineChars="200"/>
        <w:rPr>
          <w:sz w:val="24"/>
          <w:szCs w:val="24"/>
        </w:rPr>
      </w:pPr>
      <w:r>
        <w:rPr>
          <w:rFonts w:hint="eastAsia"/>
          <w:sz w:val="24"/>
          <w:szCs w:val="24"/>
        </w:rPr>
        <w:t>（3）班组(工段、岗位)级管控运行内容主要包括:</w:t>
      </w:r>
    </w:p>
    <w:p>
      <w:pPr>
        <w:spacing w:line="440" w:lineRule="exact"/>
        <w:ind w:firstLine="480" w:firstLineChars="200"/>
        <w:rPr>
          <w:sz w:val="24"/>
          <w:szCs w:val="24"/>
        </w:rPr>
      </w:pPr>
      <w:r>
        <w:rPr>
          <w:rFonts w:hint="eastAsia"/>
          <w:sz w:val="24"/>
          <w:szCs w:val="24"/>
        </w:rPr>
        <w:t>——班组(工段)长、岗位员工负责；专业分包和劳务分包等同于施工班组层级。</w:t>
      </w:r>
    </w:p>
    <w:p>
      <w:pPr>
        <w:spacing w:line="440" w:lineRule="exact"/>
        <w:ind w:firstLine="480" w:firstLineChars="200"/>
        <w:rPr>
          <w:sz w:val="24"/>
          <w:szCs w:val="24"/>
        </w:rPr>
      </w:pPr>
      <w:r>
        <w:rPr>
          <w:rFonts w:hint="eastAsia"/>
          <w:sz w:val="24"/>
          <w:szCs w:val="24"/>
        </w:rPr>
        <w:t>——负责管控本班组(工段、岗位)职责范围内各类风险。</w:t>
      </w:r>
    </w:p>
    <w:p>
      <w:pPr>
        <w:spacing w:line="440" w:lineRule="exact"/>
        <w:ind w:firstLine="480" w:firstLineChars="200"/>
        <w:rPr>
          <w:sz w:val="24"/>
          <w:szCs w:val="24"/>
        </w:rPr>
      </w:pPr>
      <w:r>
        <w:rPr>
          <w:rFonts w:hint="eastAsia"/>
          <w:sz w:val="24"/>
          <w:szCs w:val="24"/>
        </w:rPr>
        <w:t>——负责落实本班组(工段、岗位)职责范围内风险管控措施完整、有效执行。</w:t>
      </w:r>
    </w:p>
    <w:p>
      <w:pPr>
        <w:spacing w:line="440" w:lineRule="exact"/>
        <w:ind w:firstLine="480" w:firstLineChars="200"/>
        <w:rPr>
          <w:sz w:val="24"/>
          <w:szCs w:val="24"/>
        </w:rPr>
      </w:pPr>
      <w:r>
        <w:rPr>
          <w:rFonts w:hint="eastAsia"/>
          <w:sz w:val="24"/>
          <w:szCs w:val="24"/>
        </w:rPr>
        <w:t>——负责完整、有效落实班组(工段、岗位)作业行为准则、操作规程。</w:t>
      </w:r>
    </w:p>
    <w:p>
      <w:pPr>
        <w:spacing w:line="440" w:lineRule="exact"/>
        <w:ind w:firstLine="480" w:firstLineChars="200"/>
        <w:rPr>
          <w:sz w:val="24"/>
          <w:szCs w:val="24"/>
        </w:rPr>
      </w:pPr>
      <w:r>
        <w:rPr>
          <w:rFonts w:hint="eastAsia"/>
          <w:sz w:val="24"/>
          <w:szCs w:val="24"/>
        </w:rPr>
        <w:t>——结合班组(工段、岗位)实际，负责每班至少一次风险管控措施有效性检查。</w:t>
      </w:r>
    </w:p>
    <w:p>
      <w:pPr>
        <w:spacing w:line="440" w:lineRule="exact"/>
        <w:ind w:firstLine="480" w:firstLineChars="200"/>
        <w:rPr>
          <w:sz w:val="24"/>
          <w:szCs w:val="24"/>
        </w:rPr>
      </w:pPr>
      <w:r>
        <w:rPr>
          <w:rFonts w:hint="eastAsia"/>
          <w:sz w:val="24"/>
          <w:szCs w:val="24"/>
        </w:rPr>
        <w:t>——本班组(工段、岗位)检查发现能立即整改的风险管控失效应立即整改，不能立即整改的，应采取安全措施并按规定程序处置。</w:t>
      </w:r>
    </w:p>
    <w:p>
      <w:pPr>
        <w:spacing w:line="440" w:lineRule="exact"/>
        <w:ind w:firstLine="480" w:firstLineChars="200"/>
        <w:rPr>
          <w:sz w:val="24"/>
          <w:szCs w:val="24"/>
        </w:rPr>
      </w:pPr>
      <w:r>
        <w:rPr>
          <w:rFonts w:hint="eastAsia"/>
          <w:sz w:val="24"/>
          <w:szCs w:val="24"/>
        </w:rPr>
        <w:t>——对本班组(工段、岗位)新增风险应采取临时风险管控措施，并及时上报。</w:t>
      </w:r>
    </w:p>
    <w:p>
      <w:pPr>
        <w:spacing w:line="440" w:lineRule="exact"/>
        <w:ind w:firstLine="480" w:firstLineChars="200"/>
        <w:rPr>
          <w:sz w:val="24"/>
          <w:szCs w:val="24"/>
        </w:rPr>
      </w:pPr>
      <w:r>
        <w:rPr>
          <w:rFonts w:hint="eastAsia"/>
          <w:sz w:val="24"/>
          <w:szCs w:val="24"/>
        </w:rPr>
        <w:t>——其他关联班组、岗位(工段、班组)级管控的内容。</w:t>
      </w:r>
    </w:p>
    <w:p>
      <w:pPr>
        <w:spacing w:line="440" w:lineRule="exact"/>
        <w:ind w:firstLine="480" w:firstLineChars="200"/>
        <w:rPr>
          <w:sz w:val="24"/>
          <w:szCs w:val="24"/>
        </w:rPr>
      </w:pPr>
      <w:r>
        <w:rPr>
          <w:rFonts w:hint="eastAsia"/>
          <w:sz w:val="24"/>
          <w:szCs w:val="24"/>
        </w:rPr>
        <w:t>（4）由于各级风险管控均可能涉及专业工程技术性措施，在风险分级管控中应充分重视专业工程技术管控措施的制定和实施，主要包括:</w:t>
      </w:r>
    </w:p>
    <w:p>
      <w:pPr>
        <w:spacing w:line="440" w:lineRule="exact"/>
        <w:ind w:firstLine="480" w:firstLineChars="200"/>
        <w:rPr>
          <w:sz w:val="24"/>
          <w:szCs w:val="24"/>
        </w:rPr>
      </w:pPr>
      <w:r>
        <w:rPr>
          <w:rFonts w:hint="eastAsia"/>
          <w:sz w:val="24"/>
          <w:szCs w:val="24"/>
        </w:rPr>
        <w:t>——企业（公司、单位）分管负责人、其他负责人、专业技术人员负责。</w:t>
      </w:r>
    </w:p>
    <w:p>
      <w:pPr>
        <w:spacing w:line="440" w:lineRule="exact"/>
        <w:ind w:firstLine="480" w:firstLineChars="200"/>
        <w:rPr>
          <w:sz w:val="24"/>
          <w:szCs w:val="24"/>
        </w:rPr>
      </w:pPr>
      <w:r>
        <w:rPr>
          <w:rFonts w:hint="eastAsia"/>
          <w:sz w:val="24"/>
          <w:szCs w:val="24"/>
        </w:rPr>
        <w:t>——负责管控职责范围内风险涉及工程技术管控措施的制定和落实，负责组织落实风险管控专业措施及专项管控方案。</w:t>
      </w:r>
    </w:p>
    <w:p>
      <w:pPr>
        <w:spacing w:line="440" w:lineRule="exact"/>
        <w:ind w:firstLine="480" w:firstLineChars="200"/>
        <w:rPr>
          <w:sz w:val="24"/>
          <w:szCs w:val="24"/>
        </w:rPr>
      </w:pPr>
      <w:r>
        <w:rPr>
          <w:rFonts w:hint="eastAsia"/>
          <w:sz w:val="24"/>
          <w:szCs w:val="24"/>
        </w:rPr>
        <w:t>——根据风险分级状况、结合“日周月”的原则组织开展风险管控专业措施有效性检查，以确认专业技术措施落实情况。</w:t>
      </w:r>
    </w:p>
    <w:p>
      <w:pPr>
        <w:spacing w:line="440" w:lineRule="exact"/>
        <w:ind w:firstLine="480" w:firstLineChars="200"/>
        <w:rPr>
          <w:sz w:val="24"/>
          <w:szCs w:val="24"/>
        </w:rPr>
      </w:pPr>
      <w:r>
        <w:rPr>
          <w:rFonts w:hint="eastAsia"/>
          <w:sz w:val="24"/>
          <w:szCs w:val="24"/>
        </w:rPr>
        <w:t>——根据风险分级状况在特定周期内至少组织开展一次风险辨识、分级状况及其管控措施有效性的审核、研判。</w:t>
      </w:r>
    </w:p>
    <w:p>
      <w:pPr>
        <w:spacing w:line="440" w:lineRule="exact"/>
        <w:ind w:firstLine="480" w:firstLineChars="200"/>
        <w:rPr>
          <w:sz w:val="24"/>
          <w:szCs w:val="24"/>
        </w:rPr>
      </w:pPr>
      <w:r>
        <w:rPr>
          <w:rFonts w:hint="eastAsia"/>
          <w:sz w:val="24"/>
          <w:szCs w:val="24"/>
        </w:rPr>
        <w:t>——负责治理职责范围内相关风险管控措施失效的整改，通报职责范围内整改情况。</w:t>
      </w:r>
    </w:p>
    <w:p>
      <w:pPr>
        <w:spacing w:line="440" w:lineRule="exact"/>
        <w:ind w:firstLine="480" w:firstLineChars="200"/>
        <w:rPr>
          <w:sz w:val="24"/>
          <w:szCs w:val="24"/>
        </w:rPr>
      </w:pPr>
      <w:r>
        <w:rPr>
          <w:rFonts w:hint="eastAsia"/>
          <w:sz w:val="24"/>
          <w:szCs w:val="24"/>
        </w:rPr>
        <w:t>——督促职责范围内企业（公司、单位）、车间(部门、项目部等)、班组(工段、岗位)落实风险辨识、分级管控、管控措施失控检查和整改工作，参与考核奖惩。</w:t>
      </w:r>
    </w:p>
    <w:p>
      <w:pPr>
        <w:spacing w:line="440" w:lineRule="exact"/>
        <w:ind w:firstLine="480" w:firstLineChars="200"/>
        <w:rPr>
          <w:sz w:val="24"/>
          <w:szCs w:val="24"/>
        </w:rPr>
      </w:pPr>
      <w:r>
        <w:rPr>
          <w:rFonts w:hint="eastAsia"/>
          <w:sz w:val="24"/>
          <w:szCs w:val="24"/>
        </w:rPr>
        <w:t>——其他应由专业工程技术管控的内容。</w:t>
      </w:r>
    </w:p>
    <w:p>
      <w:pPr>
        <w:spacing w:line="440" w:lineRule="exact"/>
        <w:ind w:firstLine="480" w:firstLineChars="200"/>
        <w:rPr>
          <w:sz w:val="24"/>
          <w:szCs w:val="24"/>
        </w:rPr>
      </w:pPr>
      <w:r>
        <w:rPr>
          <w:sz w:val="24"/>
          <w:szCs w:val="24"/>
        </w:rPr>
        <w:t>4</w:t>
      </w:r>
      <w:r>
        <w:rPr>
          <w:rFonts w:hint="eastAsia"/>
          <w:sz w:val="24"/>
          <w:szCs w:val="24"/>
        </w:rPr>
        <w:t>.1.4 重大风险管控措施</w:t>
      </w:r>
    </w:p>
    <w:p>
      <w:pPr>
        <w:spacing w:line="440" w:lineRule="exact"/>
        <w:ind w:firstLine="480" w:firstLineChars="200"/>
        <w:rPr>
          <w:sz w:val="24"/>
          <w:szCs w:val="24"/>
        </w:rPr>
      </w:pPr>
      <w:r>
        <w:rPr>
          <w:rFonts w:hint="eastAsia"/>
          <w:sz w:val="24"/>
          <w:szCs w:val="24"/>
        </w:rPr>
        <w:t>对重大风险纳入企业（公司、单位）级管控运行，应加强监控，必须制定重大风险管控措施。重大风险管控措施至少应包括以下内容:</w:t>
      </w:r>
    </w:p>
    <w:p>
      <w:pPr>
        <w:spacing w:line="440" w:lineRule="exact"/>
        <w:ind w:firstLine="480" w:firstLineChars="200"/>
        <w:rPr>
          <w:sz w:val="24"/>
          <w:szCs w:val="24"/>
        </w:rPr>
      </w:pPr>
      <w:r>
        <w:rPr>
          <w:sz w:val="24"/>
          <w:szCs w:val="24"/>
        </w:rPr>
        <w:t>4</w:t>
      </w:r>
      <w:r>
        <w:rPr>
          <w:rFonts w:hint="eastAsia"/>
          <w:sz w:val="24"/>
          <w:szCs w:val="24"/>
        </w:rPr>
        <w:t>.1.4.1 建立完善重大风险及重大危险源安全管理规章制度、安全操作规程和应急救援预案，并采取有效措施保证其得到执行和掌握。</w:t>
      </w:r>
    </w:p>
    <w:p>
      <w:pPr>
        <w:spacing w:line="440" w:lineRule="exact"/>
        <w:ind w:firstLine="480" w:firstLineChars="200"/>
        <w:rPr>
          <w:sz w:val="24"/>
          <w:szCs w:val="24"/>
        </w:rPr>
      </w:pPr>
      <w:r>
        <w:rPr>
          <w:sz w:val="24"/>
          <w:szCs w:val="24"/>
        </w:rPr>
        <w:t>4</w:t>
      </w:r>
      <w:r>
        <w:rPr>
          <w:rFonts w:hint="eastAsia"/>
          <w:sz w:val="24"/>
          <w:szCs w:val="24"/>
        </w:rPr>
        <w:t>.1.4.2 须通过工程技术措施才能管控的风险，企业（公司、单位）应制定控制该类风险的目标和标准，并制定实现目标、达到标准的方案。</w:t>
      </w:r>
    </w:p>
    <w:p>
      <w:pPr>
        <w:spacing w:line="440" w:lineRule="exact"/>
        <w:ind w:firstLine="480" w:firstLineChars="200"/>
        <w:rPr>
          <w:sz w:val="24"/>
          <w:szCs w:val="24"/>
        </w:rPr>
      </w:pPr>
      <w:r>
        <w:rPr>
          <w:sz w:val="24"/>
          <w:szCs w:val="24"/>
        </w:rPr>
        <w:t>4</w:t>
      </w:r>
      <w:r>
        <w:rPr>
          <w:rFonts w:hint="eastAsia"/>
          <w:sz w:val="24"/>
          <w:szCs w:val="24"/>
        </w:rPr>
        <w:t>.1.4.3 建立健全安全监测监控体系，并保证其有效性和可靠性。</w:t>
      </w:r>
    </w:p>
    <w:p>
      <w:pPr>
        <w:spacing w:line="440" w:lineRule="exact"/>
        <w:ind w:firstLine="480" w:firstLineChars="200"/>
        <w:rPr>
          <w:sz w:val="24"/>
          <w:szCs w:val="24"/>
        </w:rPr>
      </w:pPr>
      <w:r>
        <w:rPr>
          <w:sz w:val="24"/>
          <w:szCs w:val="24"/>
        </w:rPr>
        <w:t>4</w:t>
      </w:r>
      <w:r>
        <w:rPr>
          <w:rFonts w:hint="eastAsia"/>
          <w:sz w:val="24"/>
          <w:szCs w:val="24"/>
        </w:rPr>
        <w:t>.1.4.4 在临界和(或)紧急异常状态下应有完善的预测、预警途径和机制，确保能够对临界、紧急异常状态予以控制。</w:t>
      </w:r>
    </w:p>
    <w:p>
      <w:pPr>
        <w:spacing w:line="440" w:lineRule="exact"/>
        <w:ind w:firstLine="480" w:firstLineChars="200"/>
        <w:rPr>
          <w:sz w:val="24"/>
          <w:szCs w:val="24"/>
        </w:rPr>
      </w:pPr>
      <w:r>
        <w:rPr>
          <w:sz w:val="24"/>
          <w:szCs w:val="24"/>
        </w:rPr>
        <w:t>4</w:t>
      </w:r>
      <w:r>
        <w:rPr>
          <w:rFonts w:hint="eastAsia"/>
          <w:sz w:val="24"/>
          <w:szCs w:val="24"/>
        </w:rPr>
        <w:t>.1.4.5 明确关键装置、重点部位的责任人和责任机构，并定期对安全生产状况进行检查，及时消除风险管控措施失效和(或)失控。</w:t>
      </w:r>
    </w:p>
    <w:p>
      <w:pPr>
        <w:spacing w:line="440" w:lineRule="exact"/>
        <w:ind w:firstLine="480" w:firstLineChars="200"/>
        <w:rPr>
          <w:sz w:val="24"/>
          <w:szCs w:val="24"/>
        </w:rPr>
      </w:pPr>
      <w:r>
        <w:rPr>
          <w:sz w:val="24"/>
          <w:szCs w:val="24"/>
        </w:rPr>
        <w:t>4</w:t>
      </w:r>
      <w:r>
        <w:rPr>
          <w:rFonts w:hint="eastAsia"/>
          <w:sz w:val="24"/>
          <w:szCs w:val="24"/>
        </w:rPr>
        <w:t>.1.4.6 存在风险的工作场所和岗位，设置明显的风险告知牌。</w:t>
      </w:r>
    </w:p>
    <w:p>
      <w:pPr>
        <w:spacing w:line="440" w:lineRule="exact"/>
        <w:ind w:firstLine="480" w:firstLineChars="200"/>
        <w:rPr>
          <w:sz w:val="24"/>
          <w:szCs w:val="24"/>
        </w:rPr>
      </w:pPr>
      <w:r>
        <w:rPr>
          <w:sz w:val="24"/>
          <w:szCs w:val="24"/>
        </w:rPr>
        <w:t>4</w:t>
      </w:r>
      <w:r>
        <w:rPr>
          <w:rFonts w:hint="eastAsia"/>
          <w:sz w:val="24"/>
          <w:szCs w:val="24"/>
        </w:rPr>
        <w:t>.1.4.7 以岗位风险及防控措施、应急处置方法为重点，强化员工风险教育和技能培训。</w:t>
      </w:r>
    </w:p>
    <w:p>
      <w:pPr>
        <w:pStyle w:val="3"/>
        <w:spacing w:line="440" w:lineRule="exact"/>
        <w:rPr>
          <w:rFonts w:ascii="黑体" w:hAnsi="黑体" w:eastAsia="黑体"/>
          <w:sz w:val="24"/>
          <w:szCs w:val="24"/>
        </w:rPr>
      </w:pPr>
      <w:bookmarkStart w:id="37" w:name="_Toc119336548"/>
      <w:r>
        <w:rPr>
          <w:rFonts w:ascii="黑体" w:hAnsi="黑体" w:eastAsia="黑体"/>
          <w:sz w:val="24"/>
          <w:szCs w:val="24"/>
        </w:rPr>
        <w:t>4</w:t>
      </w:r>
      <w:r>
        <w:rPr>
          <w:rFonts w:hint="eastAsia" w:ascii="黑体" w:hAnsi="黑体" w:eastAsia="黑体"/>
          <w:sz w:val="24"/>
          <w:szCs w:val="24"/>
        </w:rPr>
        <w:t>.2 建立并落实风险公告制度</w:t>
      </w:r>
      <w:bookmarkEnd w:id="37"/>
    </w:p>
    <w:p>
      <w:pPr>
        <w:spacing w:line="440" w:lineRule="exact"/>
        <w:ind w:firstLine="480" w:firstLineChars="200"/>
        <w:rPr>
          <w:bCs/>
          <w:sz w:val="24"/>
          <w:szCs w:val="24"/>
        </w:rPr>
      </w:pPr>
      <w:r>
        <w:rPr>
          <w:rFonts w:hint="eastAsia"/>
          <w:bCs/>
          <w:sz w:val="24"/>
          <w:szCs w:val="24"/>
        </w:rPr>
        <w:t>水利生产经营单位应定期公布本单位的风险分级管控清单基本信息及管控措施、应急救援处置措施等，实现风险预控目视化管理。鼓励风险告知采取三字经、顺口溜等易于理解、记忆的方法让涉及到的相关人员能记能懂。</w:t>
      </w:r>
    </w:p>
    <w:p>
      <w:pPr>
        <w:spacing w:line="440" w:lineRule="exact"/>
        <w:ind w:firstLine="480" w:firstLineChars="200"/>
        <w:rPr>
          <w:sz w:val="24"/>
          <w:szCs w:val="24"/>
        </w:rPr>
      </w:pPr>
      <w:r>
        <w:rPr>
          <w:sz w:val="24"/>
          <w:szCs w:val="24"/>
        </w:rPr>
        <w:t>4</w:t>
      </w:r>
      <w:r>
        <w:rPr>
          <w:rFonts w:hint="eastAsia"/>
          <w:sz w:val="24"/>
          <w:szCs w:val="24"/>
        </w:rPr>
        <w:t>.2.1告知对象及内容</w:t>
      </w:r>
    </w:p>
    <w:p>
      <w:pPr>
        <w:spacing w:line="440" w:lineRule="exact"/>
        <w:ind w:firstLine="480" w:firstLineChars="200"/>
        <w:rPr>
          <w:sz w:val="24"/>
          <w:szCs w:val="24"/>
        </w:rPr>
      </w:pPr>
      <w:r>
        <w:rPr>
          <w:rFonts w:hint="eastAsia"/>
          <w:sz w:val="24"/>
          <w:szCs w:val="24"/>
        </w:rPr>
        <w:t>安全风险评价结果及所采取的控制措施应告知本单位从业人员和进入风险工作区域的外来人员，使其熟悉工作岗位和作业环境中存在的安全风险，掌握、落实</w:t>
      </w:r>
      <w:r>
        <w:rPr>
          <w:rFonts w:hint="eastAsia" w:hAnsi="微软雅黑" w:cs="宋体"/>
          <w:sz w:val="24"/>
          <w:szCs w:val="24"/>
        </w:rPr>
        <w:t>基本情况及防范、应急措施</w:t>
      </w:r>
      <w:r>
        <w:rPr>
          <w:rFonts w:hint="eastAsia"/>
          <w:sz w:val="24"/>
          <w:szCs w:val="24"/>
        </w:rPr>
        <w:t>；</w:t>
      </w:r>
      <w:r>
        <w:rPr>
          <w:rFonts w:hint="eastAsia" w:hAnsi="微软雅黑" w:cs="宋体"/>
          <w:sz w:val="24"/>
          <w:szCs w:val="24"/>
        </w:rPr>
        <w:t>并将风险及防范与应急措施提前告知可能直接影响范围内的相关单位和人员。</w:t>
      </w:r>
    </w:p>
    <w:p>
      <w:pPr>
        <w:spacing w:line="440" w:lineRule="exact"/>
        <w:ind w:firstLine="480" w:firstLineChars="200"/>
        <w:rPr>
          <w:sz w:val="24"/>
          <w:szCs w:val="24"/>
        </w:rPr>
      </w:pPr>
      <w:r>
        <w:rPr>
          <w:sz w:val="24"/>
          <w:szCs w:val="24"/>
        </w:rPr>
        <w:t>4</w:t>
      </w:r>
      <w:r>
        <w:rPr>
          <w:rFonts w:hint="eastAsia"/>
          <w:sz w:val="24"/>
          <w:szCs w:val="24"/>
        </w:rPr>
        <w:t>.2.2告知形式</w:t>
      </w:r>
    </w:p>
    <w:p>
      <w:pPr>
        <w:spacing w:line="440" w:lineRule="exact"/>
        <w:ind w:firstLine="480" w:firstLineChars="200"/>
        <w:rPr>
          <w:sz w:val="24"/>
          <w:szCs w:val="24"/>
        </w:rPr>
      </w:pPr>
      <w:r>
        <w:rPr>
          <w:rFonts w:hint="eastAsia"/>
          <w:sz w:val="24"/>
          <w:szCs w:val="24"/>
        </w:rPr>
        <w:t>风险告知形式主要包括“红橙黄蓝”四色安全风险空间分布图、作业安全风险比较图、岗位安全风险告知卡、安全风险公告栏、安全警示标志、安全教育培训、安全技术交底等形式。</w:t>
      </w:r>
    </w:p>
    <w:p>
      <w:pPr>
        <w:spacing w:line="440" w:lineRule="exact"/>
        <w:ind w:firstLine="482" w:firstLineChars="200"/>
        <w:rPr>
          <w:b/>
          <w:bCs/>
          <w:sz w:val="24"/>
          <w:szCs w:val="24"/>
        </w:rPr>
      </w:pPr>
      <w:r>
        <w:rPr>
          <w:b/>
          <w:sz w:val="24"/>
          <w:szCs w:val="24"/>
        </w:rPr>
        <w:t>4</w:t>
      </w:r>
      <w:r>
        <w:rPr>
          <w:rFonts w:hint="eastAsia"/>
          <w:b/>
          <w:sz w:val="24"/>
          <w:szCs w:val="24"/>
        </w:rPr>
        <w:t>.2.2.1“红橙黄蓝”四色安全风险空间分布图及分区域告知牌</w:t>
      </w:r>
    </w:p>
    <w:p>
      <w:pPr>
        <w:spacing w:line="440" w:lineRule="exact"/>
        <w:ind w:firstLine="480" w:firstLineChars="200"/>
        <w:rPr>
          <w:sz w:val="24"/>
          <w:szCs w:val="24"/>
        </w:rPr>
      </w:pPr>
      <w:r>
        <w:rPr>
          <w:rFonts w:hint="eastAsia"/>
          <w:sz w:val="24"/>
          <w:szCs w:val="24"/>
        </w:rPr>
        <w:t>作业场所、生产设施等区域存在的重大风险、较大风险、一般风险和低风险，分别用红、橙、黄、蓝四种颜色标示在总平面布置图或地理坐标图中，并在生产经营现场醒目位置、重点区域公告。四色安全风险空间分布图应根据危险源变化情况适时更新调整。</w:t>
      </w:r>
      <w:bookmarkStart w:id="38" w:name="_Hlk117368365"/>
      <w:r>
        <w:rPr>
          <w:rFonts w:hint="eastAsia"/>
          <w:sz w:val="24"/>
          <w:szCs w:val="24"/>
        </w:rPr>
        <w:t>四色安全风险空间分布图（示例）参见附录</w:t>
      </w:r>
      <w:bookmarkEnd w:id="38"/>
      <w:r>
        <w:rPr>
          <w:rFonts w:hint="eastAsia"/>
          <w:sz w:val="24"/>
          <w:szCs w:val="24"/>
        </w:rPr>
        <w:t>I</w:t>
      </w:r>
      <w:r>
        <w:rPr>
          <w:sz w:val="24"/>
          <w:szCs w:val="24"/>
        </w:rPr>
        <w:t>.1</w:t>
      </w:r>
      <w:r>
        <w:rPr>
          <w:rFonts w:hint="eastAsia"/>
          <w:sz w:val="24"/>
          <w:szCs w:val="24"/>
        </w:rPr>
        <w:t>。</w:t>
      </w:r>
    </w:p>
    <w:p>
      <w:pPr>
        <w:spacing w:line="440" w:lineRule="exact"/>
        <w:ind w:firstLine="480" w:firstLineChars="200"/>
        <w:rPr>
          <w:sz w:val="24"/>
          <w:szCs w:val="24"/>
        </w:rPr>
      </w:pPr>
      <w:r>
        <w:rPr>
          <w:rFonts w:hint="eastAsia"/>
          <w:sz w:val="24"/>
          <w:szCs w:val="24"/>
        </w:rPr>
        <w:t>按照危险源的风险等级，依据《关于在建重点水利工程安全生产风险实行分区域分级管控的通知》（渝水办建〔2020〕31号）规定，将重庆市在建重点水利工程施工现场划分为高风险区域（重大风险）、中风险区域（较大风险）、低风险区域（一般风险和低风险），分别在对应区域的醒目位置或重点部位设置红、橙、黄色的告知牌，提示做好相应的安全防护措施。</w:t>
      </w:r>
      <w:bookmarkStart w:id="39" w:name="_Hlk117368391"/>
      <w:r>
        <w:rPr>
          <w:rFonts w:hint="eastAsia"/>
          <w:sz w:val="24"/>
          <w:szCs w:val="24"/>
        </w:rPr>
        <w:t>在建重点水利工程安全风险区域告知牌（示例）参见附录</w:t>
      </w:r>
      <w:bookmarkEnd w:id="39"/>
      <w:r>
        <w:rPr>
          <w:rFonts w:hint="eastAsia"/>
          <w:sz w:val="24"/>
          <w:szCs w:val="24"/>
        </w:rPr>
        <w:t>I</w:t>
      </w:r>
      <w:r>
        <w:rPr>
          <w:sz w:val="24"/>
          <w:szCs w:val="24"/>
        </w:rPr>
        <w:t>.2</w:t>
      </w:r>
      <w:r>
        <w:rPr>
          <w:rFonts w:hint="eastAsia"/>
          <w:sz w:val="24"/>
          <w:szCs w:val="24"/>
        </w:rPr>
        <w:t>。</w:t>
      </w:r>
    </w:p>
    <w:p>
      <w:pPr>
        <w:spacing w:line="440" w:lineRule="exact"/>
        <w:ind w:firstLine="480" w:firstLineChars="200"/>
        <w:rPr>
          <w:sz w:val="24"/>
          <w:szCs w:val="24"/>
        </w:rPr>
      </w:pPr>
      <w:r>
        <w:rPr>
          <w:rFonts w:hint="eastAsia"/>
          <w:sz w:val="24"/>
          <w:szCs w:val="24"/>
        </w:rPr>
        <w:t>安全风险等级四色标识采用表五中的统一色谱标准。</w:t>
      </w:r>
    </w:p>
    <w:p>
      <w:pPr>
        <w:spacing w:line="440" w:lineRule="exact"/>
        <w:jc w:val="center"/>
        <w:rPr>
          <w:rFonts w:ascii="Times New Roman"/>
          <w:sz w:val="24"/>
          <w:szCs w:val="24"/>
        </w:rPr>
      </w:pPr>
      <w:r>
        <w:rPr>
          <w:rFonts w:ascii="Times New Roman"/>
          <w:sz w:val="24"/>
          <w:szCs w:val="24"/>
        </w:rPr>
        <w:t>表</w:t>
      </w:r>
      <w:r>
        <w:rPr>
          <w:rFonts w:hint="eastAsia" w:ascii="Times New Roman"/>
          <w:sz w:val="24"/>
          <w:szCs w:val="24"/>
        </w:rPr>
        <w:t>五</w:t>
      </w:r>
      <w:r>
        <w:rPr>
          <w:rFonts w:ascii="Times New Roman"/>
          <w:sz w:val="24"/>
          <w:szCs w:val="24"/>
        </w:rPr>
        <w:t xml:space="preserve">  安全风险等级四色标识RGB色谱标准</w:t>
      </w:r>
    </w:p>
    <w:tbl>
      <w:tblPr>
        <w:tblStyle w:val="3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064"/>
        <w:gridCol w:w="1779"/>
        <w:gridCol w:w="2004"/>
        <w:gridCol w:w="36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624" w:type="pct"/>
            <w:tcMar>
              <w:left w:w="105" w:type="dxa"/>
              <w:right w:w="105" w:type="dxa"/>
            </w:tcMar>
            <w:vAlign w:val="center"/>
          </w:tcPr>
          <w:p>
            <w:pPr>
              <w:snapToGrid w:val="0"/>
              <w:spacing w:line="440" w:lineRule="exact"/>
              <w:jc w:val="center"/>
              <w:rPr>
                <w:rFonts w:ascii="Times New Roman"/>
                <w:sz w:val="24"/>
                <w:szCs w:val="24"/>
              </w:rPr>
            </w:pPr>
            <w:r>
              <w:rPr>
                <w:rFonts w:ascii="Times New Roman"/>
                <w:sz w:val="24"/>
                <w:szCs w:val="24"/>
              </w:rPr>
              <w:t>序号</w:t>
            </w:r>
          </w:p>
        </w:tc>
        <w:tc>
          <w:tcPr>
            <w:tcW w:w="1044" w:type="pct"/>
            <w:tcMar>
              <w:left w:w="105" w:type="dxa"/>
              <w:right w:w="105" w:type="dxa"/>
            </w:tcMar>
            <w:vAlign w:val="center"/>
          </w:tcPr>
          <w:p>
            <w:pPr>
              <w:snapToGrid w:val="0"/>
              <w:spacing w:line="440" w:lineRule="exact"/>
              <w:jc w:val="center"/>
              <w:rPr>
                <w:rFonts w:ascii="Times New Roman"/>
                <w:sz w:val="24"/>
                <w:szCs w:val="24"/>
              </w:rPr>
            </w:pPr>
            <w:r>
              <w:rPr>
                <w:rFonts w:ascii="Times New Roman"/>
                <w:sz w:val="24"/>
                <w:szCs w:val="24"/>
              </w:rPr>
              <w:t>风险等级</w:t>
            </w:r>
          </w:p>
        </w:tc>
        <w:tc>
          <w:tcPr>
            <w:tcW w:w="1176" w:type="pct"/>
            <w:tcMar>
              <w:left w:w="105" w:type="dxa"/>
              <w:right w:w="105" w:type="dxa"/>
            </w:tcMar>
            <w:vAlign w:val="center"/>
          </w:tcPr>
          <w:p>
            <w:pPr>
              <w:snapToGrid w:val="0"/>
              <w:spacing w:line="440" w:lineRule="exact"/>
              <w:jc w:val="center"/>
              <w:rPr>
                <w:rFonts w:ascii="Times New Roman"/>
                <w:sz w:val="24"/>
                <w:szCs w:val="24"/>
              </w:rPr>
            </w:pPr>
            <w:r>
              <w:rPr>
                <w:rFonts w:ascii="Times New Roman"/>
                <w:sz w:val="24"/>
                <w:szCs w:val="24"/>
              </w:rPr>
              <w:t>颜色</w:t>
            </w:r>
          </w:p>
        </w:tc>
        <w:tc>
          <w:tcPr>
            <w:tcW w:w="2156" w:type="pct"/>
            <w:tcMar>
              <w:left w:w="105" w:type="dxa"/>
              <w:right w:w="105" w:type="dxa"/>
            </w:tcMar>
            <w:vAlign w:val="center"/>
          </w:tcPr>
          <w:p>
            <w:pPr>
              <w:snapToGrid w:val="0"/>
              <w:spacing w:line="440" w:lineRule="exact"/>
              <w:jc w:val="center"/>
              <w:rPr>
                <w:rFonts w:ascii="Times New Roman"/>
                <w:sz w:val="24"/>
                <w:szCs w:val="24"/>
              </w:rPr>
            </w:pPr>
            <w:r>
              <w:rPr>
                <w:rFonts w:ascii="Times New Roman"/>
                <w:sz w:val="24"/>
                <w:szCs w:val="24"/>
              </w:rPr>
              <w:t>色谱标准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624" w:type="pct"/>
            <w:tcMar>
              <w:left w:w="105" w:type="dxa"/>
              <w:right w:w="105" w:type="dxa"/>
            </w:tcMar>
            <w:vAlign w:val="center"/>
          </w:tcPr>
          <w:p>
            <w:pPr>
              <w:snapToGrid w:val="0"/>
              <w:spacing w:line="440" w:lineRule="exact"/>
              <w:jc w:val="center"/>
              <w:rPr>
                <w:rFonts w:ascii="Times New Roman"/>
                <w:sz w:val="24"/>
                <w:szCs w:val="24"/>
              </w:rPr>
            </w:pPr>
            <w:r>
              <w:rPr>
                <w:rFonts w:ascii="Times New Roman"/>
                <w:sz w:val="24"/>
                <w:szCs w:val="24"/>
              </w:rPr>
              <w:t>1</w:t>
            </w:r>
          </w:p>
        </w:tc>
        <w:tc>
          <w:tcPr>
            <w:tcW w:w="1044" w:type="pct"/>
            <w:tcMar>
              <w:left w:w="105" w:type="dxa"/>
              <w:right w:w="105" w:type="dxa"/>
            </w:tcMar>
            <w:vAlign w:val="center"/>
          </w:tcPr>
          <w:p>
            <w:pPr>
              <w:snapToGrid w:val="0"/>
              <w:spacing w:line="440" w:lineRule="exact"/>
              <w:jc w:val="center"/>
              <w:rPr>
                <w:rFonts w:ascii="Times New Roman"/>
                <w:sz w:val="24"/>
                <w:szCs w:val="24"/>
              </w:rPr>
            </w:pPr>
            <w:r>
              <w:rPr>
                <w:rFonts w:ascii="Times New Roman"/>
                <w:sz w:val="24"/>
                <w:szCs w:val="24"/>
              </w:rPr>
              <w:t>重大风险</w:t>
            </w:r>
          </w:p>
        </w:tc>
        <w:tc>
          <w:tcPr>
            <w:tcW w:w="1176" w:type="pct"/>
            <w:tcMar>
              <w:left w:w="105" w:type="dxa"/>
              <w:right w:w="105" w:type="dxa"/>
            </w:tcMar>
            <w:vAlign w:val="center"/>
          </w:tcPr>
          <w:p>
            <w:pPr>
              <w:snapToGrid w:val="0"/>
              <w:spacing w:line="440" w:lineRule="exact"/>
              <w:jc w:val="center"/>
              <w:rPr>
                <w:rFonts w:ascii="Times New Roman"/>
                <w:sz w:val="24"/>
                <w:szCs w:val="24"/>
              </w:rPr>
            </w:pPr>
            <w:r>
              <w:rPr>
                <w:rFonts w:ascii="Times New Roman"/>
                <w:sz w:val="24"/>
                <w:szCs w:val="24"/>
              </w:rPr>
              <w:t>红</w:t>
            </w:r>
          </w:p>
        </w:tc>
        <w:tc>
          <w:tcPr>
            <w:tcW w:w="2156" w:type="pct"/>
            <w:tcMar>
              <w:left w:w="105" w:type="dxa"/>
              <w:right w:w="105" w:type="dxa"/>
            </w:tcMar>
            <w:vAlign w:val="center"/>
          </w:tcPr>
          <w:p>
            <w:pPr>
              <w:snapToGrid w:val="0"/>
              <w:spacing w:line="440" w:lineRule="exact"/>
              <w:jc w:val="center"/>
              <w:rPr>
                <w:rFonts w:ascii="Times New Roman"/>
                <w:sz w:val="24"/>
                <w:szCs w:val="24"/>
              </w:rPr>
            </w:pPr>
            <w:r>
              <w:rPr>
                <w:rFonts w:ascii="Times New Roman"/>
                <w:sz w:val="24"/>
                <w:szCs w:val="24"/>
              </w:rPr>
              <w:t>RGB:  R255   G0     B0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624" w:type="pct"/>
            <w:tcMar>
              <w:left w:w="105" w:type="dxa"/>
              <w:right w:w="105" w:type="dxa"/>
            </w:tcMar>
            <w:vAlign w:val="center"/>
          </w:tcPr>
          <w:p>
            <w:pPr>
              <w:snapToGrid w:val="0"/>
              <w:spacing w:line="440" w:lineRule="exact"/>
              <w:jc w:val="center"/>
              <w:rPr>
                <w:rFonts w:ascii="Times New Roman"/>
                <w:sz w:val="24"/>
                <w:szCs w:val="24"/>
              </w:rPr>
            </w:pPr>
            <w:r>
              <w:rPr>
                <w:rFonts w:ascii="Times New Roman"/>
                <w:sz w:val="24"/>
                <w:szCs w:val="24"/>
              </w:rPr>
              <w:t>2</w:t>
            </w:r>
          </w:p>
        </w:tc>
        <w:tc>
          <w:tcPr>
            <w:tcW w:w="1044" w:type="pct"/>
            <w:tcMar>
              <w:left w:w="105" w:type="dxa"/>
              <w:right w:w="105" w:type="dxa"/>
            </w:tcMar>
            <w:vAlign w:val="center"/>
          </w:tcPr>
          <w:p>
            <w:pPr>
              <w:snapToGrid w:val="0"/>
              <w:spacing w:line="440" w:lineRule="exact"/>
              <w:jc w:val="center"/>
              <w:rPr>
                <w:rFonts w:ascii="Times New Roman"/>
                <w:sz w:val="24"/>
                <w:szCs w:val="24"/>
              </w:rPr>
            </w:pPr>
            <w:r>
              <w:rPr>
                <w:rFonts w:ascii="Times New Roman"/>
                <w:sz w:val="24"/>
                <w:szCs w:val="24"/>
              </w:rPr>
              <w:t>较大风险</w:t>
            </w:r>
          </w:p>
        </w:tc>
        <w:tc>
          <w:tcPr>
            <w:tcW w:w="1176" w:type="pct"/>
            <w:tcMar>
              <w:left w:w="105" w:type="dxa"/>
              <w:right w:w="105" w:type="dxa"/>
            </w:tcMar>
            <w:vAlign w:val="center"/>
          </w:tcPr>
          <w:p>
            <w:pPr>
              <w:snapToGrid w:val="0"/>
              <w:spacing w:line="440" w:lineRule="exact"/>
              <w:jc w:val="center"/>
              <w:rPr>
                <w:rFonts w:ascii="Times New Roman"/>
                <w:sz w:val="24"/>
                <w:szCs w:val="24"/>
              </w:rPr>
            </w:pPr>
            <w:r>
              <w:rPr>
                <w:rFonts w:ascii="Times New Roman"/>
                <w:sz w:val="24"/>
                <w:szCs w:val="24"/>
              </w:rPr>
              <w:t>橙</w:t>
            </w:r>
          </w:p>
        </w:tc>
        <w:tc>
          <w:tcPr>
            <w:tcW w:w="2156" w:type="pct"/>
            <w:tcMar>
              <w:left w:w="105" w:type="dxa"/>
              <w:right w:w="105" w:type="dxa"/>
            </w:tcMar>
            <w:vAlign w:val="center"/>
          </w:tcPr>
          <w:p>
            <w:pPr>
              <w:snapToGrid w:val="0"/>
              <w:spacing w:line="440" w:lineRule="exact"/>
              <w:jc w:val="center"/>
              <w:rPr>
                <w:rFonts w:ascii="Times New Roman"/>
                <w:sz w:val="24"/>
                <w:szCs w:val="24"/>
              </w:rPr>
            </w:pPr>
            <w:r>
              <w:rPr>
                <w:rFonts w:ascii="Times New Roman"/>
                <w:sz w:val="24"/>
                <w:szCs w:val="24"/>
              </w:rPr>
              <w:t>RGB:  R255   G97     B0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624" w:type="pct"/>
            <w:tcMar>
              <w:left w:w="105" w:type="dxa"/>
              <w:right w:w="105" w:type="dxa"/>
            </w:tcMar>
            <w:vAlign w:val="center"/>
          </w:tcPr>
          <w:p>
            <w:pPr>
              <w:snapToGrid w:val="0"/>
              <w:spacing w:line="440" w:lineRule="exact"/>
              <w:jc w:val="center"/>
              <w:rPr>
                <w:rFonts w:ascii="Times New Roman"/>
                <w:sz w:val="24"/>
                <w:szCs w:val="24"/>
              </w:rPr>
            </w:pPr>
            <w:r>
              <w:rPr>
                <w:rFonts w:ascii="Times New Roman"/>
                <w:sz w:val="24"/>
                <w:szCs w:val="24"/>
              </w:rPr>
              <w:t>3</w:t>
            </w:r>
          </w:p>
        </w:tc>
        <w:tc>
          <w:tcPr>
            <w:tcW w:w="1044" w:type="pct"/>
            <w:tcMar>
              <w:left w:w="105" w:type="dxa"/>
              <w:right w:w="105" w:type="dxa"/>
            </w:tcMar>
            <w:vAlign w:val="center"/>
          </w:tcPr>
          <w:p>
            <w:pPr>
              <w:snapToGrid w:val="0"/>
              <w:spacing w:line="440" w:lineRule="exact"/>
              <w:jc w:val="center"/>
              <w:rPr>
                <w:rFonts w:ascii="Times New Roman"/>
                <w:sz w:val="24"/>
                <w:szCs w:val="24"/>
              </w:rPr>
            </w:pPr>
            <w:r>
              <w:rPr>
                <w:rFonts w:ascii="Times New Roman"/>
                <w:sz w:val="24"/>
                <w:szCs w:val="24"/>
              </w:rPr>
              <w:t>一般风险</w:t>
            </w:r>
          </w:p>
        </w:tc>
        <w:tc>
          <w:tcPr>
            <w:tcW w:w="1176" w:type="pct"/>
            <w:tcMar>
              <w:left w:w="105" w:type="dxa"/>
              <w:right w:w="105" w:type="dxa"/>
            </w:tcMar>
            <w:vAlign w:val="center"/>
          </w:tcPr>
          <w:p>
            <w:pPr>
              <w:snapToGrid w:val="0"/>
              <w:spacing w:line="440" w:lineRule="exact"/>
              <w:jc w:val="center"/>
              <w:rPr>
                <w:rFonts w:ascii="Times New Roman"/>
                <w:sz w:val="24"/>
                <w:szCs w:val="24"/>
              </w:rPr>
            </w:pPr>
            <w:r>
              <w:rPr>
                <w:rFonts w:ascii="Times New Roman"/>
                <w:sz w:val="24"/>
                <w:szCs w:val="24"/>
              </w:rPr>
              <w:t>黄</w:t>
            </w:r>
          </w:p>
        </w:tc>
        <w:tc>
          <w:tcPr>
            <w:tcW w:w="2156" w:type="pct"/>
            <w:tcMar>
              <w:left w:w="105" w:type="dxa"/>
              <w:right w:w="105" w:type="dxa"/>
            </w:tcMar>
            <w:vAlign w:val="center"/>
          </w:tcPr>
          <w:p>
            <w:pPr>
              <w:snapToGrid w:val="0"/>
              <w:spacing w:line="440" w:lineRule="exact"/>
              <w:jc w:val="center"/>
              <w:rPr>
                <w:rFonts w:ascii="Times New Roman"/>
                <w:sz w:val="24"/>
                <w:szCs w:val="24"/>
              </w:rPr>
            </w:pPr>
            <w:r>
              <w:rPr>
                <w:rFonts w:ascii="Times New Roman"/>
                <w:sz w:val="24"/>
                <w:szCs w:val="24"/>
              </w:rPr>
              <w:t>RGB:  R255   G255   B0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624" w:type="pct"/>
            <w:tcMar>
              <w:left w:w="105" w:type="dxa"/>
              <w:right w:w="105" w:type="dxa"/>
            </w:tcMar>
            <w:vAlign w:val="center"/>
          </w:tcPr>
          <w:p>
            <w:pPr>
              <w:snapToGrid w:val="0"/>
              <w:spacing w:line="440" w:lineRule="exact"/>
              <w:jc w:val="center"/>
              <w:rPr>
                <w:rFonts w:ascii="Times New Roman"/>
                <w:sz w:val="24"/>
                <w:szCs w:val="24"/>
              </w:rPr>
            </w:pPr>
            <w:r>
              <w:rPr>
                <w:rFonts w:ascii="Times New Roman"/>
                <w:sz w:val="24"/>
                <w:szCs w:val="24"/>
              </w:rPr>
              <w:t>4</w:t>
            </w:r>
          </w:p>
        </w:tc>
        <w:tc>
          <w:tcPr>
            <w:tcW w:w="1044" w:type="pct"/>
            <w:tcMar>
              <w:left w:w="105" w:type="dxa"/>
              <w:right w:w="105" w:type="dxa"/>
            </w:tcMar>
            <w:vAlign w:val="center"/>
          </w:tcPr>
          <w:p>
            <w:pPr>
              <w:snapToGrid w:val="0"/>
              <w:spacing w:line="440" w:lineRule="exact"/>
              <w:jc w:val="center"/>
              <w:rPr>
                <w:rFonts w:ascii="Times New Roman"/>
                <w:sz w:val="24"/>
                <w:szCs w:val="24"/>
              </w:rPr>
            </w:pPr>
            <w:r>
              <w:rPr>
                <w:rFonts w:ascii="Times New Roman"/>
                <w:sz w:val="24"/>
                <w:szCs w:val="24"/>
              </w:rPr>
              <w:t>低风险</w:t>
            </w:r>
          </w:p>
        </w:tc>
        <w:tc>
          <w:tcPr>
            <w:tcW w:w="1176" w:type="pct"/>
            <w:tcMar>
              <w:left w:w="105" w:type="dxa"/>
              <w:right w:w="105" w:type="dxa"/>
            </w:tcMar>
            <w:vAlign w:val="center"/>
          </w:tcPr>
          <w:p>
            <w:pPr>
              <w:snapToGrid w:val="0"/>
              <w:spacing w:line="440" w:lineRule="exact"/>
              <w:jc w:val="center"/>
              <w:rPr>
                <w:rFonts w:ascii="Times New Roman"/>
                <w:sz w:val="24"/>
                <w:szCs w:val="24"/>
              </w:rPr>
            </w:pPr>
            <w:r>
              <w:rPr>
                <w:rFonts w:ascii="Times New Roman"/>
                <w:sz w:val="24"/>
                <w:szCs w:val="24"/>
              </w:rPr>
              <w:t>蓝</w:t>
            </w:r>
          </w:p>
        </w:tc>
        <w:tc>
          <w:tcPr>
            <w:tcW w:w="2156" w:type="pct"/>
            <w:tcMar>
              <w:left w:w="105" w:type="dxa"/>
              <w:right w:w="105" w:type="dxa"/>
            </w:tcMar>
            <w:vAlign w:val="center"/>
          </w:tcPr>
          <w:p>
            <w:pPr>
              <w:snapToGrid w:val="0"/>
              <w:spacing w:line="440" w:lineRule="exact"/>
              <w:jc w:val="center"/>
              <w:rPr>
                <w:rFonts w:ascii="Times New Roman"/>
                <w:sz w:val="24"/>
                <w:szCs w:val="24"/>
              </w:rPr>
            </w:pPr>
            <w:r>
              <w:rPr>
                <w:rFonts w:ascii="Times New Roman"/>
                <w:sz w:val="24"/>
                <w:szCs w:val="24"/>
              </w:rPr>
              <w:t xml:space="preserve">RGB:  R0   </w:t>
            </w:r>
            <w:r>
              <w:rPr>
                <w:rFonts w:hint="eastAsia" w:ascii="Times New Roman"/>
                <w:sz w:val="24"/>
                <w:szCs w:val="24"/>
              </w:rPr>
              <w:t xml:space="preserve"> </w:t>
            </w:r>
            <w:r>
              <w:rPr>
                <w:rFonts w:ascii="Times New Roman"/>
                <w:sz w:val="24"/>
                <w:szCs w:val="24"/>
              </w:rPr>
              <w:t>G0     B255</w:t>
            </w:r>
          </w:p>
        </w:tc>
      </w:tr>
    </w:tbl>
    <w:p>
      <w:pPr>
        <w:spacing w:line="440" w:lineRule="exact"/>
        <w:ind w:firstLine="482" w:firstLineChars="200"/>
        <w:rPr>
          <w:b/>
          <w:bCs/>
          <w:sz w:val="24"/>
          <w:szCs w:val="24"/>
        </w:rPr>
      </w:pPr>
      <w:r>
        <w:rPr>
          <w:b/>
          <w:sz w:val="24"/>
          <w:szCs w:val="24"/>
        </w:rPr>
        <w:t>4</w:t>
      </w:r>
      <w:r>
        <w:rPr>
          <w:rFonts w:hint="eastAsia"/>
          <w:b/>
          <w:sz w:val="24"/>
          <w:szCs w:val="24"/>
        </w:rPr>
        <w:t>.2.2.2</w:t>
      </w:r>
      <w:r>
        <w:rPr>
          <w:rFonts w:hint="eastAsia"/>
          <w:b/>
          <w:bCs/>
          <w:sz w:val="24"/>
          <w:szCs w:val="24"/>
        </w:rPr>
        <w:t>作业安全风险比较图</w:t>
      </w:r>
    </w:p>
    <w:p>
      <w:pPr>
        <w:spacing w:line="440" w:lineRule="exact"/>
        <w:ind w:firstLine="480" w:firstLineChars="200"/>
        <w:rPr>
          <w:sz w:val="24"/>
          <w:szCs w:val="24"/>
        </w:rPr>
      </w:pPr>
      <w:r>
        <w:rPr>
          <w:rFonts w:hint="eastAsia"/>
          <w:sz w:val="24"/>
          <w:szCs w:val="24"/>
        </w:rPr>
        <w:t>应用统计分析的方法，采取柱状图、饼状图或曲线图等将难以在平面布置图、地理坐标图中标示风险等级的作业活动、关键任务、工序、工作岗位按照风险等级从高到低的顺序标示出来，如：动火作业、有限空间作业、危险物品运输等作业活动，或按照起重设备安拆工、电工、架子工、钢筋工等作业工种进行风险比较。实现对重点环节的重点监控。并在醒目位置或作业区域等进行公告，</w:t>
      </w:r>
      <w:bookmarkStart w:id="40" w:name="_Hlk117368416"/>
      <w:r>
        <w:rPr>
          <w:rFonts w:hint="eastAsia"/>
          <w:sz w:val="24"/>
          <w:szCs w:val="24"/>
        </w:rPr>
        <w:t>作业安全风险比较图示例参见附录</w:t>
      </w:r>
      <w:bookmarkEnd w:id="40"/>
      <w:r>
        <w:rPr>
          <w:rFonts w:hint="eastAsia"/>
          <w:sz w:val="24"/>
          <w:szCs w:val="24"/>
        </w:rPr>
        <w:t>I</w:t>
      </w:r>
      <w:r>
        <w:rPr>
          <w:sz w:val="24"/>
          <w:szCs w:val="24"/>
        </w:rPr>
        <w:t>.3</w:t>
      </w:r>
      <w:r>
        <w:rPr>
          <w:rFonts w:hint="eastAsia"/>
          <w:sz w:val="24"/>
          <w:szCs w:val="24"/>
        </w:rPr>
        <w:t>。</w:t>
      </w:r>
    </w:p>
    <w:p>
      <w:pPr>
        <w:spacing w:line="440" w:lineRule="exact"/>
        <w:ind w:firstLine="482" w:firstLineChars="200"/>
        <w:rPr>
          <w:b/>
          <w:bCs/>
          <w:sz w:val="24"/>
          <w:szCs w:val="24"/>
        </w:rPr>
      </w:pPr>
      <w:r>
        <w:rPr>
          <w:b/>
          <w:sz w:val="24"/>
          <w:szCs w:val="24"/>
        </w:rPr>
        <w:t>4</w:t>
      </w:r>
      <w:r>
        <w:rPr>
          <w:rFonts w:hint="eastAsia"/>
          <w:b/>
          <w:sz w:val="24"/>
          <w:szCs w:val="24"/>
        </w:rPr>
        <w:t>.2.2.3</w:t>
      </w:r>
      <w:r>
        <w:rPr>
          <w:rFonts w:hint="eastAsia"/>
          <w:b/>
          <w:bCs/>
          <w:sz w:val="24"/>
          <w:szCs w:val="24"/>
        </w:rPr>
        <w:t>岗位安全风险告知卡及岗位安全风险清单</w:t>
      </w:r>
    </w:p>
    <w:p>
      <w:pPr>
        <w:spacing w:line="440" w:lineRule="exact"/>
        <w:ind w:firstLine="480" w:firstLineChars="200"/>
        <w:rPr>
          <w:sz w:val="24"/>
          <w:szCs w:val="24"/>
        </w:rPr>
      </w:pPr>
      <w:r>
        <w:rPr>
          <w:rFonts w:hint="eastAsia"/>
          <w:sz w:val="24"/>
          <w:szCs w:val="24"/>
        </w:rPr>
        <w:t>有安全风险的工作岗位，应设置岗位安全风险告知卡，告知从业人员本岗位存在的主要危险有害因素、可能后果及事故类型、风险管控措施、应急措施、应急电话等信息。并结合《重庆市安全生产委员会关于全面推行“两单两卡”强化企业一线岗位从业人员安全生产责任的通知》（渝安委〔2021〕18号）制作岗位安全风险清单，保持内容一致，</w:t>
      </w:r>
      <w:bookmarkStart w:id="41" w:name="_Hlk117368439"/>
      <w:r>
        <w:rPr>
          <w:rFonts w:hint="eastAsia"/>
          <w:sz w:val="24"/>
          <w:szCs w:val="24"/>
        </w:rPr>
        <w:t>岗位安全风险告知卡（示例）参见附录</w:t>
      </w:r>
      <w:bookmarkEnd w:id="41"/>
      <w:r>
        <w:rPr>
          <w:rFonts w:hint="eastAsia"/>
          <w:sz w:val="24"/>
          <w:szCs w:val="24"/>
        </w:rPr>
        <w:t>I</w:t>
      </w:r>
      <w:r>
        <w:rPr>
          <w:sz w:val="24"/>
          <w:szCs w:val="24"/>
        </w:rPr>
        <w:t>.4</w:t>
      </w:r>
      <w:r>
        <w:rPr>
          <w:rFonts w:hint="eastAsia"/>
          <w:sz w:val="24"/>
          <w:szCs w:val="24"/>
        </w:rPr>
        <w:t>。</w:t>
      </w:r>
    </w:p>
    <w:p>
      <w:pPr>
        <w:spacing w:line="440" w:lineRule="exact"/>
        <w:ind w:firstLine="482" w:firstLineChars="200"/>
        <w:rPr>
          <w:b/>
          <w:bCs/>
          <w:sz w:val="24"/>
          <w:szCs w:val="24"/>
        </w:rPr>
      </w:pPr>
      <w:r>
        <w:rPr>
          <w:b/>
          <w:sz w:val="24"/>
          <w:szCs w:val="24"/>
        </w:rPr>
        <w:t>4</w:t>
      </w:r>
      <w:r>
        <w:rPr>
          <w:rFonts w:hint="eastAsia"/>
          <w:b/>
          <w:sz w:val="24"/>
          <w:szCs w:val="24"/>
        </w:rPr>
        <w:t>.2.2.4</w:t>
      </w:r>
      <w:r>
        <w:rPr>
          <w:rFonts w:hint="eastAsia"/>
          <w:b/>
          <w:bCs/>
          <w:sz w:val="24"/>
          <w:szCs w:val="24"/>
        </w:rPr>
        <w:t>安全风险公告栏</w:t>
      </w:r>
    </w:p>
    <w:p>
      <w:pPr>
        <w:spacing w:line="440" w:lineRule="exact"/>
        <w:ind w:firstLine="480" w:firstLineChars="200"/>
        <w:rPr>
          <w:sz w:val="24"/>
          <w:szCs w:val="24"/>
        </w:rPr>
      </w:pPr>
      <w:r>
        <w:rPr>
          <w:rFonts w:hint="eastAsia"/>
          <w:bCs/>
          <w:sz w:val="24"/>
          <w:szCs w:val="24"/>
        </w:rPr>
        <w:t>（1）</w:t>
      </w:r>
      <w:r>
        <w:rPr>
          <w:rFonts w:hint="eastAsia"/>
          <w:sz w:val="24"/>
          <w:szCs w:val="24"/>
        </w:rPr>
        <w:t>制作并设置风险公告栏。水利生产经营单位应在区域内对应风险点的醒目位置设置重大风险公告栏;在风险较大及以上风险点的醒目位置设置较大及以上风险公告栏，标明危险源名称、风险等级、危险有害因素、后果、风险管控措施、应急措施及应急电话等信息。</w:t>
      </w:r>
      <w:bookmarkStart w:id="42" w:name="_Hlk117368453"/>
      <w:r>
        <w:rPr>
          <w:rFonts w:hint="eastAsia"/>
          <w:sz w:val="24"/>
          <w:szCs w:val="24"/>
        </w:rPr>
        <w:t>安全风险公告栏示例参见附录</w:t>
      </w:r>
      <w:bookmarkEnd w:id="42"/>
      <w:r>
        <w:rPr>
          <w:rFonts w:hint="eastAsia"/>
          <w:sz w:val="24"/>
          <w:szCs w:val="24"/>
        </w:rPr>
        <w:t>I</w:t>
      </w:r>
      <w:r>
        <w:rPr>
          <w:sz w:val="24"/>
          <w:szCs w:val="24"/>
        </w:rPr>
        <w:t>.5</w:t>
      </w:r>
      <w:r>
        <w:rPr>
          <w:rFonts w:hint="eastAsia"/>
          <w:sz w:val="24"/>
          <w:szCs w:val="24"/>
        </w:rPr>
        <w:t>。</w:t>
      </w:r>
    </w:p>
    <w:p>
      <w:pPr>
        <w:spacing w:line="440" w:lineRule="exact"/>
        <w:ind w:firstLine="480" w:firstLineChars="200"/>
        <w:rPr>
          <w:sz w:val="24"/>
          <w:szCs w:val="24"/>
        </w:rPr>
      </w:pPr>
      <w:r>
        <w:rPr>
          <w:rFonts w:hint="eastAsia"/>
          <w:sz w:val="24"/>
          <w:szCs w:val="24"/>
        </w:rPr>
        <w:t>（2）重庆市在建重点水利工程安全生产风险管控的高、中、低风险区域告知牌，分别用红、橙、黄色绘制。告知牌标明的内容，主要包括安全生产风险区域名称、所在工程部位、可能引发的事故隐患类别、安全防控措施及报告方式等。</w:t>
      </w:r>
    </w:p>
    <w:p>
      <w:pPr>
        <w:spacing w:line="440" w:lineRule="exact"/>
        <w:ind w:firstLine="482" w:firstLineChars="200"/>
        <w:rPr>
          <w:b/>
          <w:sz w:val="24"/>
          <w:szCs w:val="24"/>
        </w:rPr>
      </w:pPr>
      <w:r>
        <w:rPr>
          <w:b/>
          <w:sz w:val="24"/>
          <w:szCs w:val="24"/>
        </w:rPr>
        <w:t>4</w:t>
      </w:r>
      <w:r>
        <w:rPr>
          <w:rFonts w:hint="eastAsia"/>
          <w:b/>
          <w:sz w:val="24"/>
          <w:szCs w:val="24"/>
        </w:rPr>
        <w:t>.2.2.5警示标志</w:t>
      </w:r>
    </w:p>
    <w:p>
      <w:pPr>
        <w:spacing w:line="440" w:lineRule="exact"/>
        <w:ind w:firstLine="480" w:firstLineChars="200"/>
        <w:rPr>
          <w:bCs/>
          <w:sz w:val="24"/>
          <w:szCs w:val="24"/>
        </w:rPr>
      </w:pPr>
      <w:r>
        <w:rPr>
          <w:rFonts w:hint="eastAsia"/>
          <w:bCs/>
          <w:sz w:val="24"/>
          <w:szCs w:val="24"/>
        </w:rPr>
        <w:t>水利生产经营单位对存在重大安全风险和重大危险源的工作场所和岗位,要设置明显的安全警示标志，写明紧急情况下的应急处置措施、方法，并强化危险源监测和预警。警示牌中使用的图形、图例可参照《安全标志及其使用导则》(GB2894</w:t>
      </w:r>
      <w:r>
        <w:rPr>
          <w:bCs/>
          <w:sz w:val="24"/>
          <w:szCs w:val="24"/>
        </w:rPr>
        <w:t>-2008</w:t>
      </w:r>
      <w:r>
        <w:rPr>
          <w:rFonts w:hint="eastAsia"/>
          <w:bCs/>
          <w:sz w:val="24"/>
          <w:szCs w:val="24"/>
        </w:rPr>
        <w:t>)、《工作场所职业病危害警示标识》(GBZ158</w:t>
      </w:r>
      <w:r>
        <w:rPr>
          <w:bCs/>
          <w:sz w:val="24"/>
          <w:szCs w:val="24"/>
        </w:rPr>
        <w:t>-2003</w:t>
      </w:r>
      <w:r>
        <w:rPr>
          <w:rFonts w:hint="eastAsia"/>
          <w:bCs/>
          <w:sz w:val="24"/>
          <w:szCs w:val="24"/>
        </w:rPr>
        <w:t>)等标准规定的内容。</w:t>
      </w:r>
    </w:p>
    <w:p>
      <w:pPr>
        <w:spacing w:line="440" w:lineRule="exact"/>
        <w:ind w:firstLine="480" w:firstLineChars="200"/>
        <w:rPr>
          <w:sz w:val="24"/>
          <w:szCs w:val="24"/>
        </w:rPr>
      </w:pPr>
      <w:r>
        <w:rPr>
          <w:rFonts w:hint="eastAsia"/>
          <w:sz w:val="24"/>
          <w:szCs w:val="24"/>
        </w:rPr>
        <w:t>（1）施工现场入口处、施工起重机械、临时用电设施、脚手架、出入通道口、楼梯口、孔洞口、桥梁口、隧道口、基坑边缘、爆破物及有害危险气体和液体存放处等危险部位，应设置明显的安全警示标志。</w:t>
      </w:r>
    </w:p>
    <w:p>
      <w:pPr>
        <w:spacing w:line="440" w:lineRule="exact"/>
        <w:ind w:firstLine="480" w:firstLineChars="200"/>
        <w:rPr>
          <w:sz w:val="24"/>
          <w:szCs w:val="24"/>
        </w:rPr>
      </w:pPr>
      <w:r>
        <w:rPr>
          <w:rFonts w:hint="eastAsia"/>
          <w:sz w:val="24"/>
          <w:szCs w:val="24"/>
        </w:rPr>
        <w:t>（2）较大危险性的作业场所和设施设备上，应设置明显的安全警示标志，告知危险的种类、后果及应急措施等。在设施设备检维修、作业、吊装、拆卸等作业现场设置警戒区域和警示标志，对现场的坑、井、洼、沟、陡坡等场所设置围栏和警示标志。</w:t>
      </w:r>
    </w:p>
    <w:p>
      <w:pPr>
        <w:spacing w:line="440" w:lineRule="exact"/>
        <w:ind w:firstLine="480" w:firstLineChars="200"/>
        <w:rPr>
          <w:sz w:val="24"/>
          <w:szCs w:val="24"/>
        </w:rPr>
      </w:pPr>
      <w:r>
        <w:rPr>
          <w:rFonts w:hint="eastAsia"/>
          <w:sz w:val="24"/>
          <w:szCs w:val="24"/>
        </w:rPr>
        <w:t>（3）重大危险源现场应设置明显的安全警示标志和警示牌。警示牌内容应包括危险源名称、地点、责任人员、可能的事故类型、控制措施、报告方式等。</w:t>
      </w:r>
    </w:p>
    <w:p>
      <w:pPr>
        <w:spacing w:line="440" w:lineRule="exact"/>
        <w:ind w:firstLine="480" w:firstLineChars="200"/>
        <w:rPr>
          <w:sz w:val="24"/>
          <w:szCs w:val="24"/>
        </w:rPr>
      </w:pPr>
      <w:r>
        <w:rPr>
          <w:rFonts w:hint="eastAsia"/>
          <w:sz w:val="24"/>
          <w:szCs w:val="24"/>
        </w:rPr>
        <w:t>（4）安全警示标志必须符合国家标准。</w:t>
      </w:r>
    </w:p>
    <w:p>
      <w:pPr>
        <w:pStyle w:val="3"/>
        <w:spacing w:line="440" w:lineRule="exact"/>
        <w:rPr>
          <w:rFonts w:ascii="黑体" w:hAnsi="黑体" w:eastAsia="黑体"/>
          <w:sz w:val="24"/>
          <w:szCs w:val="24"/>
        </w:rPr>
      </w:pPr>
      <w:bookmarkStart w:id="43" w:name="_Toc119336549"/>
      <w:r>
        <w:rPr>
          <w:rFonts w:ascii="黑体" w:hAnsi="黑体" w:eastAsia="黑体"/>
          <w:sz w:val="24"/>
          <w:szCs w:val="24"/>
        </w:rPr>
        <w:t>4</w:t>
      </w:r>
      <w:r>
        <w:rPr>
          <w:rFonts w:hint="eastAsia" w:ascii="黑体" w:hAnsi="黑体" w:eastAsia="黑体"/>
          <w:sz w:val="24"/>
          <w:szCs w:val="24"/>
        </w:rPr>
        <w:t>.3 加强隐患排查治理</w:t>
      </w:r>
      <w:bookmarkEnd w:id="43"/>
    </w:p>
    <w:p>
      <w:pPr>
        <w:spacing w:line="440" w:lineRule="exact"/>
        <w:ind w:firstLine="480" w:firstLineChars="200"/>
        <w:rPr>
          <w:rFonts w:hAnsi="微软雅黑" w:cs="宋体"/>
          <w:sz w:val="24"/>
          <w:szCs w:val="24"/>
        </w:rPr>
      </w:pPr>
      <w:r>
        <w:rPr>
          <w:rFonts w:hint="eastAsia" w:hAnsi="微软雅黑" w:cs="宋体"/>
          <w:sz w:val="24"/>
          <w:szCs w:val="24"/>
        </w:rPr>
        <w:t>水利生产经营单位要根据本单位实际情况，按照危险源及风险等级确定排查频次、要求，明确责任部门和责任人，及时组织排查治理，建立隐患台账，通过水利安全生产监管信息系统填报隐患信息。对排查出的隐患要及时整改，不能立即整改的要做到整改责任、措施、资金、时限、预案“五落实”。重大隐患排查治理情况要向负有安全生产监督管理职责的部门和职工大会或者职工代表大会报告。结合重庆市水利实际，明确如下：</w:t>
      </w:r>
    </w:p>
    <w:p>
      <w:pPr>
        <w:spacing w:line="440" w:lineRule="exact"/>
        <w:ind w:firstLine="480" w:firstLineChars="200"/>
        <w:rPr>
          <w:rFonts w:hAnsi="微软雅黑" w:cs="宋体"/>
          <w:sz w:val="24"/>
          <w:szCs w:val="24"/>
        </w:rPr>
      </w:pPr>
      <w:r>
        <w:rPr>
          <w:rFonts w:hAnsi="微软雅黑" w:cs="宋体"/>
          <w:sz w:val="24"/>
          <w:szCs w:val="24"/>
        </w:rPr>
        <w:t>4</w:t>
      </w:r>
      <w:r>
        <w:rPr>
          <w:rFonts w:hint="eastAsia" w:hAnsi="微软雅黑" w:cs="宋体"/>
          <w:sz w:val="24"/>
          <w:szCs w:val="24"/>
        </w:rPr>
        <w:t>.3.1 隐患排查</w:t>
      </w:r>
    </w:p>
    <w:p>
      <w:pPr>
        <w:spacing w:line="440" w:lineRule="exact"/>
        <w:ind w:firstLine="480" w:firstLineChars="200"/>
        <w:rPr>
          <w:rFonts w:hAnsi="微软雅黑" w:cs="宋体"/>
          <w:sz w:val="24"/>
          <w:szCs w:val="24"/>
        </w:rPr>
      </w:pPr>
      <w:r>
        <w:rPr>
          <w:rFonts w:hAnsi="微软雅黑" w:cs="宋体"/>
          <w:sz w:val="24"/>
          <w:szCs w:val="24"/>
        </w:rPr>
        <w:t>4</w:t>
      </w:r>
      <w:r>
        <w:rPr>
          <w:rFonts w:hint="eastAsia" w:hAnsi="微软雅黑" w:cs="宋体"/>
          <w:sz w:val="24"/>
          <w:szCs w:val="24"/>
        </w:rPr>
        <w:t>.3.1.1隐患排查的主体</w:t>
      </w:r>
    </w:p>
    <w:p>
      <w:pPr>
        <w:spacing w:line="440" w:lineRule="exact"/>
        <w:ind w:firstLine="480" w:firstLineChars="200"/>
        <w:rPr>
          <w:rFonts w:hAnsi="微软雅黑" w:cs="宋体"/>
          <w:sz w:val="24"/>
          <w:szCs w:val="24"/>
        </w:rPr>
      </w:pPr>
      <w:r>
        <w:rPr>
          <w:rFonts w:hint="eastAsia" w:hAnsi="微软雅黑" w:cs="宋体"/>
          <w:sz w:val="24"/>
          <w:szCs w:val="24"/>
        </w:rPr>
        <w:t>全员，即水利生产经营单位主要负责人全面负责，各级、各类人员责任全面覆盖。</w:t>
      </w:r>
    </w:p>
    <w:p>
      <w:pPr>
        <w:spacing w:line="440" w:lineRule="exact"/>
        <w:ind w:firstLine="480" w:firstLineChars="200"/>
        <w:rPr>
          <w:rFonts w:hAnsi="微软雅黑" w:cs="宋体"/>
          <w:sz w:val="24"/>
          <w:szCs w:val="24"/>
        </w:rPr>
      </w:pPr>
      <w:r>
        <w:rPr>
          <w:rFonts w:hAnsi="微软雅黑" w:cs="宋体"/>
          <w:sz w:val="24"/>
          <w:szCs w:val="24"/>
        </w:rPr>
        <w:t>4</w:t>
      </w:r>
      <w:r>
        <w:rPr>
          <w:rFonts w:hint="eastAsia" w:hAnsi="微软雅黑" w:cs="宋体"/>
          <w:sz w:val="24"/>
          <w:szCs w:val="24"/>
        </w:rPr>
        <w:t>.3.1.2隐患排查的时间</w:t>
      </w:r>
    </w:p>
    <w:p>
      <w:pPr>
        <w:spacing w:line="440" w:lineRule="exact"/>
        <w:ind w:firstLine="480" w:firstLineChars="200"/>
        <w:rPr>
          <w:rFonts w:hAnsi="微软雅黑" w:cs="宋体"/>
          <w:sz w:val="24"/>
          <w:szCs w:val="24"/>
        </w:rPr>
      </w:pPr>
      <w:r>
        <w:rPr>
          <w:rFonts w:hint="eastAsia" w:hAnsi="微软雅黑" w:cs="宋体"/>
          <w:sz w:val="24"/>
          <w:szCs w:val="24"/>
        </w:rPr>
        <w:t>(1)日常“日周月”排查；员工实施作业程序前“三查”(查环境是否存在不安全因素、工具设备是否存在不安全状态、安防措施是否到位落实)、班组(工段、岗位)日排查、部门(车间、项目部等)周排查、厂长(经理)月排查。这里的“日、周、月”是对排查的最低频次要求。</w:t>
      </w:r>
    </w:p>
    <w:p>
      <w:pPr>
        <w:spacing w:line="440" w:lineRule="exact"/>
        <w:ind w:firstLine="480" w:firstLineChars="200"/>
        <w:rPr>
          <w:rFonts w:hAnsi="微软雅黑" w:cs="宋体"/>
          <w:sz w:val="24"/>
          <w:szCs w:val="24"/>
        </w:rPr>
      </w:pPr>
      <w:r>
        <w:rPr>
          <w:rFonts w:hint="eastAsia" w:hAnsi="微软雅黑" w:cs="宋体"/>
          <w:sz w:val="24"/>
          <w:szCs w:val="24"/>
        </w:rPr>
        <w:t>(2)专项排查：不同时段根据风险特点及危险源，结合安全形势、状况的变化、上级主管部门的要求等情况，进行综合性、专业性、季节性、重点时段及节假日前、事故类比、检修/抢修/开停机/复产复工前的隐患排查、水利生产经营单位各级负责人履职检查和专家诊断式检查等。专项排查可以与“日周月”排查相结合。</w:t>
      </w:r>
    </w:p>
    <w:p>
      <w:pPr>
        <w:spacing w:line="440" w:lineRule="exact"/>
        <w:ind w:firstLine="480" w:firstLineChars="200"/>
        <w:rPr>
          <w:rFonts w:hAnsi="微软雅黑" w:cs="宋体"/>
          <w:sz w:val="24"/>
          <w:szCs w:val="24"/>
        </w:rPr>
      </w:pPr>
      <w:r>
        <w:rPr>
          <w:rFonts w:hAnsi="微软雅黑" w:cs="宋体"/>
          <w:sz w:val="24"/>
          <w:szCs w:val="24"/>
        </w:rPr>
        <w:t>4</w:t>
      </w:r>
      <w:r>
        <w:rPr>
          <w:rFonts w:hint="eastAsia" w:hAnsi="微软雅黑" w:cs="宋体"/>
          <w:sz w:val="24"/>
          <w:szCs w:val="24"/>
        </w:rPr>
        <w:t>.3.1.3编制排查清单</w:t>
      </w:r>
    </w:p>
    <w:p>
      <w:pPr>
        <w:spacing w:line="440" w:lineRule="exact"/>
        <w:ind w:firstLine="480" w:firstLineChars="200"/>
        <w:rPr>
          <w:rFonts w:hAnsi="微软雅黑" w:cs="宋体"/>
          <w:sz w:val="24"/>
          <w:szCs w:val="24"/>
        </w:rPr>
      </w:pPr>
      <w:r>
        <w:rPr>
          <w:rFonts w:hint="eastAsia" w:hAnsi="微软雅黑" w:cs="宋体"/>
          <w:sz w:val="24"/>
          <w:szCs w:val="24"/>
        </w:rPr>
        <w:t>（1）排查应该编制清单，实施对单排查，以增强排查针对性、有效性。根据水利生产经营单位确定的各级、各类风险的管控措施和基础安全管理编制排查清单。如以风险点为基本单元，依据风险分级管控体系中各风险点的管控措施和标准、规程要求编制生产现场类隐患排查清单：以各类安全生产基础管理项目为基本单元，依据有关法律、法规、技术标准、规程要求编制基础管理类隐患排查清单等。</w:t>
      </w:r>
      <w:bookmarkStart w:id="44" w:name="_Hlk117368566"/>
      <w:r>
        <w:rPr>
          <w:rFonts w:hint="eastAsia" w:hAnsi="微软雅黑" w:cs="宋体"/>
          <w:sz w:val="24"/>
          <w:szCs w:val="24"/>
        </w:rPr>
        <w:t>隐患排查清单编制示例参见《重庆市生产经营单位构建风险分级管控和隐患排查治理双重预防机制指南（试行）》（渝安办〔2</w:t>
      </w:r>
      <w:r>
        <w:rPr>
          <w:rFonts w:hAnsi="微软雅黑" w:cs="宋体"/>
          <w:sz w:val="24"/>
          <w:szCs w:val="24"/>
        </w:rPr>
        <w:t>022</w:t>
      </w:r>
      <w:r>
        <w:rPr>
          <w:rFonts w:hint="eastAsia" w:hAnsi="微软雅黑" w:cs="宋体"/>
          <w:sz w:val="24"/>
          <w:szCs w:val="24"/>
        </w:rPr>
        <w:t>〕7</w:t>
      </w:r>
      <w:r>
        <w:rPr>
          <w:rFonts w:hAnsi="微软雅黑" w:cs="宋体"/>
          <w:sz w:val="24"/>
          <w:szCs w:val="24"/>
        </w:rPr>
        <w:t>3</w:t>
      </w:r>
      <w:r>
        <w:rPr>
          <w:rFonts w:hint="eastAsia" w:hAnsi="微软雅黑" w:cs="宋体"/>
          <w:sz w:val="24"/>
          <w:szCs w:val="24"/>
        </w:rPr>
        <w:t>号）</w:t>
      </w:r>
      <w:bookmarkEnd w:id="44"/>
      <w:r>
        <w:rPr>
          <w:rFonts w:hint="eastAsia" w:hAnsi="微软雅黑" w:cs="宋体"/>
          <w:sz w:val="24"/>
          <w:szCs w:val="24"/>
        </w:rPr>
        <w:t>。</w:t>
      </w:r>
    </w:p>
    <w:p>
      <w:pPr>
        <w:spacing w:line="440" w:lineRule="exact"/>
        <w:ind w:firstLine="480" w:firstLineChars="200"/>
        <w:rPr>
          <w:rFonts w:hAnsi="微软雅黑" w:cs="宋体"/>
          <w:sz w:val="24"/>
          <w:szCs w:val="24"/>
        </w:rPr>
      </w:pPr>
      <w:r>
        <w:rPr>
          <w:rFonts w:hint="eastAsia" w:hAnsi="微软雅黑" w:cs="宋体"/>
          <w:sz w:val="24"/>
          <w:szCs w:val="24"/>
        </w:rPr>
        <w:t>（2）隐患排查必须实现全覆盖。不同检查层级、检查类型的排查清单应有针对性、侧重点。隐患排查的全覆盖，通过“四个覆盖”实现，即“全员覆盖、周期覆盖、共同覆盖、重点覆盖”。全员覆盖，就是要通过全员来实现覆盖，如班组(工段、岗位)、部门(车间、项目部等)、厂长经理“三层级”清单共同覆盖，但职责不同。上述“三层级”不是一成不变的，根据生产经营单位的规模的大小，应适当进行增减，以检查有效为宜、尽量缩短管理链为佳，既可以在大型企业增加岗位级、其他负责人级，也可以在小微企业只保留岗位级和(或)主要负责人级、甚至只需岗位级。周期覆盖，就是通过一个年度或季度等周期实现全面覆盖，而不是一次“日周月”覆盖。共同覆盖，就是技术手段、人员排查等各种方式来实现覆盖。重点覆盖，就是要强化对较大以上风险点的隐患排查。</w:t>
      </w:r>
    </w:p>
    <w:p>
      <w:pPr>
        <w:spacing w:line="440" w:lineRule="exact"/>
        <w:ind w:firstLine="480" w:firstLineChars="200"/>
        <w:rPr>
          <w:rFonts w:hAnsi="微软雅黑" w:cs="宋体"/>
          <w:sz w:val="24"/>
          <w:szCs w:val="24"/>
        </w:rPr>
      </w:pPr>
      <w:r>
        <w:rPr>
          <w:rFonts w:hint="eastAsia" w:hAnsi="微软雅黑" w:cs="宋体"/>
          <w:sz w:val="24"/>
          <w:szCs w:val="24"/>
        </w:rPr>
        <w:t>(3)排查清单不能一成不变，当工艺、原辅材料、产品、布局等变化和前期排查发现的突出问题，对现行排查清单表及时调整：当可能出现重大变化和危险作业时必须调整，调整后的排查清单应经安全技术管理审核通过后执行。</w:t>
      </w:r>
    </w:p>
    <w:p>
      <w:pPr>
        <w:spacing w:line="440" w:lineRule="exact"/>
        <w:ind w:firstLine="480" w:firstLineChars="200"/>
        <w:rPr>
          <w:rFonts w:hAnsi="微软雅黑" w:cs="宋体"/>
          <w:sz w:val="24"/>
          <w:szCs w:val="24"/>
        </w:rPr>
      </w:pPr>
      <w:r>
        <w:rPr>
          <w:rFonts w:hAnsi="微软雅黑" w:cs="宋体"/>
          <w:sz w:val="24"/>
          <w:szCs w:val="24"/>
        </w:rPr>
        <w:t>4</w:t>
      </w:r>
      <w:r>
        <w:rPr>
          <w:rFonts w:hint="eastAsia" w:hAnsi="微软雅黑" w:cs="宋体"/>
          <w:sz w:val="24"/>
          <w:szCs w:val="24"/>
        </w:rPr>
        <w:t>.3.1.4制定排查计划</w:t>
      </w:r>
    </w:p>
    <w:p>
      <w:pPr>
        <w:spacing w:line="440" w:lineRule="exact"/>
        <w:ind w:firstLine="480" w:firstLineChars="200"/>
        <w:rPr>
          <w:rFonts w:hAnsi="微软雅黑" w:cs="宋体"/>
          <w:sz w:val="24"/>
          <w:szCs w:val="24"/>
        </w:rPr>
      </w:pPr>
      <w:r>
        <w:rPr>
          <w:rFonts w:hint="eastAsia" w:hAnsi="微软雅黑" w:cs="宋体"/>
          <w:sz w:val="24"/>
          <w:szCs w:val="24"/>
        </w:rPr>
        <w:t>制定隐患排查计划，明确各种排查的目的、要求、频次、时限、组织级别、责任单位和责任人。</w:t>
      </w:r>
    </w:p>
    <w:p>
      <w:pPr>
        <w:spacing w:line="440" w:lineRule="exact"/>
        <w:ind w:firstLine="480" w:firstLineChars="200"/>
        <w:rPr>
          <w:rFonts w:hAnsi="微软雅黑" w:cs="宋体"/>
          <w:sz w:val="24"/>
          <w:szCs w:val="24"/>
        </w:rPr>
      </w:pPr>
      <w:r>
        <w:rPr>
          <w:rFonts w:hAnsi="微软雅黑" w:cs="宋体"/>
          <w:sz w:val="24"/>
          <w:szCs w:val="24"/>
        </w:rPr>
        <w:t>4</w:t>
      </w:r>
      <w:r>
        <w:rPr>
          <w:rFonts w:hint="eastAsia" w:hAnsi="微软雅黑" w:cs="宋体"/>
          <w:sz w:val="24"/>
          <w:szCs w:val="24"/>
        </w:rPr>
        <w:t>.3.1.5实施排查</w:t>
      </w:r>
    </w:p>
    <w:p>
      <w:pPr>
        <w:spacing w:line="440" w:lineRule="exact"/>
        <w:ind w:firstLine="480" w:firstLineChars="200"/>
        <w:rPr>
          <w:rFonts w:hAnsi="微软雅黑" w:cs="宋体"/>
          <w:sz w:val="24"/>
          <w:szCs w:val="24"/>
        </w:rPr>
      </w:pPr>
      <w:r>
        <w:rPr>
          <w:rFonts w:hint="eastAsia" w:hAnsi="微软雅黑" w:cs="宋体"/>
          <w:sz w:val="24"/>
          <w:szCs w:val="24"/>
        </w:rPr>
        <w:t>（1）各层级、各专业、各岗位按照排查职责、排查计划、隐患排查清单开展职责范围内的隐患排查工作。排查后确定隐患清单、隐患级别，提出治理建议、分析隐患的分布(包括隐患所在单位、地点、分布、种类)等，并逐级报送隐患排查结果。上一级应对下一级排查任务执行情况进行检查、督促和考核。</w:t>
      </w:r>
    </w:p>
    <w:p>
      <w:pPr>
        <w:spacing w:line="440" w:lineRule="exact"/>
        <w:ind w:firstLine="480" w:firstLineChars="200"/>
        <w:rPr>
          <w:rFonts w:hAnsi="微软雅黑" w:cs="宋体"/>
          <w:sz w:val="24"/>
          <w:szCs w:val="24"/>
        </w:rPr>
      </w:pPr>
      <w:r>
        <w:rPr>
          <w:rFonts w:hint="eastAsia" w:hAnsi="微软雅黑" w:cs="宋体"/>
          <w:sz w:val="24"/>
          <w:szCs w:val="24"/>
        </w:rPr>
        <w:t>（2）“日周月”排查应结合不同班组(工段、岗位)、部门(车间、项目部等)、企业（公司、单位）的安全生产特点科学制定隐患排查清单，实施精准排查。在日检查中应积极推行“动前三查”即作业前对作业环境、工具设备、安全防护等进行检查。示例参见《重庆市生产经营单位构建风险分级管控和隐患排查治理双重预防机制指南（试行）》（渝安办〔2</w:t>
      </w:r>
      <w:r>
        <w:rPr>
          <w:rFonts w:hAnsi="微软雅黑" w:cs="宋体"/>
          <w:sz w:val="24"/>
          <w:szCs w:val="24"/>
        </w:rPr>
        <w:t>022</w:t>
      </w:r>
      <w:r>
        <w:rPr>
          <w:rFonts w:hint="eastAsia" w:hAnsi="微软雅黑" w:cs="宋体"/>
          <w:sz w:val="24"/>
          <w:szCs w:val="24"/>
        </w:rPr>
        <w:t>〕7</w:t>
      </w:r>
      <w:r>
        <w:rPr>
          <w:rFonts w:hAnsi="微软雅黑" w:cs="宋体"/>
          <w:sz w:val="24"/>
          <w:szCs w:val="24"/>
        </w:rPr>
        <w:t>3</w:t>
      </w:r>
      <w:r>
        <w:rPr>
          <w:rFonts w:hint="eastAsia" w:hAnsi="微软雅黑" w:cs="宋体"/>
          <w:sz w:val="24"/>
          <w:szCs w:val="24"/>
        </w:rPr>
        <w:t>号）。</w:t>
      </w:r>
    </w:p>
    <w:p>
      <w:pPr>
        <w:spacing w:line="440" w:lineRule="exact"/>
        <w:ind w:firstLine="480" w:firstLineChars="200"/>
        <w:rPr>
          <w:rFonts w:hAnsi="微软雅黑" w:cs="宋体"/>
          <w:sz w:val="24"/>
          <w:szCs w:val="24"/>
        </w:rPr>
      </w:pPr>
      <w:r>
        <w:rPr>
          <w:rFonts w:hAnsi="微软雅黑" w:cs="宋体"/>
          <w:sz w:val="24"/>
          <w:szCs w:val="24"/>
        </w:rPr>
        <w:t>4</w:t>
      </w:r>
      <w:r>
        <w:rPr>
          <w:rFonts w:hint="eastAsia" w:hAnsi="微软雅黑" w:cs="宋体"/>
          <w:sz w:val="24"/>
          <w:szCs w:val="24"/>
        </w:rPr>
        <w:t>.3.1.6判定隐患级别</w:t>
      </w:r>
    </w:p>
    <w:p>
      <w:pPr>
        <w:spacing w:line="440" w:lineRule="exact"/>
        <w:ind w:firstLine="480" w:firstLineChars="200"/>
        <w:rPr>
          <w:rFonts w:hAnsi="微软雅黑" w:cs="宋体"/>
          <w:sz w:val="24"/>
          <w:szCs w:val="24"/>
        </w:rPr>
      </w:pPr>
      <w:r>
        <w:rPr>
          <w:rFonts w:hint="eastAsia" w:hAnsi="微软雅黑" w:cs="宋体"/>
          <w:sz w:val="24"/>
          <w:szCs w:val="24"/>
        </w:rPr>
        <w:t>根据隐患整改、治理和排除的难度及其导致事故后果和影响范围等标准，隐患可划分为一般事故隐患和重大事故隐患。</w:t>
      </w:r>
    </w:p>
    <w:p>
      <w:pPr>
        <w:spacing w:line="440" w:lineRule="exact"/>
        <w:ind w:firstLine="480" w:firstLineChars="200"/>
        <w:rPr>
          <w:sz w:val="24"/>
          <w:szCs w:val="24"/>
        </w:rPr>
      </w:pPr>
      <w:r>
        <w:rPr>
          <w:rFonts w:hint="eastAsia"/>
          <w:sz w:val="24"/>
          <w:szCs w:val="24"/>
        </w:rPr>
        <w:t>(1)一般事故隐患。</w:t>
      </w:r>
    </w:p>
    <w:p>
      <w:pPr>
        <w:spacing w:line="440" w:lineRule="exact"/>
        <w:ind w:firstLine="480" w:firstLineChars="200"/>
        <w:rPr>
          <w:sz w:val="24"/>
          <w:szCs w:val="24"/>
        </w:rPr>
      </w:pPr>
      <w:r>
        <w:rPr>
          <w:rFonts w:hint="eastAsia"/>
          <w:sz w:val="24"/>
          <w:szCs w:val="24"/>
        </w:rPr>
        <w:t>危害和整改难度较小，发现后能够立即整改排除的隐患判定为一般事故隐患，应落实整改责任、整改措施和整改时限。</w:t>
      </w:r>
    </w:p>
    <w:p>
      <w:pPr>
        <w:spacing w:line="440" w:lineRule="exact"/>
        <w:ind w:firstLine="480" w:firstLineChars="200"/>
        <w:rPr>
          <w:sz w:val="24"/>
          <w:szCs w:val="24"/>
        </w:rPr>
      </w:pPr>
      <w:r>
        <w:rPr>
          <w:rFonts w:hint="eastAsia"/>
          <w:sz w:val="24"/>
          <w:szCs w:val="24"/>
        </w:rPr>
        <w:t>(2)重大事故隐患</w:t>
      </w:r>
    </w:p>
    <w:p>
      <w:pPr>
        <w:spacing w:line="440" w:lineRule="exact"/>
        <w:ind w:firstLine="480" w:firstLineChars="200"/>
        <w:rPr>
          <w:sz w:val="24"/>
          <w:szCs w:val="24"/>
        </w:rPr>
      </w:pPr>
      <w:r>
        <w:rPr>
          <w:rFonts w:hint="eastAsia"/>
          <w:sz w:val="24"/>
          <w:szCs w:val="24"/>
        </w:rPr>
        <w:t>危害和整改难度较大，应当全部或者局部停产停业，并经过一定时间整改治理方能排除的隐患，或者因外部因素影响致使本单位自身难以排除的隐患判定为重大事故隐患。</w:t>
      </w:r>
    </w:p>
    <w:p>
      <w:pPr>
        <w:spacing w:line="440" w:lineRule="exact"/>
        <w:ind w:firstLine="480" w:firstLineChars="200"/>
        <w:rPr>
          <w:sz w:val="24"/>
          <w:szCs w:val="24"/>
        </w:rPr>
      </w:pPr>
      <w:r>
        <w:rPr>
          <w:rFonts w:hint="eastAsia"/>
          <w:sz w:val="24"/>
          <w:szCs w:val="24"/>
        </w:rPr>
        <w:t>重大事故隐患判定参照《水利部办公厅关于印发水利工程生产安全重大事故隐患清单指南(2021版）的通知》（办监督〔2021〕364号）及相关行业判定标准，但不能局限于此标准，在判定时可参考以下情况，特别是可能导致较大以上生产安全事故发生的必须按重大事故隐患进行管理:</w:t>
      </w:r>
    </w:p>
    <w:p>
      <w:pPr>
        <w:spacing w:line="440" w:lineRule="exact"/>
        <w:ind w:firstLine="480" w:firstLineChars="200"/>
        <w:rPr>
          <w:sz w:val="24"/>
          <w:szCs w:val="24"/>
        </w:rPr>
      </w:pPr>
      <w:r>
        <w:rPr>
          <w:rFonts w:hint="eastAsia"/>
          <w:sz w:val="24"/>
          <w:szCs w:val="24"/>
        </w:rPr>
        <w:t>--违反法律法规、标准、规范和有关规定的、且可能直接导致较大及以上事故发生的。</w:t>
      </w:r>
    </w:p>
    <w:p>
      <w:pPr>
        <w:spacing w:line="440" w:lineRule="exact"/>
        <w:ind w:firstLine="480" w:firstLineChars="200"/>
        <w:rPr>
          <w:sz w:val="24"/>
          <w:szCs w:val="24"/>
        </w:rPr>
      </w:pPr>
      <w:r>
        <w:rPr>
          <w:rFonts w:hint="eastAsia"/>
          <w:sz w:val="24"/>
          <w:szCs w:val="24"/>
        </w:rPr>
        <w:t>--涉及重大危险源、重要危险装置，且可能直接引发事故的。</w:t>
      </w:r>
    </w:p>
    <w:p>
      <w:pPr>
        <w:spacing w:line="440" w:lineRule="exact"/>
        <w:ind w:firstLine="480" w:firstLineChars="200"/>
        <w:rPr>
          <w:sz w:val="24"/>
          <w:szCs w:val="24"/>
        </w:rPr>
      </w:pPr>
      <w:r>
        <w:rPr>
          <w:rFonts w:hint="eastAsia"/>
          <w:sz w:val="24"/>
          <w:szCs w:val="24"/>
        </w:rPr>
        <w:t>--涉及多人滞留，暴露 10 人以上的(管道 30人以上)。</w:t>
      </w:r>
    </w:p>
    <w:p>
      <w:pPr>
        <w:spacing w:line="440" w:lineRule="exact"/>
        <w:ind w:firstLine="480" w:firstLineChars="200"/>
        <w:rPr>
          <w:sz w:val="24"/>
          <w:szCs w:val="24"/>
        </w:rPr>
      </w:pPr>
      <w:r>
        <w:rPr>
          <w:rFonts w:hint="eastAsia"/>
          <w:sz w:val="24"/>
          <w:szCs w:val="24"/>
        </w:rPr>
        <w:t>--危害和整改难度较大，一定时间完不成整改、需要停止生产经营活动整改的。</w:t>
      </w:r>
    </w:p>
    <w:p>
      <w:pPr>
        <w:spacing w:line="440" w:lineRule="exact"/>
        <w:ind w:firstLine="480" w:firstLineChars="200"/>
        <w:rPr>
          <w:sz w:val="24"/>
          <w:szCs w:val="24"/>
        </w:rPr>
      </w:pPr>
      <w:r>
        <w:rPr>
          <w:rFonts w:hint="eastAsia"/>
          <w:sz w:val="24"/>
          <w:szCs w:val="24"/>
        </w:rPr>
        <w:t>--因外部因素影响致本单位自身难以排除且风险较大的隐患。</w:t>
      </w:r>
    </w:p>
    <w:p>
      <w:pPr>
        <w:spacing w:line="440" w:lineRule="exact"/>
        <w:ind w:firstLine="480" w:firstLineChars="200"/>
        <w:rPr>
          <w:sz w:val="24"/>
          <w:szCs w:val="24"/>
        </w:rPr>
      </w:pPr>
      <w:r>
        <w:rPr>
          <w:rFonts w:hint="eastAsia"/>
          <w:sz w:val="24"/>
          <w:szCs w:val="24"/>
        </w:rPr>
        <w:t>--属地负有安全生产监督管理职责的部门根据其性质认定为重大事故隐患的。</w:t>
      </w:r>
    </w:p>
    <w:p>
      <w:pPr>
        <w:spacing w:line="440" w:lineRule="exact"/>
        <w:ind w:firstLine="480" w:firstLineChars="200"/>
        <w:rPr>
          <w:sz w:val="24"/>
          <w:szCs w:val="24"/>
        </w:rPr>
      </w:pPr>
      <w:r>
        <w:rPr>
          <w:sz w:val="24"/>
          <w:szCs w:val="24"/>
        </w:rPr>
        <w:t>4</w:t>
      </w:r>
      <w:r>
        <w:rPr>
          <w:rFonts w:hint="eastAsia"/>
          <w:sz w:val="24"/>
          <w:szCs w:val="24"/>
        </w:rPr>
        <w:t>.3.2隐患治理</w:t>
      </w:r>
    </w:p>
    <w:p>
      <w:pPr>
        <w:spacing w:line="440" w:lineRule="exact"/>
        <w:ind w:firstLine="480" w:firstLineChars="200"/>
        <w:rPr>
          <w:sz w:val="24"/>
          <w:szCs w:val="24"/>
        </w:rPr>
      </w:pPr>
      <w:r>
        <w:rPr>
          <w:rFonts w:hint="eastAsia"/>
          <w:sz w:val="24"/>
          <w:szCs w:val="24"/>
        </w:rPr>
        <w:t>隐患治理实行分级治理、分类实施。</w:t>
      </w:r>
    </w:p>
    <w:p>
      <w:pPr>
        <w:spacing w:line="440" w:lineRule="exact"/>
        <w:ind w:firstLine="480" w:firstLineChars="200"/>
        <w:rPr>
          <w:sz w:val="24"/>
          <w:szCs w:val="24"/>
        </w:rPr>
      </w:pPr>
      <w:r>
        <w:rPr>
          <w:sz w:val="24"/>
          <w:szCs w:val="24"/>
        </w:rPr>
        <w:t>4</w:t>
      </w:r>
      <w:r>
        <w:rPr>
          <w:rFonts w:hint="eastAsia"/>
          <w:sz w:val="24"/>
          <w:szCs w:val="24"/>
        </w:rPr>
        <w:t>.3.2.1根据隐患的类别及整改要求，宜采用书面通知或其他形式责令有关责任部门(车间、项目部等)、班组(工段)及责任人对隐患进行消除整改，保证责任、措施、资金、时限、预案的“五落实”。安全管理部门负责对排查隐患治理进行全面监督，协调、督促相关责任部门按整改方案要求做好整改消除工作。</w:t>
      </w:r>
    </w:p>
    <w:p>
      <w:pPr>
        <w:spacing w:line="440" w:lineRule="exact"/>
        <w:ind w:firstLine="480" w:firstLineChars="200"/>
        <w:rPr>
          <w:sz w:val="24"/>
          <w:szCs w:val="24"/>
        </w:rPr>
      </w:pPr>
      <w:r>
        <w:rPr>
          <w:sz w:val="24"/>
          <w:szCs w:val="24"/>
        </w:rPr>
        <w:t>4</w:t>
      </w:r>
      <w:r>
        <w:rPr>
          <w:rFonts w:hint="eastAsia"/>
          <w:sz w:val="24"/>
          <w:szCs w:val="24"/>
        </w:rPr>
        <w:t>.3.2.2一般事故隐患应由隐患所在部门(车间、项目部等)、班组(工段、岗位)负责整改，按照本单位相关隐患排查制度上报并登记建档。</w:t>
      </w:r>
    </w:p>
    <w:p>
      <w:pPr>
        <w:spacing w:line="440" w:lineRule="exact"/>
        <w:ind w:firstLine="480" w:firstLineChars="200"/>
        <w:rPr>
          <w:sz w:val="24"/>
          <w:szCs w:val="24"/>
        </w:rPr>
      </w:pPr>
      <w:r>
        <w:rPr>
          <w:sz w:val="24"/>
          <w:szCs w:val="24"/>
        </w:rPr>
        <w:t>4</w:t>
      </w:r>
      <w:r>
        <w:rPr>
          <w:rFonts w:hint="eastAsia"/>
          <w:sz w:val="24"/>
          <w:szCs w:val="24"/>
        </w:rPr>
        <w:t>.3.2.3企业（公司、单位）对重大事故隐患应及时、如实向属地负有安全生产监督管理职责的部门和直接监管的行业主管部门或上级企业（公司、单位）报告。企业（公司、单位）主要负责人应组织制定并实施重大事故隐患治理方案，重大隐患治理方案应包括目标和任务、整改应满足的标准规范、采取的方法和措施、经费和物资的落实、负责治理的机构和人员、治理的时限和要求、安全措施和应急预案等。</w:t>
      </w:r>
    </w:p>
    <w:p>
      <w:pPr>
        <w:spacing w:line="440" w:lineRule="exact"/>
        <w:ind w:firstLine="480" w:firstLineChars="200"/>
        <w:rPr>
          <w:sz w:val="24"/>
          <w:szCs w:val="24"/>
        </w:rPr>
      </w:pPr>
      <w:r>
        <w:rPr>
          <w:sz w:val="24"/>
          <w:szCs w:val="24"/>
        </w:rPr>
        <w:t>4</w:t>
      </w:r>
      <w:r>
        <w:rPr>
          <w:rFonts w:hint="eastAsia"/>
          <w:sz w:val="24"/>
          <w:szCs w:val="24"/>
        </w:rPr>
        <w:t>.3.2.4隐患排除前或排除过程中无法保证安全的，应从危险区域内撤出作业人员，疏散可能危及的人员，设置警戒标志，暂时停产停业或停止使用相关设备、设施。</w:t>
      </w:r>
    </w:p>
    <w:p>
      <w:pPr>
        <w:spacing w:line="440" w:lineRule="exact"/>
        <w:ind w:firstLine="480" w:firstLineChars="200"/>
        <w:rPr>
          <w:sz w:val="24"/>
          <w:szCs w:val="24"/>
        </w:rPr>
      </w:pPr>
      <w:r>
        <w:rPr>
          <w:sz w:val="24"/>
          <w:szCs w:val="24"/>
        </w:rPr>
        <w:t>4</w:t>
      </w:r>
      <w:r>
        <w:rPr>
          <w:rFonts w:hint="eastAsia"/>
          <w:sz w:val="24"/>
          <w:szCs w:val="24"/>
        </w:rPr>
        <w:t>.3.3治理验收评估</w:t>
      </w:r>
    </w:p>
    <w:p>
      <w:pPr>
        <w:spacing w:line="440" w:lineRule="exact"/>
        <w:ind w:firstLine="480" w:firstLineChars="200"/>
        <w:rPr>
          <w:sz w:val="24"/>
          <w:szCs w:val="24"/>
        </w:rPr>
      </w:pPr>
      <w:r>
        <w:rPr>
          <w:sz w:val="24"/>
          <w:szCs w:val="24"/>
        </w:rPr>
        <w:t>4</w:t>
      </w:r>
      <w:r>
        <w:rPr>
          <w:rFonts w:hint="eastAsia"/>
          <w:sz w:val="24"/>
          <w:szCs w:val="24"/>
        </w:rPr>
        <w:t>.3.3.1隐患治理完成后，应按照相关法律、法规、标准、规范要求对治理情况进行验证和效果评估，包括但不限于以下内容:</w:t>
      </w:r>
    </w:p>
    <w:p>
      <w:pPr>
        <w:spacing w:line="440" w:lineRule="exact"/>
        <w:ind w:firstLine="480" w:firstLineChars="200"/>
        <w:rPr>
          <w:sz w:val="24"/>
          <w:szCs w:val="24"/>
        </w:rPr>
      </w:pPr>
      <w:r>
        <w:rPr>
          <w:rFonts w:hint="eastAsia"/>
          <w:sz w:val="24"/>
          <w:szCs w:val="24"/>
        </w:rPr>
        <w:t>--治理措施是否得当。</w:t>
      </w:r>
    </w:p>
    <w:p>
      <w:pPr>
        <w:spacing w:line="440" w:lineRule="exact"/>
        <w:ind w:firstLine="480" w:firstLineChars="200"/>
        <w:rPr>
          <w:sz w:val="24"/>
          <w:szCs w:val="24"/>
        </w:rPr>
      </w:pPr>
      <w:r>
        <w:rPr>
          <w:rFonts w:hint="eastAsia"/>
          <w:sz w:val="24"/>
          <w:szCs w:val="24"/>
        </w:rPr>
        <w:t>--是否达到了预期的效果。</w:t>
      </w:r>
    </w:p>
    <w:p>
      <w:pPr>
        <w:spacing w:line="440" w:lineRule="exact"/>
        <w:ind w:firstLine="480" w:firstLineChars="200"/>
        <w:rPr>
          <w:sz w:val="24"/>
          <w:szCs w:val="24"/>
        </w:rPr>
      </w:pPr>
      <w:r>
        <w:rPr>
          <w:rFonts w:hint="eastAsia"/>
          <w:sz w:val="24"/>
          <w:szCs w:val="24"/>
        </w:rPr>
        <w:t>--是否符合法律法规、标准规范的要求。</w:t>
      </w:r>
    </w:p>
    <w:p>
      <w:pPr>
        <w:spacing w:line="440" w:lineRule="exact"/>
        <w:ind w:firstLine="480" w:firstLineChars="200"/>
        <w:rPr>
          <w:sz w:val="24"/>
          <w:szCs w:val="24"/>
        </w:rPr>
      </w:pPr>
      <w:r>
        <w:rPr>
          <w:rFonts w:hint="eastAsia"/>
          <w:sz w:val="24"/>
          <w:szCs w:val="24"/>
        </w:rPr>
        <w:t>--隐患是否已经消除或控制。</w:t>
      </w:r>
    </w:p>
    <w:p>
      <w:pPr>
        <w:spacing w:line="440" w:lineRule="exact"/>
        <w:ind w:firstLine="480" w:firstLineChars="200"/>
        <w:rPr>
          <w:sz w:val="24"/>
          <w:szCs w:val="24"/>
        </w:rPr>
      </w:pPr>
      <w:r>
        <w:rPr>
          <w:rFonts w:hint="eastAsia"/>
          <w:sz w:val="24"/>
          <w:szCs w:val="24"/>
        </w:rPr>
        <w:t>--是否满足生产安全可靠运行。</w:t>
      </w:r>
    </w:p>
    <w:p>
      <w:pPr>
        <w:spacing w:line="440" w:lineRule="exact"/>
        <w:ind w:firstLine="480" w:firstLineChars="200"/>
        <w:rPr>
          <w:sz w:val="24"/>
          <w:szCs w:val="24"/>
        </w:rPr>
      </w:pPr>
      <w:r>
        <w:rPr>
          <w:rFonts w:hint="eastAsia"/>
          <w:sz w:val="24"/>
          <w:szCs w:val="24"/>
        </w:rPr>
        <w:t>--是否产生新的生产安全事故隐患等。</w:t>
      </w:r>
    </w:p>
    <w:p>
      <w:pPr>
        <w:spacing w:line="440" w:lineRule="exact"/>
        <w:ind w:firstLine="480" w:firstLineChars="200"/>
        <w:rPr>
          <w:sz w:val="24"/>
          <w:szCs w:val="24"/>
        </w:rPr>
      </w:pPr>
      <w:r>
        <w:rPr>
          <w:sz w:val="24"/>
          <w:szCs w:val="24"/>
        </w:rPr>
        <w:t>4</w:t>
      </w:r>
      <w:r>
        <w:rPr>
          <w:rFonts w:hint="eastAsia"/>
          <w:sz w:val="24"/>
          <w:szCs w:val="24"/>
        </w:rPr>
        <w:t>.3.3.2一般隐患责任部门、人员完成整改后，应及时反馈至隐患通知发出部门，按有关规定对治理情况进行评估、验收。</w:t>
      </w:r>
    </w:p>
    <w:p>
      <w:pPr>
        <w:spacing w:line="440" w:lineRule="exact"/>
        <w:ind w:firstLine="480" w:firstLineChars="200"/>
        <w:rPr>
          <w:sz w:val="24"/>
          <w:szCs w:val="24"/>
        </w:rPr>
      </w:pPr>
      <w:r>
        <w:rPr>
          <w:sz w:val="24"/>
          <w:szCs w:val="24"/>
        </w:rPr>
        <w:t>4</w:t>
      </w:r>
      <w:r>
        <w:rPr>
          <w:rFonts w:hint="eastAsia"/>
          <w:sz w:val="24"/>
          <w:szCs w:val="24"/>
        </w:rPr>
        <w:t>.3.3.3重大事故隐患治理完成后，应组织本企业（公司、单位）的安全管理人员和有关专业技术人员进行验证或委托依法设立的为安全生产提供技术、管理服务的机构进行评估。重大隐患排查治理情况应当及时向负有安全生产监督管理职责的部门和职工大会或者职工代表大会报告并进行公示，公示牌参见附录J。</w:t>
      </w:r>
    </w:p>
    <w:p>
      <w:pPr>
        <w:spacing w:line="440" w:lineRule="exact"/>
        <w:ind w:firstLine="480" w:firstLineChars="200"/>
        <w:rPr>
          <w:sz w:val="24"/>
          <w:szCs w:val="24"/>
        </w:rPr>
      </w:pPr>
      <w:r>
        <w:rPr>
          <w:sz w:val="24"/>
          <w:szCs w:val="24"/>
        </w:rPr>
        <w:t>4</w:t>
      </w:r>
      <w:r>
        <w:rPr>
          <w:rFonts w:hint="eastAsia"/>
          <w:sz w:val="24"/>
          <w:szCs w:val="24"/>
        </w:rPr>
        <w:t>.3.3.4政府及其相关职能部门挂牌督办并责令全部或者局部停产停业治理的重大隐患，治理工作结束后，企业（公司、单位）应向政府及其相关职能部提出恢复生产的书面申请，经隐患整改验收合格、并对复产复工审查同意后，方可恢复生产经营。申请报告应当包括治理方案的内容、项目和整改验收的证明材料等。</w:t>
      </w:r>
    </w:p>
    <w:p>
      <w:pPr>
        <w:spacing w:line="440" w:lineRule="exact"/>
        <w:ind w:firstLine="480" w:firstLineChars="200"/>
        <w:rPr>
          <w:sz w:val="24"/>
          <w:szCs w:val="24"/>
        </w:rPr>
      </w:pPr>
      <w:r>
        <w:rPr>
          <w:sz w:val="24"/>
          <w:szCs w:val="24"/>
        </w:rPr>
        <w:t>4</w:t>
      </w:r>
      <w:r>
        <w:rPr>
          <w:rFonts w:hint="eastAsia"/>
          <w:sz w:val="24"/>
          <w:szCs w:val="24"/>
        </w:rPr>
        <w:t>.3.4隐患治理档案管理</w:t>
      </w:r>
    </w:p>
    <w:p>
      <w:pPr>
        <w:spacing w:line="440" w:lineRule="exact"/>
        <w:ind w:firstLine="480" w:firstLineChars="200"/>
        <w:rPr>
          <w:sz w:val="24"/>
          <w:szCs w:val="24"/>
          <w:shd w:val="pct10" w:color="auto" w:fill="FFFFFF"/>
        </w:rPr>
      </w:pPr>
      <w:r>
        <w:rPr>
          <w:sz w:val="24"/>
          <w:szCs w:val="24"/>
        </w:rPr>
        <w:t>4</w:t>
      </w:r>
      <w:r>
        <w:rPr>
          <w:rFonts w:hint="eastAsia"/>
          <w:sz w:val="24"/>
          <w:szCs w:val="24"/>
        </w:rPr>
        <w:t>.3.4.1企业（公司、单位）应如实记录生产安全事故隐患排查治理情况，建立档案。隐患档案信息包括：</w:t>
      </w:r>
      <w:r>
        <w:rPr>
          <w:rFonts w:hint="eastAsia" w:hAnsi="微软雅黑" w:cs="宋体"/>
          <w:sz w:val="24"/>
          <w:szCs w:val="24"/>
        </w:rPr>
        <w:t>名称、情况（状态描述）、所在工程（位置）、级别、类型、排查单位、排查人员、排查日期等；整改方案信息包括治理目标和任务、安全防范应急预案、整改措施、整改责任单位、责任人、资金落实情况、计划完成日期</w:t>
      </w:r>
      <w:r>
        <w:rPr>
          <w:rFonts w:hint="eastAsia"/>
          <w:sz w:val="24"/>
          <w:szCs w:val="24"/>
        </w:rPr>
        <w:t>、整改验收责任部门(人)等内容。企业（公司、单位）在具体实施时可根据实际情况适当增减，以便于追溯为宜。</w:t>
      </w:r>
    </w:p>
    <w:p>
      <w:pPr>
        <w:spacing w:line="440" w:lineRule="exact"/>
        <w:ind w:firstLine="480" w:firstLineChars="200"/>
        <w:rPr>
          <w:sz w:val="24"/>
          <w:szCs w:val="24"/>
        </w:rPr>
      </w:pPr>
      <w:r>
        <w:rPr>
          <w:sz w:val="24"/>
          <w:szCs w:val="24"/>
        </w:rPr>
        <w:t>4</w:t>
      </w:r>
      <w:r>
        <w:rPr>
          <w:rFonts w:hint="eastAsia"/>
          <w:sz w:val="24"/>
          <w:szCs w:val="24"/>
        </w:rPr>
        <w:t>.3.4.2企业</w:t>
      </w:r>
      <w:r>
        <w:rPr>
          <w:rFonts w:hint="eastAsia" w:hAnsi="微软雅黑" w:cs="宋体"/>
          <w:sz w:val="24"/>
          <w:szCs w:val="24"/>
        </w:rPr>
        <w:t>（公司、单位）应</w:t>
      </w:r>
      <w:r>
        <w:rPr>
          <w:rFonts w:hint="eastAsia"/>
          <w:sz w:val="24"/>
          <w:szCs w:val="24"/>
        </w:rPr>
        <w:t>运用隐患自查、自改、自报信息系统，每月至少一次通过信息系统对隐患排查、报告、治理、销号等过程进行信息化管理和统计分析，及时向从业人员进行通报。</w:t>
      </w:r>
    </w:p>
    <w:p>
      <w:pPr>
        <w:pStyle w:val="3"/>
        <w:spacing w:line="440" w:lineRule="exact"/>
        <w:rPr>
          <w:rFonts w:ascii="黑体" w:hAnsi="黑体" w:eastAsia="黑体"/>
          <w:sz w:val="24"/>
          <w:szCs w:val="24"/>
        </w:rPr>
      </w:pPr>
      <w:bookmarkStart w:id="45" w:name="_Toc119336550"/>
      <w:r>
        <w:rPr>
          <w:rFonts w:ascii="黑体" w:hAnsi="黑体" w:eastAsia="黑体"/>
          <w:sz w:val="24"/>
          <w:szCs w:val="24"/>
        </w:rPr>
        <w:t>4</w:t>
      </w:r>
      <w:r>
        <w:rPr>
          <w:rFonts w:hint="eastAsia" w:ascii="黑体" w:hAnsi="黑体" w:eastAsia="黑体"/>
          <w:sz w:val="24"/>
          <w:szCs w:val="24"/>
        </w:rPr>
        <w:t>.4</w:t>
      </w:r>
      <w:r>
        <w:rPr>
          <w:rFonts w:ascii="黑体" w:hAnsi="黑体" w:eastAsia="黑体"/>
          <w:sz w:val="24"/>
          <w:szCs w:val="24"/>
        </w:rPr>
        <w:t xml:space="preserve"> </w:t>
      </w:r>
      <w:r>
        <w:rPr>
          <w:rFonts w:hint="eastAsia" w:ascii="黑体" w:hAnsi="黑体" w:eastAsia="黑体"/>
          <w:sz w:val="24"/>
          <w:szCs w:val="24"/>
        </w:rPr>
        <w:t>加强防范措施监管</w:t>
      </w:r>
      <w:bookmarkEnd w:id="45"/>
    </w:p>
    <w:p>
      <w:pPr>
        <w:spacing w:line="440" w:lineRule="exact"/>
        <w:ind w:firstLine="480" w:firstLineChars="200"/>
        <w:rPr>
          <w:rFonts w:hAnsi="宋体" w:cs="宋体"/>
          <w:sz w:val="24"/>
          <w:szCs w:val="24"/>
        </w:rPr>
      </w:pPr>
      <w:r>
        <w:rPr>
          <w:sz w:val="24"/>
          <w:szCs w:val="24"/>
        </w:rPr>
        <w:t>4</w:t>
      </w:r>
      <w:r>
        <w:rPr>
          <w:rFonts w:hint="eastAsia"/>
          <w:sz w:val="24"/>
          <w:szCs w:val="24"/>
        </w:rPr>
        <w:t>.4.1 各区县水行政主管部门</w:t>
      </w:r>
      <w:r>
        <w:rPr>
          <w:rFonts w:hint="eastAsia" w:hAnsi="宋体" w:cs="宋体"/>
          <w:sz w:val="24"/>
          <w:szCs w:val="24"/>
        </w:rPr>
        <w:t>按照“分级、属地管理，谁主管，谁负责”的原则，采取制度、标准、技术、经济、管理等措施，依法督促相关企业</w:t>
      </w:r>
      <w:r>
        <w:rPr>
          <w:rFonts w:hint="eastAsia"/>
          <w:sz w:val="24"/>
          <w:szCs w:val="24"/>
        </w:rPr>
        <w:t>（公司、单位）</w:t>
      </w:r>
      <w:r>
        <w:rPr>
          <w:rFonts w:hint="eastAsia" w:hAnsi="宋体" w:cs="宋体"/>
          <w:sz w:val="24"/>
          <w:szCs w:val="24"/>
        </w:rPr>
        <w:t>和单位采取风险防范和技术保障措施，降低和消除事故风险。</w:t>
      </w:r>
    </w:p>
    <w:p>
      <w:pPr>
        <w:spacing w:line="440" w:lineRule="exact"/>
        <w:ind w:firstLine="480" w:firstLineChars="200"/>
        <w:rPr>
          <w:sz w:val="24"/>
          <w:szCs w:val="24"/>
        </w:rPr>
      </w:pPr>
      <w:r>
        <w:rPr>
          <w:rFonts w:hAnsi="宋体" w:cs="宋体"/>
          <w:color w:val="000000"/>
          <w:sz w:val="24"/>
          <w:szCs w:val="24"/>
        </w:rPr>
        <w:t>4</w:t>
      </w:r>
      <w:r>
        <w:rPr>
          <w:rFonts w:hint="eastAsia" w:hAnsi="宋体" w:cs="宋体"/>
          <w:color w:val="000000"/>
          <w:sz w:val="24"/>
          <w:szCs w:val="24"/>
        </w:rPr>
        <w:t xml:space="preserve">.4.2 </w:t>
      </w:r>
      <w:r>
        <w:rPr>
          <w:rFonts w:hint="eastAsia"/>
          <w:sz w:val="24"/>
          <w:szCs w:val="24"/>
        </w:rPr>
        <w:t>要根据所管辖范围内危险源及风险情况，实行差异化、精准化动态监管；对于未有效管控的风险等级为重大的危险源，要作为重大隐患挂牌督办；对不能保证安全的生产经营单位，要立即责令停产停业整改。</w:t>
      </w:r>
    </w:p>
    <w:p>
      <w:pPr>
        <w:spacing w:line="440" w:lineRule="exact"/>
        <w:ind w:firstLine="480" w:firstLineChars="200"/>
        <w:rPr>
          <w:rFonts w:hAnsi="宋体" w:cs="宋体"/>
          <w:color w:val="000000"/>
          <w:sz w:val="24"/>
          <w:szCs w:val="24"/>
        </w:rPr>
      </w:pPr>
      <w:r>
        <w:rPr>
          <w:sz w:val="24"/>
          <w:szCs w:val="24"/>
        </w:rPr>
        <w:t>4</w:t>
      </w:r>
      <w:r>
        <w:rPr>
          <w:rFonts w:hint="eastAsia"/>
          <w:sz w:val="24"/>
          <w:szCs w:val="24"/>
        </w:rPr>
        <w:t xml:space="preserve">.4.3 </w:t>
      </w:r>
      <w:r>
        <w:rPr>
          <w:rFonts w:hint="eastAsia" w:hAnsi="宋体" w:cs="宋体"/>
          <w:color w:val="000000"/>
          <w:sz w:val="24"/>
          <w:szCs w:val="24"/>
        </w:rPr>
        <w:t>对高风险且无法有效管控的企业（公司、单位），要依法采取停产停业、停止施工、停止供电和查封扣押、关闭、取缔等措施，按规定给予上限经济处罚，对构成犯罪的要移送司法机关依法追究刑事责任。对一时无法关闭、取缔的重大风险点，要结合实际划定禁区，尽可能把风险限制在可防、可控范围内。</w:t>
      </w:r>
    </w:p>
    <w:p>
      <w:pPr>
        <w:spacing w:line="440" w:lineRule="exact"/>
        <w:ind w:firstLine="480" w:firstLineChars="200"/>
        <w:rPr>
          <w:sz w:val="24"/>
          <w:szCs w:val="24"/>
        </w:rPr>
      </w:pPr>
      <w:r>
        <w:rPr>
          <w:sz w:val="24"/>
          <w:szCs w:val="24"/>
        </w:rPr>
        <w:t>4</w:t>
      </w:r>
      <w:r>
        <w:rPr>
          <w:rFonts w:hint="eastAsia"/>
          <w:sz w:val="24"/>
          <w:szCs w:val="24"/>
        </w:rPr>
        <w:t xml:space="preserve">.4.4 </w:t>
      </w:r>
      <w:r>
        <w:rPr>
          <w:rFonts w:hint="eastAsia" w:hAnsi="宋体" w:cs="宋体"/>
          <w:color w:val="000000"/>
          <w:sz w:val="24"/>
          <w:szCs w:val="24"/>
        </w:rPr>
        <w:t>要严格实施重大隐患挂牌督办、安全生产不良记录“黑名单”制度，推进重大隐患整改。</w:t>
      </w:r>
    </w:p>
    <w:p>
      <w:pPr>
        <w:pStyle w:val="3"/>
        <w:spacing w:line="440" w:lineRule="exact"/>
        <w:rPr>
          <w:rFonts w:ascii="黑体" w:hAnsi="黑体" w:eastAsia="黑体"/>
          <w:sz w:val="24"/>
          <w:szCs w:val="24"/>
        </w:rPr>
      </w:pPr>
      <w:bookmarkStart w:id="46" w:name="_Toc119336551"/>
      <w:r>
        <w:rPr>
          <w:rFonts w:ascii="黑体" w:hAnsi="黑体" w:eastAsia="黑体"/>
          <w:sz w:val="24"/>
          <w:szCs w:val="24"/>
        </w:rPr>
        <w:t>4</w:t>
      </w:r>
      <w:r>
        <w:rPr>
          <w:rFonts w:hint="eastAsia" w:ascii="黑体" w:hAnsi="黑体" w:eastAsia="黑体"/>
          <w:sz w:val="24"/>
          <w:szCs w:val="24"/>
        </w:rPr>
        <w:t>.5 加强水利安全生产标准化建设</w:t>
      </w:r>
      <w:bookmarkEnd w:id="46"/>
    </w:p>
    <w:p>
      <w:pPr>
        <w:spacing w:line="440" w:lineRule="exact"/>
        <w:ind w:firstLine="480" w:firstLineChars="200"/>
        <w:rPr>
          <w:rFonts w:hAnsi="微软雅黑" w:cs="宋体"/>
          <w:sz w:val="24"/>
          <w:szCs w:val="24"/>
        </w:rPr>
      </w:pPr>
      <w:r>
        <w:rPr>
          <w:rFonts w:hAnsi="微软雅黑" w:cs="宋体"/>
          <w:sz w:val="24"/>
          <w:szCs w:val="24"/>
        </w:rPr>
        <w:t>4</w:t>
      </w:r>
      <w:r>
        <w:rPr>
          <w:rFonts w:hint="eastAsia" w:hAnsi="微软雅黑" w:cs="宋体"/>
          <w:sz w:val="24"/>
          <w:szCs w:val="24"/>
        </w:rPr>
        <w:t>.5.1 水利生产经营单位要按照《中华人民共和国安全生产法》、安全生产强制性标准以及《水利安全生产标准化通用规范》等，开展本单位安全生产标准化建设，提升安全管理、操作行为、设施设备和作业环境的标准化水平。</w:t>
      </w:r>
    </w:p>
    <w:p>
      <w:pPr>
        <w:spacing w:line="440" w:lineRule="exact"/>
        <w:ind w:firstLine="480" w:firstLineChars="200"/>
        <w:rPr>
          <w:sz w:val="24"/>
          <w:szCs w:val="24"/>
        </w:rPr>
      </w:pPr>
      <w:r>
        <w:rPr>
          <w:rFonts w:hAnsi="微软雅黑" w:cs="宋体"/>
          <w:sz w:val="24"/>
          <w:szCs w:val="24"/>
        </w:rPr>
        <w:t>4</w:t>
      </w:r>
      <w:r>
        <w:rPr>
          <w:rFonts w:hint="eastAsia" w:hAnsi="微软雅黑" w:cs="宋体"/>
          <w:sz w:val="24"/>
          <w:szCs w:val="24"/>
        </w:rPr>
        <w:t xml:space="preserve">.5.2 </w:t>
      </w:r>
      <w:bookmarkStart w:id="47" w:name="_Hlk119330664"/>
      <w:r>
        <w:rPr>
          <w:rFonts w:hint="eastAsia" w:hAnsi="微软雅黑" w:cs="宋体"/>
          <w:sz w:val="24"/>
          <w:szCs w:val="24"/>
        </w:rPr>
        <w:t>重庆市水利局及各区县水行政主管部门</w:t>
      </w:r>
      <w:bookmarkEnd w:id="47"/>
      <w:r>
        <w:rPr>
          <w:rFonts w:hint="eastAsia" w:hAnsi="微软雅黑" w:cs="宋体"/>
          <w:sz w:val="24"/>
          <w:szCs w:val="24"/>
        </w:rPr>
        <w:t>要持续加强水利水电施工、水利工程管理、项目法人、农村水电站、水利水电勘测设计、水文监测、水利工程建设监理、水利后勤保障、乡镇供水等单位的安全生产标准化建设及有效运行工作</w:t>
      </w:r>
      <w:bookmarkStart w:id="48" w:name="_Hlk119330698"/>
      <w:r>
        <w:rPr>
          <w:rFonts w:hint="eastAsia" w:hAnsi="微软雅黑" w:cs="宋体"/>
          <w:sz w:val="24"/>
          <w:szCs w:val="24"/>
        </w:rPr>
        <w:t>的监督管理</w:t>
      </w:r>
      <w:bookmarkEnd w:id="48"/>
      <w:r>
        <w:rPr>
          <w:rFonts w:hint="eastAsia" w:hAnsi="微软雅黑" w:cs="宋体"/>
          <w:sz w:val="24"/>
          <w:szCs w:val="24"/>
        </w:rPr>
        <w:t>。</w:t>
      </w:r>
    </w:p>
    <w:p>
      <w:pPr>
        <w:pStyle w:val="3"/>
        <w:spacing w:line="440" w:lineRule="exact"/>
        <w:rPr>
          <w:rFonts w:ascii="黑体" w:hAnsi="黑体" w:eastAsia="黑体"/>
          <w:sz w:val="24"/>
          <w:szCs w:val="24"/>
        </w:rPr>
      </w:pPr>
      <w:bookmarkStart w:id="49" w:name="_Toc119336552"/>
      <w:r>
        <w:rPr>
          <w:rFonts w:ascii="黑体" w:hAnsi="黑体" w:eastAsia="黑体"/>
          <w:sz w:val="24"/>
          <w:szCs w:val="24"/>
        </w:rPr>
        <w:t>4</w:t>
      </w:r>
      <w:r>
        <w:rPr>
          <w:rFonts w:hint="eastAsia" w:ascii="黑体" w:hAnsi="黑体" w:eastAsia="黑体"/>
          <w:sz w:val="24"/>
          <w:szCs w:val="24"/>
        </w:rPr>
        <w:t>.6 强化风险源头控制</w:t>
      </w:r>
      <w:bookmarkEnd w:id="49"/>
    </w:p>
    <w:p>
      <w:pPr>
        <w:spacing w:line="440" w:lineRule="exact"/>
        <w:ind w:firstLine="480" w:firstLineChars="200"/>
        <w:rPr>
          <w:rFonts w:hAnsi="微软雅黑" w:cs="宋体"/>
          <w:sz w:val="24"/>
          <w:szCs w:val="24"/>
        </w:rPr>
      </w:pPr>
      <w:r>
        <w:rPr>
          <w:rFonts w:hAnsi="微软雅黑" w:cs="宋体"/>
          <w:sz w:val="24"/>
          <w:szCs w:val="24"/>
        </w:rPr>
        <w:t>4</w:t>
      </w:r>
      <w:r>
        <w:rPr>
          <w:rFonts w:hint="eastAsia" w:hAnsi="微软雅黑" w:cs="宋体"/>
          <w:sz w:val="24"/>
          <w:szCs w:val="24"/>
        </w:rPr>
        <w:t>.6.1 要严格水利工程建设项目技术审查，加强对工程选址安全和水工建筑物洪水标准、防洪能力、抗震设计与结构安全、劳动安全与工业卫生、安全措施等内容的审查。</w:t>
      </w:r>
    </w:p>
    <w:p>
      <w:pPr>
        <w:spacing w:line="440" w:lineRule="exact"/>
        <w:ind w:firstLine="480" w:firstLineChars="200"/>
        <w:rPr>
          <w:rFonts w:hAnsi="微软雅黑" w:cs="宋体"/>
          <w:sz w:val="24"/>
          <w:szCs w:val="24"/>
        </w:rPr>
      </w:pPr>
      <w:r>
        <w:rPr>
          <w:rFonts w:hAnsi="微软雅黑" w:cs="宋体"/>
          <w:sz w:val="24"/>
          <w:szCs w:val="24"/>
        </w:rPr>
        <w:t>4</w:t>
      </w:r>
      <w:r>
        <w:rPr>
          <w:rFonts w:hint="eastAsia" w:hAnsi="微软雅黑" w:cs="宋体"/>
          <w:sz w:val="24"/>
          <w:szCs w:val="24"/>
        </w:rPr>
        <w:t>.6.2 要加强对水利工程建设项目落实安全设施“三同时”制度的监管，确保各项措施落实到位。</w:t>
      </w:r>
    </w:p>
    <w:p>
      <w:pPr>
        <w:spacing w:line="440" w:lineRule="exact"/>
        <w:ind w:firstLine="480" w:firstLineChars="200"/>
        <w:rPr>
          <w:rFonts w:hAnsi="微软雅黑" w:cs="宋体"/>
          <w:sz w:val="24"/>
          <w:szCs w:val="24"/>
        </w:rPr>
      </w:pPr>
      <w:r>
        <w:rPr>
          <w:rFonts w:hAnsi="微软雅黑" w:cs="宋体"/>
          <w:sz w:val="24"/>
          <w:szCs w:val="24"/>
        </w:rPr>
        <w:t>4</w:t>
      </w:r>
      <w:r>
        <w:rPr>
          <w:rFonts w:hint="eastAsia" w:hAnsi="微软雅黑" w:cs="宋体"/>
          <w:sz w:val="24"/>
          <w:szCs w:val="24"/>
        </w:rPr>
        <w:t>.6.3 要严格水利水电工程施工企业主要负责人、项目负责人和专职安全生产管理人员安全生产考核管理，加强对特种作业人员和特种设备作业人员持证上岗的监督检查。</w:t>
      </w:r>
    </w:p>
    <w:p>
      <w:pPr>
        <w:spacing w:line="440" w:lineRule="exact"/>
        <w:ind w:firstLine="480" w:firstLineChars="200"/>
        <w:rPr>
          <w:rFonts w:hAnsi="微软雅黑" w:cs="宋体"/>
          <w:sz w:val="24"/>
          <w:szCs w:val="24"/>
        </w:rPr>
      </w:pPr>
      <w:r>
        <w:rPr>
          <w:rFonts w:hAnsi="微软雅黑" w:cs="宋体"/>
          <w:sz w:val="24"/>
          <w:szCs w:val="24"/>
        </w:rPr>
        <w:t>4</w:t>
      </w:r>
      <w:r>
        <w:rPr>
          <w:rFonts w:hint="eastAsia" w:hAnsi="微软雅黑" w:cs="宋体"/>
          <w:sz w:val="24"/>
          <w:szCs w:val="24"/>
        </w:rPr>
        <w:t>.6.4 要严格规范水利建设市场秩序，加强对水利工程建设项目施工转包、违法分包、挂靠资质等行为的查处，落实水利工程建设安全生产失信行为联合惩戒机制。</w:t>
      </w:r>
    </w:p>
    <w:p>
      <w:pPr>
        <w:pStyle w:val="2"/>
        <w:spacing w:line="440" w:lineRule="exact"/>
        <w:rPr>
          <w:rFonts w:ascii="黑体" w:hAnsi="黑体" w:eastAsia="黑体"/>
          <w:b/>
          <w:bCs/>
          <w:sz w:val="24"/>
          <w:szCs w:val="24"/>
        </w:rPr>
      </w:pPr>
      <w:bookmarkStart w:id="50" w:name="_Toc119336553"/>
      <w:r>
        <w:rPr>
          <w:rFonts w:ascii="黑体" w:hAnsi="黑体" w:eastAsia="黑体"/>
          <w:b/>
          <w:bCs/>
          <w:sz w:val="24"/>
          <w:szCs w:val="24"/>
        </w:rPr>
        <w:t>5</w:t>
      </w:r>
      <w:r>
        <w:rPr>
          <w:rFonts w:hint="eastAsia" w:ascii="黑体" w:hAnsi="黑体" w:eastAsia="黑体"/>
          <w:b/>
          <w:bCs/>
          <w:sz w:val="24"/>
          <w:szCs w:val="24"/>
        </w:rPr>
        <w:t xml:space="preserve"> 风险预警</w:t>
      </w:r>
      <w:bookmarkEnd w:id="50"/>
    </w:p>
    <w:p>
      <w:pPr>
        <w:shd w:val="clear" w:color="auto" w:fill="FFFFFF"/>
        <w:spacing w:line="440" w:lineRule="exact"/>
        <w:ind w:firstLine="480" w:firstLineChars="200"/>
        <w:rPr>
          <w:rFonts w:hAnsi="宋体" w:cs="宋体"/>
          <w:color w:val="000000"/>
          <w:sz w:val="24"/>
          <w:szCs w:val="24"/>
        </w:rPr>
      </w:pPr>
      <w:r>
        <w:rPr>
          <w:rFonts w:hint="eastAsia" w:hAnsi="宋体" w:cs="宋体"/>
          <w:color w:val="000000"/>
          <w:sz w:val="24"/>
          <w:szCs w:val="24"/>
        </w:rPr>
        <w:t>对于危险源辨识与风险评价阶段确定的红色、橙色、黄色、蓝色四个等级的风险点（区域），加强预测预警，强化监测监控，做到早预警、早干预，及时督促整治，进一步增强安全生产工作的主动性和预见性。</w:t>
      </w:r>
    </w:p>
    <w:p>
      <w:pPr>
        <w:pStyle w:val="3"/>
        <w:spacing w:line="440" w:lineRule="exact"/>
        <w:rPr>
          <w:rFonts w:ascii="黑体" w:hAnsi="黑体" w:eastAsia="黑体" w:cs="Times New Roman"/>
          <w:sz w:val="24"/>
          <w:szCs w:val="24"/>
        </w:rPr>
      </w:pPr>
      <w:bookmarkStart w:id="51" w:name="_Toc119336554"/>
      <w:r>
        <w:rPr>
          <w:rFonts w:ascii="黑体" w:hAnsi="黑体" w:eastAsia="黑体" w:cs="Times New Roman"/>
          <w:sz w:val="24"/>
          <w:szCs w:val="24"/>
        </w:rPr>
        <w:t>5</w:t>
      </w:r>
      <w:r>
        <w:rPr>
          <w:rFonts w:hint="eastAsia" w:ascii="黑体" w:hAnsi="黑体" w:eastAsia="黑体" w:cs="Times New Roman"/>
          <w:sz w:val="24"/>
          <w:szCs w:val="24"/>
        </w:rPr>
        <w:t>.1 风险预警分级</w:t>
      </w:r>
      <w:bookmarkEnd w:id="51"/>
    </w:p>
    <w:p>
      <w:pPr>
        <w:shd w:val="clear" w:color="auto" w:fill="FFFFFF"/>
        <w:spacing w:line="440" w:lineRule="exact"/>
        <w:ind w:firstLine="480" w:firstLineChars="200"/>
        <w:rPr>
          <w:rFonts w:hAnsi="宋体" w:cs="宋体"/>
          <w:color w:val="000000"/>
          <w:sz w:val="24"/>
          <w:szCs w:val="24"/>
        </w:rPr>
      </w:pPr>
      <w:r>
        <w:rPr>
          <w:rFonts w:hint="eastAsia" w:hAnsi="宋体" w:cs="宋体"/>
          <w:color w:val="000000"/>
          <w:sz w:val="24"/>
          <w:szCs w:val="24"/>
        </w:rPr>
        <w:t>科学进行风险预警分级。重庆市水利安全生产风险预警由高到低分为四级：Ⅰ级预警（特别严重）、Ⅱ级预警（严重）、Ⅲ级预警（较重）、Ⅳ级预警（一般），预警级别依次用红色、橙色、黄色、蓝色四种颜色表示，风险预警分级标准如下：</w:t>
      </w:r>
    </w:p>
    <w:p>
      <w:pPr>
        <w:shd w:val="clear" w:color="auto" w:fill="FFFFFF"/>
        <w:spacing w:line="440" w:lineRule="exact"/>
        <w:ind w:firstLine="480" w:firstLineChars="200"/>
        <w:rPr>
          <w:rFonts w:hAnsi="宋体" w:cs="宋体"/>
          <w:color w:val="000000"/>
          <w:sz w:val="24"/>
          <w:szCs w:val="24"/>
        </w:rPr>
      </w:pPr>
      <w:r>
        <w:rPr>
          <w:rFonts w:hint="eastAsia" w:hAnsi="宋体" w:cs="宋体"/>
          <w:color w:val="000000"/>
          <w:sz w:val="24"/>
          <w:szCs w:val="24"/>
        </w:rPr>
        <w:t>Ⅰ级预警：可能造成30人以上死亡或100人以上重伤（包括急性工业中毒，下同），巨大财产损失，可能造成极其恶劣的社会舆论和政治影响；事故或事件会随时发生，事态正在不断蔓延。</w:t>
      </w:r>
    </w:p>
    <w:p>
      <w:pPr>
        <w:shd w:val="clear" w:color="auto" w:fill="FFFFFF"/>
        <w:spacing w:line="440" w:lineRule="exact"/>
        <w:ind w:firstLine="480" w:firstLineChars="200"/>
        <w:rPr>
          <w:rFonts w:hAnsi="宋体" w:cs="宋体"/>
          <w:color w:val="000000"/>
          <w:sz w:val="24"/>
          <w:szCs w:val="24"/>
        </w:rPr>
      </w:pPr>
      <w:r>
        <w:rPr>
          <w:rFonts w:hint="eastAsia" w:hAnsi="宋体" w:cs="宋体"/>
          <w:color w:val="000000"/>
          <w:sz w:val="24"/>
          <w:szCs w:val="24"/>
        </w:rPr>
        <w:t>Ⅱ级预警：可能造成10人以上30人以下死亡或50人以上100人以下重伤，严重财产损失，可能造成恶劣的社会舆论，产生较大的政治影响；事故或事件即将发生，事态正在逐步扩大。</w:t>
      </w:r>
    </w:p>
    <w:p>
      <w:pPr>
        <w:shd w:val="clear" w:color="auto" w:fill="FFFFFF"/>
        <w:spacing w:line="440" w:lineRule="exact"/>
        <w:ind w:firstLine="480" w:firstLineChars="200"/>
        <w:rPr>
          <w:rFonts w:hAnsi="宋体" w:cs="宋体"/>
          <w:color w:val="000000"/>
          <w:sz w:val="24"/>
          <w:szCs w:val="24"/>
        </w:rPr>
      </w:pPr>
      <w:r>
        <w:rPr>
          <w:rFonts w:hint="eastAsia" w:hAnsi="宋体" w:cs="宋体"/>
          <w:color w:val="000000"/>
          <w:sz w:val="24"/>
          <w:szCs w:val="24"/>
        </w:rPr>
        <w:t>Ⅲ级预警：可能造成3人以上10人以下死亡或10人以上50人以下重伤，需要外部援救才能缓解，较大财产损失或赔偿支付，在一定范围内造成不良的舆论影响，产生一定的政治影响；事故或事件已经临近，事态有扩大的趋势。</w:t>
      </w:r>
    </w:p>
    <w:p>
      <w:pPr>
        <w:shd w:val="clear" w:color="auto" w:fill="FFFFFF"/>
        <w:spacing w:line="440" w:lineRule="exact"/>
        <w:ind w:firstLine="480" w:firstLineChars="200"/>
        <w:rPr>
          <w:rFonts w:hAnsi="宋体" w:cs="宋体"/>
          <w:color w:val="000000"/>
          <w:sz w:val="24"/>
          <w:szCs w:val="24"/>
        </w:rPr>
      </w:pPr>
      <w:r>
        <w:rPr>
          <w:rFonts w:hint="eastAsia" w:hAnsi="宋体" w:cs="宋体"/>
          <w:color w:val="000000"/>
          <w:sz w:val="24"/>
          <w:szCs w:val="24"/>
        </w:rPr>
        <w:t>Ⅳ级预警：可能造成3人以下死亡或10人以下重伤，中度财产损失，有较小的社会舆论，一般不会产生政治影响；事故或事件即将临近，事态可能会扩展。</w:t>
      </w:r>
    </w:p>
    <w:p>
      <w:pPr>
        <w:pStyle w:val="3"/>
        <w:spacing w:line="440" w:lineRule="exact"/>
        <w:rPr>
          <w:rFonts w:ascii="黑体" w:hAnsi="黑体" w:eastAsia="黑体" w:cs="Times New Roman"/>
          <w:sz w:val="24"/>
          <w:szCs w:val="24"/>
        </w:rPr>
      </w:pPr>
      <w:bookmarkStart w:id="52" w:name="_Toc119336555"/>
      <w:r>
        <w:rPr>
          <w:rFonts w:ascii="黑体" w:hAnsi="黑体" w:eastAsia="黑体" w:cs="Times New Roman"/>
          <w:sz w:val="24"/>
          <w:szCs w:val="24"/>
        </w:rPr>
        <w:t>5</w:t>
      </w:r>
      <w:r>
        <w:rPr>
          <w:rFonts w:hint="eastAsia" w:ascii="黑体" w:hAnsi="黑体" w:eastAsia="黑体" w:cs="Times New Roman"/>
          <w:sz w:val="24"/>
          <w:szCs w:val="24"/>
        </w:rPr>
        <w:t>.2 风险监测监控</w:t>
      </w:r>
      <w:bookmarkEnd w:id="52"/>
    </w:p>
    <w:p>
      <w:pPr>
        <w:shd w:val="clear" w:color="auto" w:fill="FFFFFF"/>
        <w:spacing w:line="440" w:lineRule="exact"/>
        <w:ind w:firstLine="480" w:firstLineChars="200"/>
        <w:rPr>
          <w:rFonts w:hAnsi="宋体" w:cs="宋体"/>
          <w:color w:val="000000"/>
          <w:sz w:val="24"/>
          <w:szCs w:val="24"/>
        </w:rPr>
      </w:pPr>
      <w:r>
        <w:rPr>
          <w:rFonts w:hint="eastAsia" w:hAnsi="微软雅黑" w:cs="宋体"/>
          <w:sz w:val="24"/>
          <w:szCs w:val="24"/>
        </w:rPr>
        <w:t>水利生产经营单位要采取人工监测、自动监测等手段，加强对危险源特别是风险等级为重大的危险源的监测监控，建立健全监测巡视检查制度，做好监测设备设施的日常检查、运行维护和检测校验等，实现风险人工、自动监测“双保险”，做到早预警、早处置。 </w:t>
      </w:r>
    </w:p>
    <w:p>
      <w:pPr>
        <w:pStyle w:val="3"/>
        <w:spacing w:line="440" w:lineRule="exact"/>
        <w:rPr>
          <w:rFonts w:ascii="黑体" w:hAnsi="黑体" w:eastAsia="黑体" w:cs="Times New Roman"/>
          <w:sz w:val="24"/>
          <w:szCs w:val="24"/>
        </w:rPr>
      </w:pPr>
      <w:bookmarkStart w:id="53" w:name="_Toc119336556"/>
      <w:r>
        <w:rPr>
          <w:rFonts w:ascii="黑体" w:hAnsi="黑体" w:eastAsia="黑体" w:cs="Times New Roman"/>
          <w:sz w:val="24"/>
          <w:szCs w:val="24"/>
        </w:rPr>
        <w:t>5</w:t>
      </w:r>
      <w:r>
        <w:rPr>
          <w:rFonts w:hint="eastAsia" w:ascii="黑体" w:hAnsi="黑体" w:eastAsia="黑体" w:cs="Times New Roman"/>
          <w:sz w:val="24"/>
          <w:szCs w:val="24"/>
        </w:rPr>
        <w:t>.3 及时实施预警</w:t>
      </w:r>
      <w:bookmarkEnd w:id="53"/>
    </w:p>
    <w:p>
      <w:pPr>
        <w:shd w:val="clear" w:color="auto" w:fill="FFFFFF"/>
        <w:spacing w:line="440" w:lineRule="exact"/>
        <w:ind w:firstLine="480" w:firstLineChars="200"/>
        <w:rPr>
          <w:rFonts w:hAnsi="微软雅黑" w:cs="宋体"/>
          <w:color w:val="555555"/>
          <w:sz w:val="24"/>
          <w:szCs w:val="24"/>
        </w:rPr>
      </w:pPr>
      <w:r>
        <w:rPr>
          <w:rFonts w:hAnsi="宋体" w:cs="宋体"/>
          <w:color w:val="000000"/>
          <w:sz w:val="24"/>
          <w:szCs w:val="24"/>
        </w:rPr>
        <w:t>5</w:t>
      </w:r>
      <w:r>
        <w:rPr>
          <w:rFonts w:hint="eastAsia" w:hAnsi="宋体" w:cs="宋体"/>
          <w:color w:val="000000"/>
          <w:sz w:val="24"/>
          <w:szCs w:val="24"/>
        </w:rPr>
        <w:t>.3.1 各区县水行政主管部门，结合各自情况，确定各级预警信息发布的具体条件，包括确定相应的预警级别、发布时间、可能影响范围、警示事项、采取的措施、预警时效等，区县政府授权的预警信息发布工作机构在接收预警发布单位送发的预警信息后，按照指定的范围和时间，通过网站、广播、电视、微博等渠道及时向社会发布预警信息。</w:t>
      </w:r>
    </w:p>
    <w:p>
      <w:pPr>
        <w:shd w:val="clear" w:color="auto" w:fill="FFFFFF"/>
        <w:spacing w:line="440" w:lineRule="exact"/>
        <w:ind w:firstLine="480" w:firstLineChars="200"/>
        <w:rPr>
          <w:rFonts w:hAnsi="微软雅黑" w:cs="宋体"/>
          <w:color w:val="555555"/>
          <w:sz w:val="24"/>
          <w:szCs w:val="24"/>
        </w:rPr>
      </w:pPr>
      <w:r>
        <w:rPr>
          <w:rFonts w:hAnsi="宋体" w:cs="宋体"/>
          <w:color w:val="000000"/>
          <w:sz w:val="24"/>
          <w:szCs w:val="24"/>
        </w:rPr>
        <w:t>5</w:t>
      </w:r>
      <w:r>
        <w:rPr>
          <w:rFonts w:hint="eastAsia" w:hAnsi="宋体" w:cs="宋体"/>
          <w:color w:val="000000"/>
          <w:sz w:val="24"/>
          <w:szCs w:val="24"/>
        </w:rPr>
        <w:t>.3.2 各区县水行政主管部门采用监测预警、巡查预警、综合预警等方式进行预警。鼓励采用监测系统进行监测预警。</w:t>
      </w:r>
    </w:p>
    <w:p>
      <w:pPr>
        <w:shd w:val="clear" w:color="auto" w:fill="FFFFFF"/>
        <w:spacing w:line="440" w:lineRule="exact"/>
        <w:ind w:firstLine="480" w:firstLineChars="200"/>
        <w:rPr>
          <w:rFonts w:hAnsi="微软雅黑" w:cs="宋体"/>
          <w:color w:val="555555"/>
          <w:sz w:val="24"/>
          <w:szCs w:val="24"/>
        </w:rPr>
      </w:pPr>
      <w:r>
        <w:rPr>
          <w:rFonts w:hAnsi="宋体" w:cs="宋体"/>
          <w:color w:val="000000"/>
          <w:sz w:val="24"/>
          <w:szCs w:val="24"/>
        </w:rPr>
        <w:t>5</w:t>
      </w:r>
      <w:r>
        <w:rPr>
          <w:rFonts w:hint="eastAsia" w:hAnsi="宋体" w:cs="宋体"/>
          <w:color w:val="000000"/>
          <w:sz w:val="24"/>
          <w:szCs w:val="24"/>
        </w:rPr>
        <w:t>.3.2.1 监测预警由各区县水行政主管部门采用安全风险预警系统对关键参数进行实时监测，达到预警条件时，预警系统自动报警并上传数据，自动发布监测预警信息。</w:t>
      </w:r>
    </w:p>
    <w:p>
      <w:pPr>
        <w:shd w:val="clear" w:color="auto" w:fill="FFFFFF"/>
        <w:spacing w:line="440" w:lineRule="exact"/>
        <w:ind w:firstLine="480" w:firstLineChars="200"/>
        <w:rPr>
          <w:rFonts w:hAnsi="微软雅黑" w:cs="宋体"/>
          <w:color w:val="555555"/>
          <w:sz w:val="24"/>
          <w:szCs w:val="24"/>
        </w:rPr>
      </w:pPr>
      <w:r>
        <w:rPr>
          <w:rFonts w:hAnsi="宋体" w:cs="宋体"/>
          <w:color w:val="000000"/>
          <w:sz w:val="24"/>
          <w:szCs w:val="24"/>
        </w:rPr>
        <w:t>5</w:t>
      </w:r>
      <w:r>
        <w:rPr>
          <w:rFonts w:hint="eastAsia" w:hAnsi="宋体" w:cs="宋体"/>
          <w:color w:val="000000"/>
          <w:sz w:val="24"/>
          <w:szCs w:val="24"/>
        </w:rPr>
        <w:t>.3.2.2 巡查预警由各区县水行政主管部门对风险点进行现场巡查，预估风险状况，逐级上报，并由预警发布单位发布巡查预警信息。</w:t>
      </w:r>
    </w:p>
    <w:p>
      <w:pPr>
        <w:shd w:val="clear" w:color="auto" w:fill="FFFFFF"/>
        <w:spacing w:line="440" w:lineRule="exact"/>
        <w:ind w:firstLine="480" w:firstLineChars="200"/>
        <w:rPr>
          <w:rFonts w:hAnsi="微软雅黑" w:cs="宋体"/>
          <w:color w:val="555555"/>
          <w:sz w:val="24"/>
          <w:szCs w:val="24"/>
        </w:rPr>
      </w:pPr>
      <w:r>
        <w:rPr>
          <w:rFonts w:hAnsi="宋体" w:cs="宋体"/>
          <w:color w:val="000000"/>
          <w:sz w:val="24"/>
          <w:szCs w:val="24"/>
        </w:rPr>
        <w:t>5</w:t>
      </w:r>
      <w:r>
        <w:rPr>
          <w:rFonts w:hint="eastAsia" w:hAnsi="宋体" w:cs="宋体"/>
          <w:color w:val="000000"/>
          <w:sz w:val="24"/>
          <w:szCs w:val="24"/>
        </w:rPr>
        <w:t>.3.2.3 综合预警由预警发布单位，依据风险预警的监测数据、现场巡查信息及现场风险状况，同时参考相关单位提出的综合预警建议，进行综合判定，由预警发布单位发布综合预警信息。</w:t>
      </w:r>
    </w:p>
    <w:p>
      <w:pPr>
        <w:shd w:val="clear" w:color="auto" w:fill="FFFFFF"/>
        <w:spacing w:line="440" w:lineRule="exact"/>
        <w:ind w:firstLine="480" w:firstLineChars="200"/>
        <w:rPr>
          <w:rFonts w:hAnsi="微软雅黑" w:cs="宋体"/>
          <w:color w:val="555555"/>
          <w:sz w:val="24"/>
          <w:szCs w:val="24"/>
        </w:rPr>
      </w:pPr>
      <w:r>
        <w:rPr>
          <w:rFonts w:hAnsi="宋体" w:cs="宋体"/>
          <w:color w:val="000000"/>
          <w:sz w:val="24"/>
          <w:szCs w:val="24"/>
        </w:rPr>
        <w:t>5</w:t>
      </w:r>
      <w:r>
        <w:rPr>
          <w:rFonts w:hint="eastAsia" w:hAnsi="宋体" w:cs="宋体"/>
          <w:color w:val="000000"/>
          <w:sz w:val="24"/>
          <w:szCs w:val="24"/>
        </w:rPr>
        <w:t>.3.3 快速响应风险预警。</w:t>
      </w:r>
    </w:p>
    <w:p>
      <w:pPr>
        <w:shd w:val="clear" w:color="auto" w:fill="FFFFFF"/>
        <w:spacing w:line="440" w:lineRule="exact"/>
        <w:ind w:firstLine="480" w:firstLineChars="200"/>
        <w:rPr>
          <w:rFonts w:hAnsi="微软雅黑" w:cs="宋体"/>
          <w:color w:val="555555"/>
          <w:sz w:val="24"/>
          <w:szCs w:val="24"/>
        </w:rPr>
      </w:pPr>
      <w:r>
        <w:rPr>
          <w:rFonts w:hAnsi="宋体" w:cs="宋体"/>
          <w:color w:val="000000"/>
          <w:sz w:val="24"/>
          <w:szCs w:val="24"/>
        </w:rPr>
        <w:t>5</w:t>
      </w:r>
      <w:r>
        <w:rPr>
          <w:rFonts w:hint="eastAsia" w:hAnsi="宋体" w:cs="宋体"/>
          <w:color w:val="000000"/>
          <w:sz w:val="24"/>
          <w:szCs w:val="24"/>
        </w:rPr>
        <w:t>.3.3.1 对于红色预警，各区县水行政主管部门要立即做好应急准备工作，实施预警处理，加强监测、巡查和跟踪，同时在规定时限内逐级上报至市政府及有关部门。</w:t>
      </w:r>
    </w:p>
    <w:p>
      <w:pPr>
        <w:shd w:val="clear" w:color="auto" w:fill="FFFFFF"/>
        <w:spacing w:line="440" w:lineRule="exact"/>
        <w:ind w:firstLine="480" w:firstLineChars="200"/>
        <w:rPr>
          <w:rFonts w:hAnsi="微软雅黑" w:cs="宋体"/>
          <w:color w:val="555555"/>
          <w:sz w:val="24"/>
          <w:szCs w:val="24"/>
        </w:rPr>
      </w:pPr>
      <w:r>
        <w:rPr>
          <w:rFonts w:hAnsi="宋体" w:cs="宋体"/>
          <w:color w:val="000000"/>
          <w:sz w:val="24"/>
          <w:szCs w:val="24"/>
        </w:rPr>
        <w:t>5</w:t>
      </w:r>
      <w:r>
        <w:rPr>
          <w:rFonts w:hint="eastAsia" w:hAnsi="宋体" w:cs="宋体"/>
          <w:color w:val="000000"/>
          <w:sz w:val="24"/>
          <w:szCs w:val="24"/>
        </w:rPr>
        <w:t>.3.3.2 对于橙色预警，各区县水行政主管部门要立即做好应急准备工作，实施预警处理，加强监测、巡查和跟踪，同时逐级上报至市政府</w:t>
      </w:r>
      <w:bookmarkStart w:id="54" w:name="_Hlk119330369"/>
      <w:r>
        <w:rPr>
          <w:rFonts w:hint="eastAsia" w:hAnsi="宋体" w:cs="宋体"/>
          <w:color w:val="000000"/>
          <w:sz w:val="24"/>
          <w:szCs w:val="24"/>
        </w:rPr>
        <w:t>及</w:t>
      </w:r>
      <w:bookmarkEnd w:id="54"/>
      <w:r>
        <w:rPr>
          <w:rFonts w:hint="eastAsia" w:hAnsi="宋体" w:cs="宋体"/>
          <w:color w:val="000000"/>
          <w:sz w:val="24"/>
          <w:szCs w:val="24"/>
        </w:rPr>
        <w:t>有关部门。</w:t>
      </w:r>
    </w:p>
    <w:p>
      <w:pPr>
        <w:shd w:val="clear" w:color="auto" w:fill="FFFFFF"/>
        <w:spacing w:line="440" w:lineRule="exact"/>
        <w:ind w:firstLine="480" w:firstLineChars="200"/>
        <w:rPr>
          <w:rFonts w:hAnsi="微软雅黑" w:cs="宋体"/>
          <w:color w:val="555555"/>
          <w:sz w:val="24"/>
          <w:szCs w:val="24"/>
        </w:rPr>
      </w:pPr>
      <w:r>
        <w:rPr>
          <w:rFonts w:hAnsi="宋体" w:cs="宋体"/>
          <w:color w:val="000000"/>
          <w:sz w:val="24"/>
          <w:szCs w:val="24"/>
        </w:rPr>
        <w:t>5</w:t>
      </w:r>
      <w:r>
        <w:rPr>
          <w:rFonts w:hint="eastAsia" w:hAnsi="宋体" w:cs="宋体"/>
          <w:color w:val="000000"/>
          <w:sz w:val="24"/>
          <w:szCs w:val="24"/>
        </w:rPr>
        <w:t>.3.3.3 对于黄色预警，各区县水行政主管部门要立即做好应急准备工作，实施预警处理，加强监测、巡查和跟踪，同时逐级上报至区县政府及有关部门。</w:t>
      </w:r>
    </w:p>
    <w:p>
      <w:pPr>
        <w:shd w:val="clear" w:color="auto" w:fill="FFFFFF"/>
        <w:spacing w:line="440" w:lineRule="exact"/>
        <w:ind w:firstLine="480" w:firstLineChars="200"/>
        <w:rPr>
          <w:rFonts w:hAnsi="微软雅黑" w:cs="宋体"/>
          <w:color w:val="555555"/>
          <w:sz w:val="24"/>
          <w:szCs w:val="24"/>
        </w:rPr>
      </w:pPr>
      <w:r>
        <w:rPr>
          <w:rFonts w:hAnsi="宋体" w:cs="宋体"/>
          <w:color w:val="000000"/>
          <w:sz w:val="24"/>
          <w:szCs w:val="24"/>
        </w:rPr>
        <w:t>5</w:t>
      </w:r>
      <w:r>
        <w:rPr>
          <w:rFonts w:hint="eastAsia" w:hAnsi="宋体" w:cs="宋体"/>
          <w:color w:val="000000"/>
          <w:sz w:val="24"/>
          <w:szCs w:val="24"/>
        </w:rPr>
        <w:t>.3.3.4 对于蓝色预警，各单位须随时关注预警的风险状况，加强监测、巡查和跟踪。</w:t>
      </w:r>
    </w:p>
    <w:p>
      <w:pPr>
        <w:shd w:val="clear" w:color="auto" w:fill="FFFFFF"/>
        <w:spacing w:line="440" w:lineRule="exact"/>
        <w:ind w:firstLine="480" w:firstLineChars="200"/>
        <w:rPr>
          <w:rFonts w:hAnsi="微软雅黑" w:cs="宋体"/>
          <w:color w:val="555555"/>
          <w:sz w:val="24"/>
          <w:szCs w:val="24"/>
        </w:rPr>
      </w:pPr>
      <w:r>
        <w:rPr>
          <w:rFonts w:hAnsi="宋体" w:cs="宋体"/>
          <w:color w:val="000000"/>
          <w:sz w:val="24"/>
          <w:szCs w:val="24"/>
        </w:rPr>
        <w:t>5</w:t>
      </w:r>
      <w:r>
        <w:rPr>
          <w:rFonts w:hint="eastAsia" w:hAnsi="宋体" w:cs="宋体"/>
          <w:color w:val="000000"/>
          <w:sz w:val="24"/>
          <w:szCs w:val="24"/>
        </w:rPr>
        <w:t>.3.4实时调整风险预警级别。预警发布单位在发布预警信息后，需要密切关注风险的发展趋势，按照规定的权限和程序，实时调整风险预警级别，并及时发布调整后的预警信息。</w:t>
      </w:r>
    </w:p>
    <w:p>
      <w:pPr>
        <w:shd w:val="clear" w:color="auto" w:fill="FFFFFF"/>
        <w:spacing w:line="440" w:lineRule="exact"/>
        <w:ind w:firstLine="480" w:firstLineChars="200"/>
        <w:rPr>
          <w:rFonts w:hAnsi="微软雅黑" w:cs="宋体"/>
          <w:color w:val="555555"/>
          <w:sz w:val="24"/>
          <w:szCs w:val="24"/>
        </w:rPr>
      </w:pPr>
      <w:r>
        <w:rPr>
          <w:rFonts w:hAnsi="宋体" w:cs="宋体"/>
          <w:color w:val="000000"/>
          <w:sz w:val="24"/>
          <w:szCs w:val="24"/>
        </w:rPr>
        <w:t>5</w:t>
      </w:r>
      <w:r>
        <w:rPr>
          <w:rFonts w:hint="eastAsia" w:hAnsi="宋体" w:cs="宋体"/>
          <w:color w:val="000000"/>
          <w:sz w:val="24"/>
          <w:szCs w:val="24"/>
        </w:rPr>
        <w:t>.3.5适时解除风险预警信号。各区县水行政主管部门采用技术与管理措施后，导致发生预警的因素已得到妥善处置或消失，具备预警解除条件时，由预警发布单位及时解除预警信号。</w:t>
      </w:r>
    </w:p>
    <w:p>
      <w:pPr>
        <w:pStyle w:val="3"/>
        <w:spacing w:line="440" w:lineRule="exact"/>
        <w:rPr>
          <w:rFonts w:ascii="黑体" w:hAnsi="黑体" w:eastAsia="黑体" w:cs="Times New Roman"/>
          <w:sz w:val="24"/>
          <w:szCs w:val="24"/>
        </w:rPr>
      </w:pPr>
      <w:bookmarkStart w:id="55" w:name="_Toc119336557"/>
      <w:r>
        <w:rPr>
          <w:rFonts w:ascii="黑体" w:hAnsi="黑体" w:eastAsia="黑体" w:cs="Times New Roman"/>
          <w:sz w:val="24"/>
          <w:szCs w:val="24"/>
        </w:rPr>
        <w:t>5</w:t>
      </w:r>
      <w:r>
        <w:rPr>
          <w:rFonts w:hint="eastAsia" w:ascii="黑体" w:hAnsi="黑体" w:eastAsia="黑体" w:cs="Times New Roman"/>
          <w:sz w:val="24"/>
          <w:szCs w:val="24"/>
        </w:rPr>
        <w:t>.4 提升监测预警能力</w:t>
      </w:r>
      <w:bookmarkEnd w:id="55"/>
    </w:p>
    <w:p>
      <w:pPr>
        <w:shd w:val="clear" w:color="auto" w:fill="FFFFFF"/>
        <w:spacing w:line="440" w:lineRule="exact"/>
        <w:ind w:firstLine="480" w:firstLineChars="200"/>
        <w:rPr>
          <w:rFonts w:hAnsi="微软雅黑" w:cs="宋体"/>
          <w:color w:val="555555"/>
          <w:sz w:val="24"/>
          <w:szCs w:val="24"/>
        </w:rPr>
      </w:pPr>
      <w:r>
        <w:rPr>
          <w:rFonts w:hAnsi="宋体" w:cs="宋体"/>
          <w:color w:val="000000"/>
          <w:sz w:val="24"/>
          <w:szCs w:val="24"/>
        </w:rPr>
        <w:t>5</w:t>
      </w:r>
      <w:r>
        <w:rPr>
          <w:rFonts w:hint="eastAsia" w:hAnsi="宋体" w:cs="宋体"/>
          <w:color w:val="000000"/>
          <w:sz w:val="24"/>
          <w:szCs w:val="24"/>
        </w:rPr>
        <w:t>.4.1 分析触发风险预警原因。预警发布单位要对触发预警的原因进行综合分析，提出改进风险防范的措施和建议，督促完善防范措施，持续改进完善预警机制，提高风险管控能力。</w:t>
      </w:r>
    </w:p>
    <w:p>
      <w:pPr>
        <w:spacing w:line="440" w:lineRule="exact"/>
        <w:ind w:firstLine="480" w:firstLineChars="200"/>
        <w:rPr>
          <w:rFonts w:hAnsi="微软雅黑" w:cs="宋体"/>
          <w:sz w:val="24"/>
          <w:szCs w:val="24"/>
        </w:rPr>
      </w:pPr>
      <w:r>
        <w:rPr>
          <w:rFonts w:hAnsi="微软雅黑" w:cs="宋体"/>
          <w:sz w:val="24"/>
          <w:szCs w:val="24"/>
        </w:rPr>
        <w:t>5</w:t>
      </w:r>
      <w:r>
        <w:rPr>
          <w:rFonts w:hint="eastAsia" w:hAnsi="微软雅黑" w:cs="宋体"/>
          <w:sz w:val="24"/>
          <w:szCs w:val="24"/>
        </w:rPr>
        <w:t>.4.2 要加大新一代信息技术应用，推进重点区域、重要部位和关键环节的监测监控、自动化控制、自动预警、紧急避险、自救互救等设施设备的配备使用，逐步实现自动采集报送、分析研判、预警发布，及时提高风险监测预警的智能化水平。</w:t>
      </w:r>
    </w:p>
    <w:p>
      <w:pPr>
        <w:spacing w:line="440" w:lineRule="exact"/>
        <w:ind w:firstLine="480" w:firstLineChars="200"/>
        <w:rPr>
          <w:rFonts w:hAnsi="黑体"/>
          <w:sz w:val="24"/>
          <w:szCs w:val="24"/>
        </w:rPr>
      </w:pPr>
      <w:r>
        <w:rPr>
          <w:rFonts w:hAnsi="微软雅黑" w:cs="宋体"/>
          <w:sz w:val="24"/>
          <w:szCs w:val="24"/>
        </w:rPr>
        <w:t>5</w:t>
      </w:r>
      <w:r>
        <w:rPr>
          <w:rFonts w:hint="eastAsia" w:hAnsi="微软雅黑" w:cs="宋体"/>
          <w:sz w:val="24"/>
          <w:szCs w:val="24"/>
        </w:rPr>
        <w:t>.4.3要落实值班值守制度，严格履行职责，严肃工作纪律，加强值班值守人员培训教育，按规定及时处置突发事件。</w:t>
      </w:r>
    </w:p>
    <w:p>
      <w:pPr>
        <w:spacing w:line="440" w:lineRule="exact"/>
        <w:rPr>
          <w:sz w:val="24"/>
          <w:szCs w:val="24"/>
        </w:rPr>
      </w:pPr>
    </w:p>
    <w:p>
      <w:pPr>
        <w:pStyle w:val="2"/>
        <w:spacing w:line="440" w:lineRule="exact"/>
        <w:rPr>
          <w:rFonts w:ascii="黑体" w:hAnsi="黑体" w:eastAsia="黑体"/>
          <w:b/>
          <w:bCs/>
          <w:sz w:val="24"/>
          <w:szCs w:val="24"/>
        </w:rPr>
      </w:pPr>
      <w:bookmarkStart w:id="56" w:name="_Toc119336558"/>
      <w:r>
        <w:rPr>
          <w:rFonts w:hint="eastAsia" w:ascii="黑体" w:hAnsi="黑体" w:eastAsia="黑体"/>
          <w:b/>
          <w:bCs/>
          <w:sz w:val="24"/>
          <w:szCs w:val="24"/>
        </w:rPr>
        <w:t>6 风险处置</w:t>
      </w:r>
      <w:bookmarkEnd w:id="56"/>
    </w:p>
    <w:p>
      <w:pPr>
        <w:pStyle w:val="3"/>
        <w:spacing w:line="440" w:lineRule="exact"/>
        <w:rPr>
          <w:rFonts w:ascii="黑体" w:hAnsi="黑体" w:eastAsia="黑体" w:cs="Times New Roman"/>
          <w:sz w:val="24"/>
          <w:szCs w:val="24"/>
        </w:rPr>
      </w:pPr>
      <w:bookmarkStart w:id="57" w:name="_Toc119336559"/>
      <w:r>
        <w:rPr>
          <w:rFonts w:hint="eastAsia" w:ascii="黑体" w:hAnsi="黑体" w:eastAsia="黑体" w:cs="Times New Roman"/>
          <w:sz w:val="24"/>
          <w:szCs w:val="24"/>
        </w:rPr>
        <w:t>6.1 健全完善应急预案</w:t>
      </w:r>
      <w:bookmarkEnd w:id="57"/>
    </w:p>
    <w:p>
      <w:pPr>
        <w:spacing w:line="440" w:lineRule="exact"/>
        <w:ind w:firstLine="480" w:firstLineChars="200"/>
        <w:rPr>
          <w:sz w:val="24"/>
          <w:szCs w:val="24"/>
        </w:rPr>
      </w:pPr>
      <w:r>
        <w:rPr>
          <w:rFonts w:hint="eastAsia"/>
          <w:sz w:val="24"/>
          <w:szCs w:val="24"/>
        </w:rPr>
        <w:t>6.1.1 水利生产经营单位要依据</w:t>
      </w:r>
      <w:r>
        <w:rPr>
          <w:rFonts w:hint="eastAsia" w:hAnsi="仿宋" w:cs="仿宋"/>
          <w:kern w:val="2"/>
          <w:sz w:val="24"/>
          <w:szCs w:val="24"/>
        </w:rPr>
        <w:t>《生产经营单位生产安全事故应急预案编制导则》(GB/T29639-2020)、《生产安全事故应急预案管理办法》（应急管理部令第2号）、《重庆市生产安全事故应急预案管理办法实施细则》（渝安办〔2020〕110号），</w:t>
      </w:r>
      <w:r>
        <w:rPr>
          <w:rFonts w:hint="eastAsia"/>
          <w:sz w:val="24"/>
          <w:szCs w:val="24"/>
        </w:rPr>
        <w:t>针对本单位危险源和可能发生的事故险情，制定具有针对性、实用性、可操作性的生产安全事故应急预案或现场处置方案，对风险等级为重大的危险源要做到“一源一案”。</w:t>
      </w:r>
    </w:p>
    <w:p>
      <w:pPr>
        <w:spacing w:line="440" w:lineRule="exact"/>
        <w:ind w:firstLine="480" w:firstLineChars="200"/>
        <w:rPr>
          <w:rFonts w:hAnsi="仿宋" w:cs="仿宋"/>
          <w:kern w:val="2"/>
          <w:sz w:val="24"/>
          <w:szCs w:val="24"/>
        </w:rPr>
      </w:pPr>
      <w:r>
        <w:rPr>
          <w:rFonts w:hint="eastAsia"/>
          <w:sz w:val="24"/>
          <w:szCs w:val="24"/>
        </w:rPr>
        <w:t>6.1.2 水利生产经营单位要依据《重庆市安全生产委员会关于全面推行“两单两卡”强化企业一线岗位从业人员安全生产责任的通知》（渝安委〔2021〕18号）</w:t>
      </w:r>
      <w:r>
        <w:rPr>
          <w:rFonts w:hint="eastAsia" w:hAnsi="仿宋" w:cs="仿宋"/>
          <w:kern w:val="2"/>
          <w:sz w:val="24"/>
          <w:szCs w:val="24"/>
        </w:rPr>
        <w:t>，</w:t>
      </w:r>
      <w:r>
        <w:rPr>
          <w:rFonts w:hint="eastAsia" w:hAnsi="方正楷体简体"/>
          <w:sz w:val="24"/>
          <w:szCs w:val="24"/>
        </w:rPr>
        <w:t>针对岗位存在的风险，按照简明化、实用化、专业化的要求，</w:t>
      </w:r>
      <w:r>
        <w:rPr>
          <w:rFonts w:hint="eastAsia"/>
          <w:sz w:val="24"/>
          <w:szCs w:val="24"/>
        </w:rPr>
        <w:t>明确各岗位从业人员应急处置职责、处置流程、处置方法，编制岗位应急处置卡，鼓励采取三字经、顺口溜等易于理解、记忆的方法让涉及到的相关人员能记能懂，确保突发事件发生时“能应急”。</w:t>
      </w:r>
    </w:p>
    <w:p>
      <w:pPr>
        <w:spacing w:line="440" w:lineRule="exact"/>
        <w:ind w:firstLine="480" w:firstLineChars="200"/>
        <w:rPr>
          <w:sz w:val="24"/>
          <w:szCs w:val="24"/>
        </w:rPr>
      </w:pPr>
      <w:r>
        <w:rPr>
          <w:rFonts w:hint="eastAsia" w:hAnsi="微软雅黑" w:cs="宋体"/>
          <w:sz w:val="24"/>
          <w:szCs w:val="24"/>
        </w:rPr>
        <w:t>6.1.3 各区县水行政主管部门要制定部门生产安全事故应急预案并不断完善。</w:t>
      </w:r>
    </w:p>
    <w:p>
      <w:pPr>
        <w:pStyle w:val="3"/>
        <w:spacing w:line="440" w:lineRule="exact"/>
        <w:rPr>
          <w:rFonts w:ascii="黑体" w:hAnsi="黑体" w:eastAsia="黑体" w:cs="Times New Roman"/>
          <w:sz w:val="24"/>
          <w:szCs w:val="24"/>
        </w:rPr>
      </w:pPr>
      <w:bookmarkStart w:id="58" w:name="_Toc119336560"/>
      <w:r>
        <w:rPr>
          <w:rFonts w:hint="eastAsia" w:ascii="黑体" w:hAnsi="黑体" w:eastAsia="黑体" w:cs="Times New Roman"/>
          <w:sz w:val="24"/>
          <w:szCs w:val="24"/>
        </w:rPr>
        <w:t>6.2 快速有效开展应急处置</w:t>
      </w:r>
      <w:bookmarkEnd w:id="58"/>
    </w:p>
    <w:p>
      <w:pPr>
        <w:spacing w:line="440" w:lineRule="exact"/>
        <w:ind w:firstLine="480" w:firstLineChars="200"/>
        <w:rPr>
          <w:sz w:val="24"/>
          <w:szCs w:val="24"/>
        </w:rPr>
      </w:pPr>
      <w:r>
        <w:rPr>
          <w:rFonts w:hint="eastAsia"/>
          <w:sz w:val="24"/>
          <w:szCs w:val="24"/>
        </w:rPr>
        <w:t>发生生产安全事故险情后，各区县水行政主管部门和水利生产经营单位要按照有关预案及时启动应急响应，科学组织施救，妥善处理善后工作，加强舆情应对，回应社会关切。重大情况要第一时间上报。要重点加强事故初期处置，防止事故扩大和发生次生事故。应急处置结束后，要及时查找应急预案、现场应急处置和风险管控体系存在的不足，及时完善。</w:t>
      </w:r>
    </w:p>
    <w:p>
      <w:pPr>
        <w:pStyle w:val="3"/>
        <w:spacing w:line="440" w:lineRule="exact"/>
        <w:rPr>
          <w:rFonts w:ascii="黑体" w:hAnsi="黑体" w:eastAsia="黑体" w:cs="Times New Roman"/>
          <w:sz w:val="24"/>
          <w:szCs w:val="24"/>
        </w:rPr>
      </w:pPr>
      <w:bookmarkStart w:id="59" w:name="_Toc119336561"/>
      <w:r>
        <w:rPr>
          <w:rFonts w:hint="eastAsia" w:ascii="黑体" w:hAnsi="黑体" w:eastAsia="黑体" w:cs="Times New Roman"/>
          <w:sz w:val="24"/>
          <w:szCs w:val="24"/>
        </w:rPr>
        <w:t>6.3 加强应急保障能力建设</w:t>
      </w:r>
      <w:bookmarkEnd w:id="59"/>
    </w:p>
    <w:p>
      <w:pPr>
        <w:spacing w:line="440" w:lineRule="exact"/>
        <w:ind w:firstLine="480" w:firstLineChars="200"/>
        <w:rPr>
          <w:sz w:val="24"/>
          <w:szCs w:val="24"/>
        </w:rPr>
      </w:pPr>
      <w:r>
        <w:rPr>
          <w:rFonts w:hint="eastAsia" w:hAnsi="微软雅黑" w:cs="宋体"/>
          <w:sz w:val="24"/>
          <w:szCs w:val="24"/>
        </w:rPr>
        <w:t>各区县水行政主管部门和水利生产经营单位要按照有关法律法规规定，严格落实应急值班制度，定期组织开展有针对性的应急预案培训、应急演练和人员避险自救培训，落实应急处置必备的物资、装备、器材，</w:t>
      </w:r>
      <w:bookmarkStart w:id="60" w:name="_Hlk119330287"/>
      <w:r>
        <w:rPr>
          <w:rFonts w:hint="eastAsia" w:hAnsi="微软雅黑" w:cs="宋体"/>
          <w:sz w:val="24"/>
          <w:szCs w:val="24"/>
        </w:rPr>
        <w:t>加强专业化应急队伍建设</w:t>
      </w:r>
      <w:bookmarkEnd w:id="60"/>
      <w:r>
        <w:rPr>
          <w:rFonts w:hint="eastAsia" w:hAnsi="微软雅黑" w:cs="宋体"/>
          <w:sz w:val="24"/>
          <w:szCs w:val="24"/>
        </w:rPr>
        <w:t>，提升应急处置水平和科学救援能力。</w:t>
      </w:r>
    </w:p>
    <w:p>
      <w:pPr>
        <w:pStyle w:val="2"/>
        <w:spacing w:line="440" w:lineRule="exact"/>
        <w:rPr>
          <w:rFonts w:ascii="黑体" w:hAnsi="黑体" w:eastAsia="黑体"/>
          <w:b/>
          <w:bCs/>
          <w:sz w:val="24"/>
          <w:szCs w:val="24"/>
        </w:rPr>
      </w:pPr>
      <w:bookmarkStart w:id="61" w:name="_Toc119336562"/>
      <w:r>
        <w:rPr>
          <w:rFonts w:hint="eastAsia" w:ascii="黑体" w:hAnsi="黑体" w:eastAsia="黑体"/>
          <w:b/>
          <w:bCs/>
          <w:sz w:val="24"/>
          <w:szCs w:val="24"/>
        </w:rPr>
        <w:t>7 风险责任</w:t>
      </w:r>
      <w:bookmarkEnd w:id="61"/>
    </w:p>
    <w:p>
      <w:pPr>
        <w:pStyle w:val="3"/>
        <w:spacing w:line="440" w:lineRule="exact"/>
        <w:rPr>
          <w:rFonts w:ascii="黑体" w:hAnsi="黑体" w:eastAsia="黑体"/>
          <w:sz w:val="24"/>
          <w:szCs w:val="24"/>
        </w:rPr>
      </w:pPr>
      <w:bookmarkStart w:id="62" w:name="_Toc119336563"/>
      <w:r>
        <w:rPr>
          <w:rFonts w:hint="eastAsia" w:ascii="黑体" w:hAnsi="黑体" w:eastAsia="黑体"/>
          <w:sz w:val="24"/>
          <w:szCs w:val="24"/>
        </w:rPr>
        <w:t>7.1 严格落实主体责任</w:t>
      </w:r>
      <w:bookmarkEnd w:id="62"/>
    </w:p>
    <w:p>
      <w:pPr>
        <w:spacing w:line="440" w:lineRule="exact"/>
        <w:ind w:firstLine="480" w:firstLineChars="200"/>
        <w:rPr>
          <w:sz w:val="24"/>
          <w:szCs w:val="24"/>
        </w:rPr>
      </w:pPr>
      <w:r>
        <w:rPr>
          <w:rFonts w:hint="eastAsia"/>
          <w:sz w:val="24"/>
          <w:szCs w:val="24"/>
        </w:rPr>
        <w:t xml:space="preserve">水利生产经营单位对本单位风险管控工作全面负责，主要负责人或实际控制人是本单位风险管控工作的第一责任人，要组织建立风险管控责任体系和制度体系，明确各层级、各部门、各岗位的风险管控责任，可以通过政府购买服务等方式委托第三方专业技术服务机构承担风险管控技术服务工作。 </w:t>
      </w:r>
    </w:p>
    <w:p>
      <w:pPr>
        <w:pStyle w:val="3"/>
        <w:spacing w:line="440" w:lineRule="exact"/>
        <w:rPr>
          <w:rFonts w:ascii="黑体" w:hAnsi="黑体" w:eastAsia="黑体"/>
          <w:sz w:val="24"/>
          <w:szCs w:val="24"/>
        </w:rPr>
      </w:pPr>
      <w:bookmarkStart w:id="63" w:name="_Toc119336564"/>
      <w:r>
        <w:rPr>
          <w:rFonts w:hint="eastAsia" w:ascii="黑体" w:hAnsi="黑体" w:eastAsia="黑体"/>
          <w:sz w:val="24"/>
          <w:szCs w:val="24"/>
        </w:rPr>
        <w:t>7.2 严格落实监管责任</w:t>
      </w:r>
      <w:bookmarkEnd w:id="63"/>
    </w:p>
    <w:p>
      <w:pPr>
        <w:spacing w:line="440" w:lineRule="exact"/>
        <w:ind w:firstLine="480" w:firstLineChars="200"/>
        <w:rPr>
          <w:sz w:val="24"/>
          <w:szCs w:val="24"/>
        </w:rPr>
      </w:pPr>
      <w:r>
        <w:rPr>
          <w:rFonts w:hint="eastAsia" w:hAnsi="仿宋"/>
          <w:sz w:val="24"/>
          <w:szCs w:val="24"/>
        </w:rPr>
        <w:t>重庆市水利局、</w:t>
      </w:r>
      <w:r>
        <w:rPr>
          <w:rFonts w:hint="eastAsia"/>
          <w:sz w:val="24"/>
          <w:szCs w:val="24"/>
        </w:rPr>
        <w:t>各区县水行政主管部门负责监督指导管辖范围内水利生产经营单位开展风险管控工作，要定期开展监管人员风险管控业务培训，实行风险等级差异化动态监督管理，按规定报告风险有关信息，督促水利生产经营单位落实常态化风险管控工作。</w:t>
      </w:r>
    </w:p>
    <w:p>
      <w:pPr>
        <w:pStyle w:val="3"/>
        <w:spacing w:line="440" w:lineRule="exact"/>
        <w:rPr>
          <w:rFonts w:ascii="黑体" w:hAnsi="黑体" w:eastAsia="黑体"/>
          <w:sz w:val="24"/>
          <w:szCs w:val="24"/>
        </w:rPr>
      </w:pPr>
      <w:bookmarkStart w:id="64" w:name="_Toc119336565"/>
      <w:r>
        <w:rPr>
          <w:rFonts w:hint="eastAsia" w:ascii="黑体" w:hAnsi="黑体" w:eastAsia="黑体"/>
          <w:sz w:val="24"/>
          <w:szCs w:val="24"/>
        </w:rPr>
        <w:t>7.3 加大责任追究力度</w:t>
      </w:r>
      <w:bookmarkEnd w:id="64"/>
    </w:p>
    <w:p>
      <w:pPr>
        <w:spacing w:line="440" w:lineRule="exact"/>
        <w:ind w:firstLine="480" w:firstLineChars="200"/>
        <w:rPr>
          <w:sz w:val="24"/>
          <w:szCs w:val="24"/>
        </w:rPr>
      </w:pPr>
      <w:r>
        <w:rPr>
          <w:rFonts w:hint="eastAsia" w:hAnsi="仿宋"/>
          <w:sz w:val="24"/>
          <w:szCs w:val="24"/>
        </w:rPr>
        <w:t>重庆市水利局、</w:t>
      </w:r>
      <w:r>
        <w:rPr>
          <w:rFonts w:hint="eastAsia"/>
          <w:sz w:val="24"/>
          <w:szCs w:val="24"/>
        </w:rPr>
        <w:t>各区县水行政主管部门要加大水利安全生产领域监督执法力度，对安全生产违法行为依法依规严厉查处。对风险管控不力、隐患排查与问题整改不及时不到位的地区、单位和负有领导责任、直接责任的有关人员，要采取通报、约谈等方式实施责任追究。对发生生产安全责任事故的，要按照事故原因未查清不放过、责任人员未处理不放过、整改措施未落实不放过、有关人员未受到教育不放过的“四不放过”原则，依法依规严肃追责问责，并与水利督查激励措施、评优评先等工作挂钩。</w:t>
      </w:r>
    </w:p>
    <w:p>
      <w:pPr>
        <w:pStyle w:val="2"/>
        <w:spacing w:line="440" w:lineRule="exact"/>
        <w:rPr>
          <w:rFonts w:ascii="黑体" w:hAnsi="黑体" w:eastAsia="黑体"/>
          <w:b/>
          <w:sz w:val="24"/>
          <w:szCs w:val="24"/>
        </w:rPr>
      </w:pPr>
      <w:bookmarkStart w:id="65" w:name="_Toc119336566"/>
      <w:r>
        <w:rPr>
          <w:rFonts w:hint="eastAsia" w:ascii="黑体" w:hAnsi="黑体" w:eastAsia="黑体"/>
          <w:b/>
          <w:sz w:val="24"/>
          <w:szCs w:val="24"/>
        </w:rPr>
        <w:t>8 信息报告和处置</w:t>
      </w:r>
      <w:bookmarkEnd w:id="65"/>
    </w:p>
    <w:p>
      <w:pPr>
        <w:spacing w:line="440" w:lineRule="exact"/>
        <w:ind w:firstLine="480" w:firstLineChars="200"/>
        <w:rPr>
          <w:rFonts w:hAnsi="微软雅黑" w:cs="宋体"/>
          <w:sz w:val="24"/>
          <w:szCs w:val="24"/>
        </w:rPr>
      </w:pPr>
      <w:r>
        <w:rPr>
          <w:rFonts w:hint="eastAsia"/>
          <w:sz w:val="24"/>
          <w:szCs w:val="24"/>
        </w:rPr>
        <w:t>依据</w:t>
      </w:r>
      <w:r>
        <w:rPr>
          <w:rFonts w:hint="eastAsia" w:hAnsi="黑体"/>
          <w:sz w:val="24"/>
          <w:szCs w:val="24"/>
        </w:rPr>
        <w:t>《水利安全生产信息报告和处置规则》（水监督〔2022〕156号），重庆市水利局及各区县水行政主管部门、</w:t>
      </w:r>
      <w:r>
        <w:rPr>
          <w:rFonts w:hint="eastAsia" w:hAnsi="微软雅黑" w:cs="宋体"/>
          <w:sz w:val="24"/>
          <w:szCs w:val="24"/>
        </w:rPr>
        <w:t>水利生产经营单位以及水利工程基本信息均需通过水利安全生产监管信息系统（以下简称信息系统）报送。</w:t>
      </w:r>
    </w:p>
    <w:p>
      <w:pPr>
        <w:pStyle w:val="3"/>
        <w:spacing w:line="440" w:lineRule="exact"/>
        <w:rPr>
          <w:rFonts w:ascii="黑体" w:hAnsi="黑体" w:eastAsia="黑体" w:cs="Times New Roman"/>
          <w:sz w:val="24"/>
          <w:szCs w:val="24"/>
        </w:rPr>
      </w:pPr>
      <w:bookmarkStart w:id="66" w:name="_Toc119336567"/>
      <w:r>
        <w:rPr>
          <w:rFonts w:hint="eastAsia" w:ascii="黑体" w:hAnsi="黑体" w:eastAsia="黑体" w:cs="Times New Roman"/>
          <w:sz w:val="24"/>
          <w:szCs w:val="24"/>
        </w:rPr>
        <w:t>8.1 基本信息</w:t>
      </w:r>
      <w:bookmarkEnd w:id="66"/>
      <w:r>
        <w:rPr>
          <w:rFonts w:ascii="Calibri" w:hAnsi="Calibri" w:eastAsia="黑体" w:cs="Calibri"/>
          <w:sz w:val="24"/>
          <w:szCs w:val="24"/>
        </w:rPr>
        <w:t> </w:t>
      </w:r>
    </w:p>
    <w:p>
      <w:pPr>
        <w:spacing w:line="440" w:lineRule="exact"/>
        <w:ind w:firstLine="480" w:firstLineChars="200"/>
        <w:rPr>
          <w:rFonts w:hAnsi="微软雅黑" w:cs="宋体"/>
          <w:sz w:val="24"/>
          <w:szCs w:val="24"/>
        </w:rPr>
      </w:pPr>
      <w:r>
        <w:rPr>
          <w:rFonts w:hint="eastAsia" w:hAnsi="微软雅黑" w:cs="宋体"/>
          <w:sz w:val="24"/>
          <w:szCs w:val="24"/>
        </w:rPr>
        <w:t>8.1.1 基本信息主要包括水行政主管部门和水利生产经营单位（以下简称单位）基本信息以及水利工程基本信息。 </w:t>
      </w:r>
    </w:p>
    <w:p>
      <w:pPr>
        <w:spacing w:line="440" w:lineRule="exact"/>
        <w:ind w:firstLine="480" w:firstLineChars="200"/>
        <w:rPr>
          <w:rFonts w:hAnsi="微软雅黑" w:cs="宋体"/>
          <w:sz w:val="24"/>
          <w:szCs w:val="24"/>
        </w:rPr>
      </w:pPr>
      <w:r>
        <w:rPr>
          <w:rFonts w:hint="eastAsia" w:hAnsi="微软雅黑" w:cs="宋体"/>
          <w:sz w:val="24"/>
          <w:szCs w:val="24"/>
        </w:rPr>
        <w:t>8.1.1.1 单位基本信息包括单位类型、名称、所属行政区划、单位规格、经费来源、所属水行政主管部门，主要负责人、分管安全负责人、安全生产联系人信息，安全生产承诺信息，经纬度等。 </w:t>
      </w:r>
    </w:p>
    <w:p>
      <w:pPr>
        <w:spacing w:line="440" w:lineRule="exact"/>
        <w:ind w:firstLine="480" w:firstLineChars="200"/>
        <w:rPr>
          <w:rFonts w:hAnsi="微软雅黑" w:cs="宋体"/>
          <w:sz w:val="24"/>
          <w:szCs w:val="24"/>
        </w:rPr>
      </w:pPr>
      <w:r>
        <w:rPr>
          <w:rFonts w:hint="eastAsia" w:hAnsi="微软雅黑" w:cs="宋体"/>
          <w:sz w:val="24"/>
          <w:szCs w:val="24"/>
        </w:rPr>
        <w:t>8.1.1.2 工程基本信息包括工程名称、工程状态、工程类别、所属行政区划、所属单位、所属水行政主管部门，相关建设、设计、施工、监理、验收等单位信息，工程类别特性参数，政府安全负责人、水行政主管部门或上级单位安全负责人信息，工程主要责任人、分管安全负责人信息，经纬度等。</w:t>
      </w:r>
    </w:p>
    <w:p>
      <w:pPr>
        <w:pStyle w:val="3"/>
        <w:spacing w:line="440" w:lineRule="exact"/>
        <w:rPr>
          <w:rFonts w:ascii="黑体" w:hAnsi="黑体" w:eastAsia="黑体"/>
          <w:sz w:val="24"/>
          <w:szCs w:val="24"/>
        </w:rPr>
      </w:pPr>
      <w:bookmarkStart w:id="67" w:name="_Toc119336568"/>
      <w:r>
        <w:rPr>
          <w:rFonts w:hint="eastAsia" w:ascii="黑体" w:hAnsi="黑体" w:eastAsia="黑体" w:cs="Times New Roman"/>
          <w:sz w:val="24"/>
          <w:szCs w:val="24"/>
        </w:rPr>
        <w:t>8.2</w:t>
      </w:r>
      <w:r>
        <w:rPr>
          <w:rFonts w:ascii="黑体" w:hAnsi="黑体" w:eastAsia="黑体" w:cs="Times New Roman"/>
          <w:sz w:val="24"/>
          <w:szCs w:val="24"/>
        </w:rPr>
        <w:t xml:space="preserve"> </w:t>
      </w:r>
      <w:r>
        <w:rPr>
          <w:rFonts w:hint="eastAsia" w:ascii="黑体" w:hAnsi="黑体" w:eastAsia="黑体" w:cs="Times New Roman"/>
          <w:sz w:val="24"/>
          <w:szCs w:val="24"/>
        </w:rPr>
        <w:t>信息报告</w:t>
      </w:r>
      <w:bookmarkEnd w:id="67"/>
    </w:p>
    <w:p>
      <w:pPr>
        <w:spacing w:line="440" w:lineRule="exact"/>
        <w:ind w:firstLine="480" w:firstLineChars="200"/>
        <w:rPr>
          <w:rFonts w:hAnsi="微软雅黑" w:cs="宋体"/>
          <w:sz w:val="24"/>
          <w:szCs w:val="24"/>
        </w:rPr>
      </w:pPr>
      <w:r>
        <w:rPr>
          <w:rFonts w:hint="eastAsia" w:hAnsi="微软雅黑" w:cs="宋体"/>
          <w:sz w:val="24"/>
          <w:szCs w:val="24"/>
        </w:rPr>
        <w:t>8.2.1 各区县水行政主管部门、水利工程建设项目法人、水利工程管理单位、水文监测单位、勘测设计科研单位、后勤保障单位、由水利部门投资成立或管理水利工程的企业、有独立办公场所的水利事业单位或社团、乡镇水利管理单位等，应逐级向水行政主管部门申请注册，并填报单位安全生产信息。</w:t>
      </w:r>
    </w:p>
    <w:p>
      <w:pPr>
        <w:spacing w:line="440" w:lineRule="exact"/>
        <w:ind w:firstLine="480" w:firstLineChars="200"/>
        <w:rPr>
          <w:rFonts w:hAnsi="微软雅黑" w:cs="宋体"/>
          <w:sz w:val="24"/>
          <w:szCs w:val="24"/>
        </w:rPr>
      </w:pPr>
      <w:r>
        <w:rPr>
          <w:rFonts w:hint="eastAsia" w:hAnsi="微软雅黑" w:cs="宋体"/>
          <w:sz w:val="24"/>
          <w:szCs w:val="24"/>
        </w:rPr>
        <w:t>8.2.2 水库、小水电站、水闸、泵站、堤防、引调水工程、灌区工程、淤地坝、农村供水工程等</w:t>
      </w:r>
      <w:r>
        <w:rPr>
          <w:rFonts w:hAnsi="微软雅黑" w:cs="宋体"/>
          <w:sz w:val="24"/>
          <w:szCs w:val="24"/>
        </w:rPr>
        <w:t>9</w:t>
      </w:r>
      <w:r>
        <w:rPr>
          <w:rFonts w:hint="eastAsia" w:hAnsi="微软雅黑" w:cs="宋体"/>
          <w:sz w:val="24"/>
          <w:szCs w:val="24"/>
        </w:rPr>
        <w:t>类工程，所有规模以上工程（</w:t>
      </w:r>
      <w:bookmarkStart w:id="68" w:name="_Hlk117369299"/>
      <w:r>
        <w:rPr>
          <w:rFonts w:hint="eastAsia" w:hAnsi="微软雅黑" w:cs="宋体"/>
          <w:sz w:val="24"/>
          <w:szCs w:val="24"/>
        </w:rPr>
        <w:t>具体规模参见附录K《需录入信息系统的规模以上水利工程</w:t>
      </w:r>
      <w:bookmarkEnd w:id="68"/>
      <w:r>
        <w:rPr>
          <w:rFonts w:hint="eastAsia" w:hAnsi="微软雅黑" w:cs="宋体"/>
          <w:sz w:val="24"/>
          <w:szCs w:val="24"/>
        </w:rPr>
        <w:t>》），应由管理单位（项目法人）在信息系统填报工程安全生产信息。</w:t>
      </w:r>
    </w:p>
    <w:p>
      <w:pPr>
        <w:spacing w:line="440" w:lineRule="exact"/>
        <w:ind w:firstLine="480" w:firstLineChars="200"/>
        <w:rPr>
          <w:rFonts w:hAnsi="微软雅黑" w:cs="宋体"/>
          <w:sz w:val="24"/>
          <w:szCs w:val="24"/>
        </w:rPr>
      </w:pPr>
      <w:r>
        <w:rPr>
          <w:rFonts w:hint="eastAsia" w:hAnsi="微软雅黑" w:cs="宋体"/>
          <w:sz w:val="24"/>
          <w:szCs w:val="24"/>
        </w:rPr>
        <w:t>8.2.3 符合规定的新成立或组建的单位应及时向上级水行政主管部门申请注册，并按规定报告有关安全信息。在建工程由项目法人负责填报安全生产信息，运行工程由工程管理单位负责填报安全生产信息。新开工建设工程，项目法人应及时到信息系统增补工程安全生产信息。</w:t>
      </w:r>
    </w:p>
    <w:p>
      <w:pPr>
        <w:spacing w:line="440" w:lineRule="exact"/>
        <w:ind w:firstLine="480" w:firstLineChars="200"/>
        <w:rPr>
          <w:rFonts w:hAnsi="微软雅黑" w:cs="宋体"/>
          <w:sz w:val="24"/>
          <w:szCs w:val="24"/>
        </w:rPr>
      </w:pPr>
      <w:r>
        <w:rPr>
          <w:rFonts w:hint="eastAsia" w:hAnsi="微软雅黑" w:cs="宋体"/>
          <w:sz w:val="24"/>
          <w:szCs w:val="24"/>
        </w:rPr>
        <w:t>8.2.4 各单位（项目法人）负责填报本单位（工程）安全生产责任人（包括单位（工程）主要负责人、分管安全生产负责人）信息，并在每年1月31日前将单位安全生产责任人信息报送主管部门。各区县水行政主管部门负责填报工程基本信息中的政府、行业监管负责人（包括政府安全生产监管负责人、行业安全生产综合监管负责人、行业安全生产专业监管负责人）信息，并每年将政府、行业监管负责人信息在互联网上公布，供公众监督，同时报送上级水行政主管部门。责任人信息变动时，应及时在信息系统进行变更。</w:t>
      </w:r>
    </w:p>
    <w:p>
      <w:pPr>
        <w:spacing w:line="440" w:lineRule="exact"/>
        <w:ind w:firstLine="480" w:firstLineChars="200"/>
        <w:rPr>
          <w:rFonts w:hAnsi="微软雅黑" w:cs="宋体"/>
          <w:sz w:val="24"/>
          <w:szCs w:val="24"/>
        </w:rPr>
      </w:pPr>
      <w:r>
        <w:rPr>
          <w:rFonts w:hint="eastAsia" w:hAnsi="微软雅黑" w:cs="宋体"/>
          <w:sz w:val="24"/>
          <w:szCs w:val="24"/>
        </w:rPr>
        <w:t>8.2.5 本单位注册账号需逐级报请至市级水行政主管部门同意后方可停用或删除，并在停用或删除前由市级水行政主管部门函报水利部监督司备案。</w:t>
      </w:r>
    </w:p>
    <w:p>
      <w:pPr>
        <w:spacing w:line="440" w:lineRule="exact"/>
        <w:ind w:firstLine="480" w:firstLineChars="200"/>
        <w:rPr>
          <w:rFonts w:hAnsi="微软雅黑" w:cs="宋体"/>
          <w:sz w:val="24"/>
          <w:szCs w:val="24"/>
        </w:rPr>
      </w:pPr>
      <w:r>
        <w:rPr>
          <w:rFonts w:hint="eastAsia" w:hAnsi="微软雅黑" w:cs="宋体"/>
          <w:sz w:val="24"/>
          <w:szCs w:val="24"/>
        </w:rPr>
        <w:t>在建水利工程竣工后，如管理单位未发生变化，管理单位逐级函报市级水行政主管部门同意后，可直接变更为运行管理单位；如管理单位发生变更，需将原注册账号逐级函报市级水行政主管部门同意后停用或删除，重新注册现管理单位账号并补充基本信息。</w:t>
      </w:r>
    </w:p>
    <w:p>
      <w:pPr>
        <w:pStyle w:val="3"/>
        <w:spacing w:line="440" w:lineRule="exact"/>
        <w:rPr>
          <w:rFonts w:ascii="黑体" w:hAnsi="黑体" w:eastAsia="黑体" w:cs="宋体"/>
          <w:sz w:val="24"/>
          <w:szCs w:val="24"/>
        </w:rPr>
      </w:pPr>
      <w:bookmarkStart w:id="69" w:name="_Toc119336569"/>
      <w:r>
        <w:rPr>
          <w:rFonts w:hint="eastAsia" w:ascii="黑体" w:hAnsi="黑体" w:eastAsia="黑体" w:cs="宋体"/>
          <w:sz w:val="24"/>
          <w:szCs w:val="24"/>
        </w:rPr>
        <w:t>8.3 危险源信息</w:t>
      </w:r>
      <w:bookmarkEnd w:id="69"/>
      <w:r>
        <w:rPr>
          <w:rFonts w:hint="eastAsia" w:ascii="黑体" w:hAnsi="黑体" w:eastAsia="黑体" w:cs="宋体"/>
          <w:sz w:val="24"/>
          <w:szCs w:val="24"/>
        </w:rPr>
        <w:t xml:space="preserve"> </w:t>
      </w:r>
    </w:p>
    <w:p>
      <w:pPr>
        <w:spacing w:line="440" w:lineRule="exact"/>
        <w:ind w:firstLine="480" w:firstLineChars="200"/>
        <w:rPr>
          <w:rFonts w:hAnsi="微软雅黑" w:cs="宋体"/>
          <w:sz w:val="24"/>
          <w:szCs w:val="24"/>
        </w:rPr>
      </w:pPr>
      <w:r>
        <w:rPr>
          <w:rFonts w:hint="eastAsia" w:hAnsi="微软雅黑" w:cs="宋体"/>
          <w:sz w:val="24"/>
          <w:szCs w:val="24"/>
        </w:rPr>
        <w:t xml:space="preserve">8.3.1 危险源信息报告主要包括危险源基本信息、管控措施方案信息等。 </w:t>
      </w:r>
    </w:p>
    <w:p>
      <w:pPr>
        <w:spacing w:line="440" w:lineRule="exact"/>
        <w:ind w:firstLine="480" w:firstLineChars="200"/>
        <w:rPr>
          <w:rFonts w:hAnsi="微软雅黑" w:cs="宋体"/>
          <w:sz w:val="24"/>
          <w:szCs w:val="24"/>
        </w:rPr>
      </w:pPr>
      <w:r>
        <w:rPr>
          <w:rFonts w:hint="eastAsia" w:hAnsi="微软雅黑" w:cs="宋体"/>
          <w:sz w:val="24"/>
          <w:szCs w:val="24"/>
        </w:rPr>
        <w:t xml:space="preserve">8.3.2 危险源基本信息包括名称、情况、所在工程、级别、类型、风险等级、辨识单位、辨识人员、辨识日期等。 </w:t>
      </w:r>
    </w:p>
    <w:p>
      <w:pPr>
        <w:spacing w:line="440" w:lineRule="exact"/>
        <w:ind w:firstLine="480" w:firstLineChars="200"/>
        <w:rPr>
          <w:rFonts w:hAnsi="微软雅黑" w:cs="宋体"/>
          <w:sz w:val="24"/>
          <w:szCs w:val="24"/>
        </w:rPr>
      </w:pPr>
      <w:r>
        <w:rPr>
          <w:rFonts w:hint="eastAsia" w:hAnsi="微软雅黑" w:cs="宋体"/>
          <w:sz w:val="24"/>
          <w:szCs w:val="24"/>
        </w:rPr>
        <w:t>8.3.3管控措施方案信息包括管控目标和任务、安全防范应急方案、管控措施、管控责任单位、责任人等。</w:t>
      </w:r>
    </w:p>
    <w:p>
      <w:pPr>
        <w:spacing w:line="440" w:lineRule="exact"/>
        <w:ind w:firstLine="480" w:firstLineChars="200"/>
        <w:rPr>
          <w:rFonts w:hAnsi="微软雅黑" w:cs="宋体"/>
          <w:sz w:val="24"/>
          <w:szCs w:val="24"/>
        </w:rPr>
      </w:pPr>
      <w:r>
        <w:rPr>
          <w:rFonts w:hint="eastAsia" w:hAnsi="微软雅黑" w:cs="宋体"/>
          <w:sz w:val="24"/>
          <w:szCs w:val="24"/>
        </w:rPr>
        <w:t>8.3.4信息报告</w:t>
      </w:r>
    </w:p>
    <w:p>
      <w:pPr>
        <w:spacing w:line="440" w:lineRule="exact"/>
        <w:ind w:firstLine="480" w:firstLineChars="200"/>
        <w:rPr>
          <w:rFonts w:hAnsi="微软雅黑" w:cs="宋体"/>
          <w:sz w:val="24"/>
          <w:szCs w:val="24"/>
        </w:rPr>
      </w:pPr>
      <w:r>
        <w:rPr>
          <w:rFonts w:hint="eastAsia" w:hAnsi="微软雅黑" w:cs="宋体"/>
          <w:sz w:val="24"/>
          <w:szCs w:val="24"/>
        </w:rPr>
        <w:t xml:space="preserve">8.3.4.1 危险源级别、类型、风险等级信息，水利工程施工和水库、小水电站及配套电网、水闸、堤防、泵站、淤地坝工程运行分别按照《水利水电工程施工危险源辨识与风险评价导则（试行）》、《水利水电工程（水电站、泵站）运行危险源辨识与风险评价导则（试行）》、《水利水电工程（水库、水闸）运行危险源辨识与风险评价导则（试行）》、《水利水电工程（堤防、淤地坝）运行危险源辨识与风险评价导则（试行）》规定填报，其他工程根据实际情况自行确定并填报。 </w:t>
      </w:r>
    </w:p>
    <w:p>
      <w:pPr>
        <w:spacing w:line="440" w:lineRule="exact"/>
        <w:ind w:firstLine="480" w:firstLineChars="200"/>
        <w:rPr>
          <w:rFonts w:hAnsi="微软雅黑" w:cs="宋体"/>
          <w:sz w:val="24"/>
          <w:szCs w:val="24"/>
        </w:rPr>
      </w:pPr>
      <w:r>
        <w:rPr>
          <w:rFonts w:hint="eastAsia" w:hAnsi="微软雅黑" w:cs="宋体"/>
          <w:sz w:val="24"/>
          <w:szCs w:val="24"/>
        </w:rPr>
        <w:t xml:space="preserve">8.3.4.2 各单位（项目法人）负责填报本单位管理工程的危险源信息和管控措施方案信息，通过信息系统向有关水行政主管部门或单位备案重大危险源信息。危险源信息根据实际情况动态调整风险等级和管控措施，及时在信息系统更新。 </w:t>
      </w:r>
    </w:p>
    <w:p>
      <w:pPr>
        <w:spacing w:line="440" w:lineRule="exact"/>
        <w:ind w:firstLine="480" w:firstLineChars="200"/>
        <w:rPr>
          <w:rFonts w:hAnsi="微软雅黑" w:cs="宋体"/>
          <w:sz w:val="24"/>
          <w:szCs w:val="24"/>
        </w:rPr>
      </w:pPr>
      <w:r>
        <w:rPr>
          <w:rFonts w:hint="eastAsia" w:hAnsi="微软雅黑" w:cs="宋体"/>
          <w:sz w:val="24"/>
          <w:szCs w:val="24"/>
        </w:rPr>
        <w:t xml:space="preserve">8.3.4.3 水行政主管部门或有关单位组织的检查、督查、巡查、稽察中发现的危险源，由各单位（项目法人）及时登录信息系统，完善基本信息并填报管控措施方案信息。 </w:t>
      </w:r>
    </w:p>
    <w:p>
      <w:pPr>
        <w:spacing w:line="440" w:lineRule="exact"/>
        <w:ind w:firstLine="480" w:firstLineChars="200"/>
        <w:rPr>
          <w:rFonts w:hAnsi="微软雅黑" w:cs="宋体"/>
          <w:sz w:val="24"/>
          <w:szCs w:val="24"/>
        </w:rPr>
      </w:pPr>
      <w:r>
        <w:rPr>
          <w:rFonts w:hint="eastAsia" w:hAnsi="微软雅黑" w:cs="宋体"/>
          <w:sz w:val="24"/>
          <w:szCs w:val="24"/>
        </w:rPr>
        <w:t>8.3.4.4 危险源信息除通过信息系统报告外，还应依据有关法律法规规定，向有关政府及相关部门报告。</w:t>
      </w:r>
    </w:p>
    <w:p>
      <w:pPr>
        <w:spacing w:line="440" w:lineRule="exact"/>
        <w:ind w:firstLine="480" w:firstLineChars="200"/>
        <w:rPr>
          <w:rFonts w:hAnsi="微软雅黑" w:cs="宋体"/>
          <w:sz w:val="24"/>
          <w:szCs w:val="24"/>
        </w:rPr>
      </w:pPr>
      <w:r>
        <w:rPr>
          <w:rFonts w:hint="eastAsia" w:hAnsi="微软雅黑" w:cs="宋体"/>
          <w:sz w:val="24"/>
          <w:szCs w:val="24"/>
        </w:rPr>
        <w:t>8.3.5 信息处置</w:t>
      </w:r>
    </w:p>
    <w:p>
      <w:pPr>
        <w:spacing w:line="440" w:lineRule="exact"/>
        <w:ind w:firstLine="480" w:firstLineChars="200"/>
        <w:rPr>
          <w:rFonts w:hAnsi="微软雅黑" w:cs="宋体"/>
          <w:sz w:val="24"/>
          <w:szCs w:val="24"/>
        </w:rPr>
      </w:pPr>
      <w:r>
        <w:rPr>
          <w:rFonts w:hint="eastAsia" w:hAnsi="微软雅黑" w:cs="宋体"/>
          <w:sz w:val="24"/>
          <w:szCs w:val="24"/>
        </w:rPr>
        <w:t>8.3.5.1 各单位（项目法人）要建立安全风险公告制度，设置风险公告栏、岗位安全风险告知卡，重大安全风险工作场所要设置警示标志。</w:t>
      </w:r>
    </w:p>
    <w:p>
      <w:pPr>
        <w:spacing w:line="440" w:lineRule="exact"/>
        <w:ind w:firstLine="480" w:firstLineChars="200"/>
        <w:rPr>
          <w:rFonts w:hAnsi="微软雅黑" w:cs="宋体"/>
          <w:sz w:val="24"/>
          <w:szCs w:val="24"/>
        </w:rPr>
      </w:pPr>
      <w:r>
        <w:rPr>
          <w:rFonts w:hint="eastAsia" w:hAnsi="微软雅黑" w:cs="宋体"/>
          <w:sz w:val="24"/>
          <w:szCs w:val="24"/>
        </w:rPr>
        <w:t xml:space="preserve">8.3.5.2 各单位（项目法人）要按照安全风险等级实行分级管理，按规定落实各级单位、部门、车间（施工项目部）、班组（施工现场）、岗位（各工序施工作业面）的管控责任。 </w:t>
      </w:r>
    </w:p>
    <w:p>
      <w:pPr>
        <w:spacing w:line="440" w:lineRule="exact"/>
        <w:ind w:firstLine="480" w:firstLineChars="200"/>
        <w:rPr>
          <w:rFonts w:hAnsi="微软雅黑" w:cs="宋体"/>
          <w:sz w:val="24"/>
          <w:szCs w:val="24"/>
        </w:rPr>
      </w:pPr>
      <w:r>
        <w:rPr>
          <w:rFonts w:hint="eastAsia" w:hAnsi="微软雅黑" w:cs="宋体"/>
          <w:sz w:val="24"/>
          <w:szCs w:val="24"/>
        </w:rPr>
        <w:t xml:space="preserve">8.3.5.3 对重大危险源应当登记建档，进行定期检测、评估、监控，按照国家有关规定将本单位重大危险源及有关安全措施、应急措施报属地水行政主管部门备案，危险物品重大危险源要按照规定同时报有关地方人民政府应急管理部门备案。 </w:t>
      </w:r>
    </w:p>
    <w:p>
      <w:pPr>
        <w:spacing w:line="440" w:lineRule="exact"/>
        <w:ind w:firstLine="480" w:firstLineChars="200"/>
        <w:rPr>
          <w:rFonts w:hAnsi="微软雅黑" w:cs="宋体"/>
          <w:sz w:val="24"/>
          <w:szCs w:val="24"/>
        </w:rPr>
      </w:pPr>
      <w:r>
        <w:rPr>
          <w:rFonts w:hint="eastAsia" w:hAnsi="微软雅黑" w:cs="宋体"/>
          <w:sz w:val="24"/>
          <w:szCs w:val="24"/>
        </w:rPr>
        <w:t>8.3.5.4 水行政主管部门对管辖范围内备案的重大危险源信息，要明确监管责任，制定监管措施，督促指导水利生产经营单位强化管控。对未有效实施监测和控制的重大危险源，应作为重大隐患纳入信息系统并按规定挂牌督办。</w:t>
      </w:r>
    </w:p>
    <w:p>
      <w:pPr>
        <w:spacing w:line="440" w:lineRule="exact"/>
        <w:ind w:firstLine="480" w:firstLineChars="200"/>
        <w:rPr>
          <w:rFonts w:hAnsi="微软雅黑" w:cs="宋体"/>
          <w:sz w:val="24"/>
          <w:szCs w:val="24"/>
        </w:rPr>
      </w:pPr>
      <w:r>
        <w:rPr>
          <w:rFonts w:hint="eastAsia" w:hAnsi="微软雅黑" w:cs="宋体"/>
          <w:sz w:val="24"/>
          <w:szCs w:val="24"/>
        </w:rPr>
        <w:t>8.3.5.5 水行政主管部门要根据不同工程的风险情况，确定不同的监督检查频次、重点内容，实行差异化、精准化动态监管。</w:t>
      </w:r>
    </w:p>
    <w:p>
      <w:pPr>
        <w:pStyle w:val="3"/>
        <w:spacing w:line="440" w:lineRule="exact"/>
        <w:rPr>
          <w:rFonts w:ascii="黑体" w:hAnsi="黑体" w:eastAsia="黑体" w:cs="宋体"/>
          <w:sz w:val="24"/>
          <w:szCs w:val="24"/>
        </w:rPr>
      </w:pPr>
      <w:bookmarkStart w:id="70" w:name="_Toc119336570"/>
      <w:r>
        <w:rPr>
          <w:rFonts w:hint="eastAsia" w:ascii="黑体" w:hAnsi="黑体" w:eastAsia="黑体" w:cs="宋体"/>
          <w:sz w:val="24"/>
          <w:szCs w:val="24"/>
        </w:rPr>
        <w:t>8.4 隐患信息</w:t>
      </w:r>
      <w:bookmarkEnd w:id="70"/>
    </w:p>
    <w:p>
      <w:pPr>
        <w:spacing w:line="440" w:lineRule="exact"/>
        <w:ind w:firstLine="480" w:firstLineChars="200"/>
        <w:rPr>
          <w:rFonts w:hAnsi="微软雅黑" w:cs="宋体"/>
          <w:sz w:val="24"/>
          <w:szCs w:val="24"/>
        </w:rPr>
      </w:pPr>
      <w:r>
        <w:rPr>
          <w:rFonts w:hint="eastAsia" w:hAnsi="微软雅黑" w:cs="宋体"/>
          <w:sz w:val="24"/>
          <w:szCs w:val="24"/>
        </w:rPr>
        <w:t>8.4.1 隐患信息报告主要包括隐患基本信息、整改方案信息、整改进展信息、整改完成情况信息等四类信息。</w:t>
      </w:r>
    </w:p>
    <w:p>
      <w:pPr>
        <w:spacing w:line="440" w:lineRule="exact"/>
        <w:ind w:firstLine="480" w:firstLineChars="200"/>
        <w:rPr>
          <w:rFonts w:hAnsi="微软雅黑" w:cs="宋体"/>
          <w:sz w:val="24"/>
          <w:szCs w:val="24"/>
        </w:rPr>
      </w:pPr>
      <w:r>
        <w:rPr>
          <w:rFonts w:hint="eastAsia" w:hAnsi="微软雅黑" w:cs="宋体"/>
          <w:sz w:val="24"/>
          <w:szCs w:val="24"/>
        </w:rPr>
        <w:t>8.4.2 隐患基本信息包括名称、情况、所在工程、级别、类型、排查单位、排查人员、排查日期等。</w:t>
      </w:r>
    </w:p>
    <w:p>
      <w:pPr>
        <w:spacing w:line="440" w:lineRule="exact"/>
        <w:ind w:firstLine="480" w:firstLineChars="200"/>
        <w:rPr>
          <w:rFonts w:hAnsi="微软雅黑" w:cs="宋体"/>
          <w:sz w:val="24"/>
          <w:szCs w:val="24"/>
        </w:rPr>
      </w:pPr>
      <w:r>
        <w:rPr>
          <w:rFonts w:hint="eastAsia" w:hAnsi="微软雅黑" w:cs="宋体"/>
          <w:sz w:val="24"/>
          <w:szCs w:val="24"/>
        </w:rPr>
        <w:t>8.4.3 整改方案信息包括治理目标和任务、安全防范应急预案、整改措施、整改责任单位、责任人、资金落实情况、计划完成日期等。</w:t>
      </w:r>
    </w:p>
    <w:p>
      <w:pPr>
        <w:spacing w:line="440" w:lineRule="exact"/>
        <w:ind w:firstLine="480" w:firstLineChars="200"/>
        <w:rPr>
          <w:rFonts w:hAnsi="微软雅黑" w:cs="宋体"/>
          <w:sz w:val="24"/>
          <w:szCs w:val="24"/>
        </w:rPr>
      </w:pPr>
      <w:r>
        <w:rPr>
          <w:rFonts w:hint="eastAsia" w:hAnsi="微软雅黑" w:cs="宋体"/>
          <w:sz w:val="24"/>
          <w:szCs w:val="24"/>
        </w:rPr>
        <w:t>8.4.</w:t>
      </w:r>
      <w:r>
        <w:rPr>
          <w:rFonts w:hAnsi="微软雅黑" w:cs="宋体"/>
          <w:sz w:val="24"/>
          <w:szCs w:val="24"/>
        </w:rPr>
        <w:t>4</w:t>
      </w:r>
      <w:r>
        <w:rPr>
          <w:rFonts w:hint="eastAsia" w:hAnsi="微软雅黑" w:cs="宋体"/>
          <w:sz w:val="24"/>
          <w:szCs w:val="24"/>
        </w:rPr>
        <w:t xml:space="preserve"> 整改进展信息包括阶段性整改进展情况、填报时间人员等。</w:t>
      </w:r>
    </w:p>
    <w:p>
      <w:pPr>
        <w:spacing w:line="440" w:lineRule="exact"/>
        <w:ind w:firstLine="480" w:firstLineChars="200"/>
        <w:rPr>
          <w:rFonts w:hAnsi="微软雅黑" w:cs="宋体"/>
          <w:sz w:val="24"/>
          <w:szCs w:val="24"/>
        </w:rPr>
      </w:pPr>
      <w:r>
        <w:rPr>
          <w:rFonts w:hint="eastAsia" w:hAnsi="微软雅黑" w:cs="宋体"/>
          <w:sz w:val="24"/>
          <w:szCs w:val="24"/>
        </w:rPr>
        <w:t>8.4.</w:t>
      </w:r>
      <w:r>
        <w:rPr>
          <w:rFonts w:hAnsi="微软雅黑" w:cs="宋体"/>
          <w:sz w:val="24"/>
          <w:szCs w:val="24"/>
        </w:rPr>
        <w:t>5</w:t>
      </w:r>
      <w:r>
        <w:rPr>
          <w:rFonts w:hint="eastAsia" w:hAnsi="微软雅黑" w:cs="宋体"/>
          <w:sz w:val="24"/>
          <w:szCs w:val="24"/>
        </w:rPr>
        <w:t>整改完成情况包括实际完成日期、治理责任单位验收情况、验收责任人等。</w:t>
      </w:r>
    </w:p>
    <w:p>
      <w:pPr>
        <w:spacing w:line="440" w:lineRule="exact"/>
        <w:ind w:firstLine="480" w:firstLineChars="200"/>
        <w:rPr>
          <w:rFonts w:hAnsi="微软雅黑" w:cs="宋体"/>
          <w:sz w:val="24"/>
          <w:szCs w:val="24"/>
        </w:rPr>
      </w:pPr>
      <w:r>
        <w:rPr>
          <w:rFonts w:hint="eastAsia" w:hAnsi="微软雅黑" w:cs="宋体"/>
          <w:sz w:val="24"/>
          <w:szCs w:val="24"/>
        </w:rPr>
        <w:t>8.4.</w:t>
      </w:r>
      <w:r>
        <w:rPr>
          <w:rFonts w:hAnsi="微软雅黑" w:cs="宋体"/>
          <w:sz w:val="24"/>
          <w:szCs w:val="24"/>
        </w:rPr>
        <w:t>6</w:t>
      </w:r>
      <w:r>
        <w:rPr>
          <w:rFonts w:hint="eastAsia" w:hAnsi="微软雅黑" w:cs="宋体"/>
          <w:sz w:val="24"/>
          <w:szCs w:val="24"/>
        </w:rPr>
        <w:t xml:space="preserve"> 信息报告</w:t>
      </w:r>
    </w:p>
    <w:p>
      <w:pPr>
        <w:spacing w:line="440" w:lineRule="exact"/>
        <w:ind w:firstLine="480" w:firstLineChars="200"/>
        <w:rPr>
          <w:rFonts w:hAnsi="微软雅黑" w:cs="宋体"/>
          <w:sz w:val="24"/>
          <w:szCs w:val="24"/>
        </w:rPr>
      </w:pPr>
      <w:r>
        <w:rPr>
          <w:rFonts w:hint="eastAsia" w:hAnsi="微软雅黑" w:cs="宋体"/>
          <w:sz w:val="24"/>
          <w:szCs w:val="24"/>
        </w:rPr>
        <w:t>8.4.</w:t>
      </w:r>
      <w:r>
        <w:rPr>
          <w:rFonts w:hAnsi="微软雅黑" w:cs="宋体"/>
          <w:sz w:val="24"/>
          <w:szCs w:val="24"/>
        </w:rPr>
        <w:t>6</w:t>
      </w:r>
      <w:r>
        <w:rPr>
          <w:rFonts w:hint="eastAsia" w:hAnsi="微软雅黑" w:cs="宋体"/>
          <w:sz w:val="24"/>
          <w:szCs w:val="24"/>
        </w:rPr>
        <w:t>.1 隐患应按水库、小水电站及配套电网、水闸、泵站、堤防、引调水、灌溉排水、淤地坝、农村供水等工程建设与运行以及河道采砂、水文测验、水利工程勘测设计、水利科学研究实验与检验、后勤服务、综合经营、其他隐患等类型填报。</w:t>
      </w:r>
    </w:p>
    <w:p>
      <w:pPr>
        <w:spacing w:line="440" w:lineRule="exact"/>
        <w:ind w:firstLine="480" w:firstLineChars="200"/>
        <w:rPr>
          <w:rFonts w:hAnsi="微软雅黑" w:cs="宋体"/>
          <w:sz w:val="24"/>
          <w:szCs w:val="24"/>
        </w:rPr>
      </w:pPr>
      <w:r>
        <w:rPr>
          <w:rFonts w:hint="eastAsia" w:hAnsi="微软雅黑" w:cs="宋体"/>
          <w:sz w:val="24"/>
          <w:szCs w:val="24"/>
        </w:rPr>
        <w:t>8.4.</w:t>
      </w:r>
      <w:r>
        <w:rPr>
          <w:rFonts w:hAnsi="微软雅黑" w:cs="宋体"/>
          <w:sz w:val="24"/>
          <w:szCs w:val="24"/>
        </w:rPr>
        <w:t>6</w:t>
      </w:r>
      <w:r>
        <w:rPr>
          <w:rFonts w:hint="eastAsia" w:hAnsi="微软雅黑" w:cs="宋体"/>
          <w:sz w:val="24"/>
          <w:szCs w:val="24"/>
        </w:rPr>
        <w:t>.2 各单位负责填报本单位的隐患信息，项目法人、运行管理单位负责填报工程隐患信息。各单位要实时填报隐患信息，发现隐患应及时登录信息系统，制定并录入整改方案信息，随时将隐患整改进展情况录入信息系统，隐患治理完成要及时填报完成情况信息。隐患信息实行“零报告”制度，当月没有排查出隐患也要按时报告。</w:t>
      </w:r>
    </w:p>
    <w:p>
      <w:pPr>
        <w:spacing w:line="440" w:lineRule="exact"/>
        <w:ind w:firstLine="480" w:firstLineChars="200"/>
        <w:rPr>
          <w:rFonts w:hAnsi="微软雅黑" w:cs="宋体"/>
          <w:sz w:val="24"/>
          <w:szCs w:val="24"/>
        </w:rPr>
      </w:pPr>
      <w:r>
        <w:rPr>
          <w:rFonts w:hint="eastAsia" w:hAnsi="微软雅黑" w:cs="宋体"/>
          <w:sz w:val="24"/>
          <w:szCs w:val="24"/>
        </w:rPr>
        <w:t>8.4.</w:t>
      </w:r>
      <w:r>
        <w:rPr>
          <w:rFonts w:hAnsi="微软雅黑" w:cs="宋体"/>
          <w:sz w:val="24"/>
          <w:szCs w:val="24"/>
        </w:rPr>
        <w:t>6</w:t>
      </w:r>
      <w:r>
        <w:rPr>
          <w:rFonts w:hint="eastAsia" w:hAnsi="微软雅黑" w:cs="宋体"/>
          <w:sz w:val="24"/>
          <w:szCs w:val="24"/>
        </w:rPr>
        <w:t>.3 重大事故隐患须经单位（项目法人）主要负责人签字并形成电子扫描件后，通过信息系统上报。</w:t>
      </w:r>
    </w:p>
    <w:p>
      <w:pPr>
        <w:spacing w:line="440" w:lineRule="exact"/>
        <w:ind w:firstLine="480" w:firstLineChars="200"/>
        <w:rPr>
          <w:rFonts w:hAnsi="微软雅黑" w:cs="宋体"/>
          <w:sz w:val="24"/>
          <w:szCs w:val="24"/>
        </w:rPr>
      </w:pPr>
      <w:r>
        <w:rPr>
          <w:rFonts w:hint="eastAsia" w:hAnsi="微软雅黑" w:cs="宋体"/>
          <w:sz w:val="24"/>
          <w:szCs w:val="24"/>
        </w:rPr>
        <w:t>8.4.</w:t>
      </w:r>
      <w:r>
        <w:rPr>
          <w:rFonts w:hAnsi="微软雅黑" w:cs="宋体"/>
          <w:sz w:val="24"/>
          <w:szCs w:val="24"/>
        </w:rPr>
        <w:t>6</w:t>
      </w:r>
      <w:r>
        <w:rPr>
          <w:rFonts w:hint="eastAsia" w:hAnsi="微软雅黑" w:cs="宋体"/>
          <w:sz w:val="24"/>
          <w:szCs w:val="24"/>
        </w:rPr>
        <w:t>.4 水行政主管部门或有关单位组织的检查、督查、巡查、稽察中发现的隐患，由各单位（项目法人）及时登录信息系统，并按规定报告隐患相关信息。</w:t>
      </w:r>
    </w:p>
    <w:p>
      <w:pPr>
        <w:spacing w:line="440" w:lineRule="exact"/>
        <w:ind w:firstLine="480" w:firstLineChars="200"/>
        <w:rPr>
          <w:rFonts w:hAnsi="微软雅黑" w:cs="宋体"/>
          <w:sz w:val="24"/>
          <w:szCs w:val="24"/>
        </w:rPr>
      </w:pPr>
      <w:r>
        <w:rPr>
          <w:rFonts w:hint="eastAsia" w:hAnsi="微软雅黑" w:cs="宋体"/>
          <w:sz w:val="24"/>
          <w:szCs w:val="24"/>
        </w:rPr>
        <w:t>8.4.</w:t>
      </w:r>
      <w:r>
        <w:rPr>
          <w:rFonts w:hAnsi="微软雅黑" w:cs="宋体"/>
          <w:sz w:val="24"/>
          <w:szCs w:val="24"/>
        </w:rPr>
        <w:t>6</w:t>
      </w:r>
      <w:r>
        <w:rPr>
          <w:rFonts w:hint="eastAsia" w:hAnsi="微软雅黑" w:cs="宋体"/>
          <w:sz w:val="24"/>
          <w:szCs w:val="24"/>
        </w:rPr>
        <w:t>.5 隐患信息除通过信息系统报告外，还应依据有关法规规定，向有关政府及相关部门报告。</w:t>
      </w:r>
    </w:p>
    <w:p>
      <w:pPr>
        <w:spacing w:line="440" w:lineRule="exact"/>
        <w:ind w:firstLine="480" w:firstLineChars="200"/>
        <w:rPr>
          <w:rFonts w:hAnsi="微软雅黑" w:cs="宋体"/>
          <w:sz w:val="24"/>
          <w:szCs w:val="24"/>
        </w:rPr>
      </w:pPr>
      <w:r>
        <w:rPr>
          <w:rFonts w:hint="eastAsia" w:hAnsi="微软雅黑" w:cs="宋体"/>
          <w:sz w:val="24"/>
          <w:szCs w:val="24"/>
        </w:rPr>
        <w:t>8.4.</w:t>
      </w:r>
      <w:r>
        <w:rPr>
          <w:rFonts w:hAnsi="微软雅黑" w:cs="宋体"/>
          <w:sz w:val="24"/>
          <w:szCs w:val="24"/>
        </w:rPr>
        <w:t>6</w:t>
      </w:r>
      <w:r>
        <w:rPr>
          <w:rFonts w:hint="eastAsia" w:hAnsi="微软雅黑" w:cs="宋体"/>
          <w:sz w:val="24"/>
          <w:szCs w:val="24"/>
        </w:rPr>
        <w:t>.6 各区县水行政主管部门每月6日前将上月隐患排查治理情况进行汇总并通过信息系统报送市水利局。</w:t>
      </w:r>
    </w:p>
    <w:p>
      <w:pPr>
        <w:spacing w:line="440" w:lineRule="exact"/>
        <w:ind w:firstLine="480" w:firstLineChars="200"/>
        <w:rPr>
          <w:rFonts w:hAnsi="微软雅黑" w:cs="宋体"/>
          <w:sz w:val="24"/>
          <w:szCs w:val="24"/>
        </w:rPr>
      </w:pPr>
      <w:r>
        <w:rPr>
          <w:rFonts w:hint="eastAsia" w:hAnsi="微软雅黑" w:cs="宋体"/>
          <w:sz w:val="24"/>
          <w:szCs w:val="24"/>
        </w:rPr>
        <w:t>8.4.</w:t>
      </w:r>
      <w:r>
        <w:rPr>
          <w:rFonts w:hAnsi="微软雅黑" w:cs="宋体"/>
          <w:sz w:val="24"/>
          <w:szCs w:val="24"/>
        </w:rPr>
        <w:t>6</w:t>
      </w:r>
      <w:r>
        <w:rPr>
          <w:rFonts w:hint="eastAsia" w:hAnsi="微软雅黑" w:cs="宋体"/>
          <w:sz w:val="24"/>
          <w:szCs w:val="24"/>
        </w:rPr>
        <w:t>.7 隐患信息报告应当及时、准确和完整。任何单位和个人对隐患信息不得迟报、漏报、谎报和瞒报。</w:t>
      </w:r>
    </w:p>
    <w:p>
      <w:pPr>
        <w:spacing w:line="440" w:lineRule="exact"/>
        <w:ind w:firstLine="480" w:firstLineChars="200"/>
        <w:rPr>
          <w:rFonts w:hAnsi="微软雅黑" w:cs="宋体"/>
          <w:sz w:val="24"/>
          <w:szCs w:val="24"/>
        </w:rPr>
      </w:pPr>
      <w:r>
        <w:rPr>
          <w:rFonts w:hint="eastAsia" w:hAnsi="微软雅黑" w:cs="宋体"/>
          <w:sz w:val="24"/>
          <w:szCs w:val="24"/>
        </w:rPr>
        <w:t>8.4.</w:t>
      </w:r>
      <w:r>
        <w:rPr>
          <w:rFonts w:hAnsi="微软雅黑" w:cs="宋体"/>
          <w:sz w:val="24"/>
          <w:szCs w:val="24"/>
        </w:rPr>
        <w:t>7</w:t>
      </w:r>
      <w:r>
        <w:rPr>
          <w:rFonts w:hint="eastAsia" w:hAnsi="微软雅黑" w:cs="宋体"/>
          <w:sz w:val="24"/>
          <w:szCs w:val="24"/>
        </w:rPr>
        <w:t xml:space="preserve"> 信息处置</w:t>
      </w:r>
    </w:p>
    <w:p>
      <w:pPr>
        <w:spacing w:line="440" w:lineRule="exact"/>
        <w:ind w:firstLine="480" w:firstLineChars="200"/>
        <w:rPr>
          <w:rFonts w:hAnsi="微软雅黑" w:cs="宋体"/>
          <w:sz w:val="24"/>
          <w:szCs w:val="24"/>
        </w:rPr>
      </w:pPr>
      <w:r>
        <w:rPr>
          <w:rFonts w:hint="eastAsia" w:hAnsi="微软雅黑" w:cs="宋体"/>
          <w:sz w:val="24"/>
          <w:szCs w:val="24"/>
        </w:rPr>
        <w:t>8.4.</w:t>
      </w:r>
      <w:r>
        <w:rPr>
          <w:rFonts w:hAnsi="微软雅黑" w:cs="宋体"/>
          <w:sz w:val="24"/>
          <w:szCs w:val="24"/>
        </w:rPr>
        <w:t>7</w:t>
      </w:r>
      <w:r>
        <w:rPr>
          <w:rFonts w:hint="eastAsia" w:hAnsi="微软雅黑" w:cs="宋体"/>
          <w:sz w:val="24"/>
          <w:szCs w:val="24"/>
        </w:rPr>
        <w:t>.1 各单位（项目法人）应当定期通过职工代表大会、信息公示栏等方式，向从业人员通报事故隐患信息排查情况、整改方案、“五落实”情况、治理进展等情况。重大隐患排查治理情况应当及时向水行政主管部门和职工大会或职工代表大会报告。</w:t>
      </w:r>
    </w:p>
    <w:p>
      <w:pPr>
        <w:spacing w:line="440" w:lineRule="exact"/>
        <w:ind w:firstLine="480" w:firstLineChars="200"/>
        <w:rPr>
          <w:rFonts w:hAnsi="微软雅黑" w:cs="宋体"/>
          <w:sz w:val="24"/>
          <w:szCs w:val="24"/>
        </w:rPr>
      </w:pPr>
      <w:r>
        <w:rPr>
          <w:rFonts w:hint="eastAsia" w:hAnsi="微软雅黑" w:cs="宋体"/>
          <w:sz w:val="24"/>
          <w:szCs w:val="24"/>
        </w:rPr>
        <w:t>8.4.</w:t>
      </w:r>
      <w:r>
        <w:rPr>
          <w:rFonts w:hAnsi="微软雅黑" w:cs="宋体"/>
          <w:sz w:val="24"/>
          <w:szCs w:val="24"/>
        </w:rPr>
        <w:t>7</w:t>
      </w:r>
      <w:r>
        <w:rPr>
          <w:rFonts w:hint="eastAsia" w:hAnsi="微软雅黑" w:cs="宋体"/>
          <w:sz w:val="24"/>
          <w:szCs w:val="24"/>
        </w:rPr>
        <w:t>.2 各区县水行政主管部门应建立健全重大事故隐患治理督办制度，对上报的重大隐患信息进行督办跟踪，督促有关单位消除重大事故隐患。</w:t>
      </w:r>
    </w:p>
    <w:p>
      <w:pPr>
        <w:spacing w:line="440" w:lineRule="exact"/>
        <w:ind w:firstLine="480" w:firstLineChars="200"/>
        <w:rPr>
          <w:rFonts w:hAnsi="微软雅黑" w:cs="宋体"/>
          <w:sz w:val="24"/>
          <w:szCs w:val="24"/>
        </w:rPr>
      </w:pPr>
      <w:r>
        <w:rPr>
          <w:rFonts w:hint="eastAsia" w:hAnsi="微软雅黑" w:cs="宋体"/>
          <w:sz w:val="24"/>
          <w:szCs w:val="24"/>
        </w:rPr>
        <w:t>8.4.</w:t>
      </w:r>
      <w:r>
        <w:rPr>
          <w:rFonts w:hAnsi="微软雅黑" w:cs="宋体"/>
          <w:sz w:val="24"/>
          <w:szCs w:val="24"/>
        </w:rPr>
        <w:t>7</w:t>
      </w:r>
      <w:r>
        <w:rPr>
          <w:rFonts w:hint="eastAsia" w:hAnsi="微软雅黑" w:cs="宋体"/>
          <w:sz w:val="24"/>
          <w:szCs w:val="24"/>
        </w:rPr>
        <w:t>.3 各区县水行政主管部门应定期对隐患信息汇总统计，分析隐患整改率、重大隐患整改情况及存在的问题等，对本地区安全生产形势以及单位或工程安全状况进行判断分析，并提出相应的工作措施，确保安全生产。</w:t>
      </w:r>
    </w:p>
    <w:p>
      <w:pPr>
        <w:pStyle w:val="3"/>
        <w:spacing w:line="440" w:lineRule="exact"/>
        <w:rPr>
          <w:rFonts w:ascii="黑体" w:hAnsi="黑体" w:eastAsia="黑体" w:cs="宋体"/>
          <w:sz w:val="24"/>
          <w:szCs w:val="24"/>
        </w:rPr>
      </w:pPr>
      <w:bookmarkStart w:id="71" w:name="_Toc119336571"/>
      <w:r>
        <w:rPr>
          <w:rFonts w:hint="eastAsia" w:ascii="黑体" w:hAnsi="黑体" w:eastAsia="黑体" w:cs="宋体"/>
          <w:sz w:val="24"/>
          <w:szCs w:val="24"/>
        </w:rPr>
        <w:t>8.5 其他水利安全生产信息报告和处置</w:t>
      </w:r>
      <w:bookmarkEnd w:id="71"/>
    </w:p>
    <w:p>
      <w:pPr>
        <w:spacing w:line="440" w:lineRule="exact"/>
        <w:ind w:firstLine="480" w:firstLineChars="200"/>
        <w:rPr>
          <w:rFonts w:hAnsi="微软雅黑" w:cs="宋体"/>
          <w:sz w:val="24"/>
          <w:szCs w:val="24"/>
        </w:rPr>
      </w:pPr>
      <w:r>
        <w:rPr>
          <w:rFonts w:hint="eastAsia" w:hAnsi="微软雅黑" w:cs="宋体"/>
          <w:sz w:val="24"/>
          <w:szCs w:val="24"/>
        </w:rPr>
        <w:t>其他未列出的水利安全生产信息报告和处置执行《水利安全生产信息报告和处置规则》（水监督〔2022〕156号）相关规定。</w:t>
      </w:r>
    </w:p>
    <w:p>
      <w:pPr>
        <w:jc w:val="left"/>
        <w:rPr>
          <w:rFonts w:hAnsi="微软雅黑" w:cs="宋体"/>
          <w:sz w:val="24"/>
          <w:szCs w:val="24"/>
        </w:rPr>
      </w:pPr>
      <w:r>
        <w:rPr>
          <w:rFonts w:hAnsi="微软雅黑" w:cs="宋体"/>
          <w:sz w:val="24"/>
          <w:szCs w:val="24"/>
        </w:rPr>
        <w:br w:type="page"/>
      </w:r>
    </w:p>
    <w:p>
      <w:pPr>
        <w:pStyle w:val="2"/>
        <w:spacing w:line="440" w:lineRule="exact"/>
        <w:rPr>
          <w:rFonts w:ascii="黑体" w:hAnsi="黑体" w:eastAsia="黑体" w:cs="宋体"/>
          <w:b/>
          <w:sz w:val="24"/>
          <w:szCs w:val="24"/>
        </w:rPr>
      </w:pPr>
      <w:bookmarkStart w:id="72" w:name="_Toc119336572"/>
      <w:r>
        <w:rPr>
          <w:rFonts w:hint="eastAsia" w:ascii="黑体" w:hAnsi="黑体" w:eastAsia="黑体" w:cs="宋体"/>
          <w:b/>
          <w:sz w:val="24"/>
          <w:szCs w:val="24"/>
        </w:rPr>
        <w:t>9 附则</w:t>
      </w:r>
      <w:bookmarkEnd w:id="72"/>
    </w:p>
    <w:p>
      <w:pPr>
        <w:spacing w:line="440" w:lineRule="exact"/>
        <w:ind w:firstLine="480" w:firstLineChars="200"/>
        <w:rPr>
          <w:rFonts w:hAnsi="微软雅黑" w:cs="宋体"/>
          <w:sz w:val="24"/>
          <w:szCs w:val="24"/>
        </w:rPr>
      </w:pPr>
      <w:r>
        <w:rPr>
          <w:rFonts w:hint="eastAsia" w:hAnsi="微软雅黑" w:cs="宋体"/>
          <w:sz w:val="24"/>
          <w:szCs w:val="24"/>
        </w:rPr>
        <w:t>9.1 各有关部门、单位要根据本实施细则，制定或完善本部门、单位所管辖风险管控工作，以及落实本实施细则，结合实际明确风险管控工作的流程和分工。</w:t>
      </w:r>
    </w:p>
    <w:p>
      <w:pPr>
        <w:spacing w:line="440" w:lineRule="exact"/>
        <w:ind w:firstLine="480" w:firstLineChars="200"/>
        <w:rPr>
          <w:rFonts w:hAnsi="微软雅黑" w:cs="宋体"/>
          <w:sz w:val="24"/>
          <w:szCs w:val="24"/>
        </w:rPr>
      </w:pPr>
      <w:r>
        <w:rPr>
          <w:rFonts w:hint="eastAsia" w:hAnsi="微软雅黑" w:cs="宋体"/>
          <w:sz w:val="24"/>
          <w:szCs w:val="24"/>
        </w:rPr>
        <w:t>9.2 安全风险管控工作中涉及的秘密信息和敏感信息应严格按照国家有关法律法规处理。</w:t>
      </w:r>
    </w:p>
    <w:p>
      <w:pPr>
        <w:spacing w:line="440" w:lineRule="exact"/>
        <w:ind w:firstLine="480" w:firstLineChars="200"/>
        <w:rPr>
          <w:rFonts w:hAnsi="微软雅黑" w:cs="宋体"/>
          <w:sz w:val="24"/>
          <w:szCs w:val="24"/>
        </w:rPr>
      </w:pPr>
      <w:r>
        <w:rPr>
          <w:rFonts w:hint="eastAsia" w:hAnsi="微软雅黑" w:cs="宋体"/>
          <w:sz w:val="24"/>
          <w:szCs w:val="24"/>
        </w:rPr>
        <w:t>9.3 本实施细则由重庆市水利局安全生产领导小组办公室负责解释。</w:t>
      </w:r>
    </w:p>
    <w:p>
      <w:pPr>
        <w:spacing w:line="440" w:lineRule="exact"/>
        <w:ind w:firstLine="480" w:firstLineChars="200"/>
        <w:rPr>
          <w:sz w:val="24"/>
          <w:szCs w:val="24"/>
        </w:rPr>
      </w:pPr>
    </w:p>
    <w:p>
      <w:pPr>
        <w:pStyle w:val="2"/>
        <w:spacing w:line="440" w:lineRule="exact"/>
        <w:rPr>
          <w:rFonts w:ascii="黑体" w:hAnsi="黑体" w:eastAsia="黑体" w:cs="宋体"/>
          <w:b/>
          <w:sz w:val="24"/>
          <w:szCs w:val="24"/>
        </w:rPr>
        <w:sectPr>
          <w:pgSz w:w="11906" w:h="16838"/>
          <w:pgMar w:top="1440" w:right="1797" w:bottom="1440" w:left="1797" w:header="851" w:footer="992" w:gutter="0"/>
          <w:pgNumType w:start="1"/>
          <w:cols w:space="425" w:num="1"/>
          <w:docGrid w:type="lines" w:linePitch="312" w:charSpace="0"/>
        </w:sectPr>
      </w:pPr>
      <w:bookmarkStart w:id="73" w:name="_Toc119336573"/>
      <w:r>
        <w:rPr>
          <w:rFonts w:hint="eastAsia" w:ascii="黑体" w:hAnsi="黑体" w:eastAsia="黑体" w:cs="宋体"/>
          <w:b/>
          <w:sz w:val="24"/>
          <w:szCs w:val="24"/>
        </w:rPr>
        <w:t>附录（资料性附录）</w:t>
      </w:r>
      <w:bookmarkEnd w:id="73"/>
    </w:p>
    <w:p>
      <w:pPr>
        <w:jc w:val="center"/>
        <w:outlineLvl w:val="0"/>
        <w:rPr>
          <w:rFonts w:ascii="方正小标宋_GBK" w:hAnsi="黑体" w:eastAsia="方正小标宋_GBK"/>
          <w:b/>
          <w:bCs/>
          <w:sz w:val="28"/>
          <w:szCs w:val="28"/>
        </w:rPr>
      </w:pPr>
      <w:bookmarkStart w:id="74" w:name="_Toc117541293"/>
      <w:bookmarkStart w:id="75" w:name="_Toc119336574"/>
      <w:r>
        <w:rPr>
          <w:rFonts w:hint="eastAsia" w:ascii="方正小标宋_GBK" w:hAnsi="黑体" w:eastAsia="方正小标宋_GBK"/>
          <w:b/>
          <w:bCs/>
          <w:sz w:val="28"/>
          <w:szCs w:val="28"/>
        </w:rPr>
        <w:t>附录A</w:t>
      </w:r>
      <w:r>
        <w:rPr>
          <w:rFonts w:ascii="方正小标宋_GBK" w:hAnsi="黑体" w:eastAsia="方正小标宋_GBK"/>
          <w:b/>
          <w:bCs/>
          <w:sz w:val="28"/>
          <w:szCs w:val="28"/>
        </w:rPr>
        <w:t>.1</w:t>
      </w:r>
      <w:bookmarkEnd w:id="74"/>
      <w:bookmarkEnd w:id="75"/>
    </w:p>
    <w:p>
      <w:pPr>
        <w:jc w:val="center"/>
        <w:rPr>
          <w:rFonts w:ascii="方正小标宋_GBK" w:hAnsi="黑体" w:eastAsia="方正小标宋_GBK"/>
          <w:b/>
          <w:bCs/>
          <w:sz w:val="28"/>
          <w:szCs w:val="28"/>
        </w:rPr>
      </w:pPr>
      <w:r>
        <w:rPr>
          <w:rFonts w:hint="eastAsia" w:ascii="方正小标宋_GBK" w:hAnsi="黑体" w:eastAsia="方正小标宋_GBK"/>
          <w:b/>
          <w:bCs/>
          <w:sz w:val="28"/>
          <w:szCs w:val="28"/>
        </w:rPr>
        <w:t>（资料性附录）</w:t>
      </w:r>
    </w:p>
    <w:p>
      <w:pPr>
        <w:jc w:val="center"/>
        <w:rPr>
          <w:rFonts w:ascii="方正小标宋_GBK" w:hAnsi="黑体" w:eastAsia="方正小标宋_GBK"/>
          <w:b/>
          <w:bCs/>
          <w:sz w:val="28"/>
          <w:szCs w:val="28"/>
        </w:rPr>
      </w:pPr>
      <w:r>
        <w:rPr>
          <w:rFonts w:hint="eastAsia" w:ascii="方正小标宋_GBK" w:hAnsi="黑体" w:eastAsia="方正小标宋_GBK"/>
          <w:b/>
          <w:bCs/>
          <w:sz w:val="28"/>
          <w:szCs w:val="28"/>
        </w:rPr>
        <w:t>《水利水电工程施工重大危险源清单》</w:t>
      </w:r>
    </w:p>
    <w:p>
      <w:pPr>
        <w:jc w:val="center"/>
        <w:rPr>
          <w:rFonts w:ascii="方正小标宋_GBK" w:hAnsi="黑体" w:eastAsia="方正小标宋_GBK"/>
          <w:b/>
          <w:bCs/>
          <w:sz w:val="28"/>
          <w:szCs w:val="28"/>
        </w:rPr>
      </w:pPr>
    </w:p>
    <w:p>
      <w:pPr>
        <w:jc w:val="center"/>
        <w:outlineLvl w:val="1"/>
        <w:rPr>
          <w:rFonts w:ascii="方正小标宋_GBK" w:hAnsi="黑体" w:eastAsia="方正小标宋_GBK"/>
          <w:b/>
          <w:bCs/>
          <w:sz w:val="28"/>
          <w:szCs w:val="28"/>
        </w:rPr>
      </w:pPr>
      <w:bookmarkStart w:id="76" w:name="_Toc117541294"/>
      <w:bookmarkStart w:id="77" w:name="_Toc119336575"/>
      <w:r>
        <w:rPr>
          <w:rFonts w:hint="eastAsia" w:ascii="方正小标宋_GBK" w:hAnsi="黑体" w:eastAsia="方正小标宋_GBK"/>
          <w:b/>
          <w:bCs/>
          <w:sz w:val="28"/>
          <w:szCs w:val="28"/>
        </w:rPr>
        <w:t>水利水电工程施工重大危险源清单（指南）</w:t>
      </w:r>
      <w:bookmarkEnd w:id="76"/>
      <w:bookmarkEnd w:id="77"/>
    </w:p>
    <w:tbl>
      <w:tblPr>
        <w:tblStyle w:val="34"/>
        <w:tblW w:w="85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8"/>
        <w:gridCol w:w="752"/>
        <w:gridCol w:w="1039"/>
        <w:gridCol w:w="3772"/>
        <w:gridCol w:w="2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688" w:type="dxa"/>
            <w:vAlign w:val="center"/>
          </w:tcPr>
          <w:p>
            <w:pPr>
              <w:snapToGrid w:val="0"/>
              <w:jc w:val="center"/>
              <w:rPr>
                <w:rFonts w:cs="宋体" w:asciiTheme="minorEastAsia" w:hAnsiTheme="minorEastAsia" w:eastAsiaTheme="minorEastAsia"/>
                <w:b/>
                <w:bCs/>
                <w:sz w:val="18"/>
                <w:szCs w:val="18"/>
              </w:rPr>
            </w:pPr>
            <w:r>
              <w:rPr>
                <w:rFonts w:hint="eastAsia" w:cs="宋体" w:asciiTheme="minorEastAsia" w:hAnsiTheme="minorEastAsia" w:eastAsiaTheme="minorEastAsia"/>
                <w:b/>
                <w:bCs/>
                <w:sz w:val="18"/>
                <w:szCs w:val="18"/>
              </w:rPr>
              <w:t>序号</w:t>
            </w:r>
          </w:p>
        </w:tc>
        <w:tc>
          <w:tcPr>
            <w:tcW w:w="752" w:type="dxa"/>
            <w:vAlign w:val="center"/>
          </w:tcPr>
          <w:p>
            <w:pPr>
              <w:snapToGrid w:val="0"/>
              <w:jc w:val="center"/>
              <w:rPr>
                <w:rFonts w:cs="宋体" w:asciiTheme="minorEastAsia" w:hAnsiTheme="minorEastAsia" w:eastAsiaTheme="minorEastAsia"/>
                <w:b/>
                <w:bCs/>
                <w:sz w:val="18"/>
                <w:szCs w:val="18"/>
              </w:rPr>
            </w:pPr>
            <w:r>
              <w:rPr>
                <w:rFonts w:hint="eastAsia" w:cs="宋体" w:asciiTheme="minorEastAsia" w:hAnsiTheme="minorEastAsia" w:eastAsiaTheme="minorEastAsia"/>
                <w:b/>
                <w:bCs/>
                <w:sz w:val="18"/>
                <w:szCs w:val="18"/>
              </w:rPr>
              <w:t>类别</w:t>
            </w:r>
          </w:p>
        </w:tc>
        <w:tc>
          <w:tcPr>
            <w:tcW w:w="1039" w:type="dxa"/>
            <w:vAlign w:val="center"/>
          </w:tcPr>
          <w:p>
            <w:pPr>
              <w:snapToGrid w:val="0"/>
              <w:jc w:val="center"/>
              <w:rPr>
                <w:rFonts w:cs="宋体" w:asciiTheme="minorEastAsia" w:hAnsiTheme="minorEastAsia" w:eastAsiaTheme="minorEastAsia"/>
                <w:b/>
                <w:bCs/>
                <w:sz w:val="18"/>
                <w:szCs w:val="18"/>
              </w:rPr>
            </w:pPr>
            <w:r>
              <w:rPr>
                <w:rFonts w:hint="eastAsia" w:cs="宋体" w:asciiTheme="minorEastAsia" w:hAnsiTheme="minorEastAsia" w:eastAsiaTheme="minorEastAsia"/>
                <w:b/>
                <w:bCs/>
                <w:sz w:val="18"/>
                <w:szCs w:val="18"/>
              </w:rPr>
              <w:t>项目</w:t>
            </w:r>
          </w:p>
        </w:tc>
        <w:tc>
          <w:tcPr>
            <w:tcW w:w="3772" w:type="dxa"/>
            <w:vAlign w:val="center"/>
          </w:tcPr>
          <w:p>
            <w:pPr>
              <w:snapToGrid w:val="0"/>
              <w:jc w:val="center"/>
              <w:rPr>
                <w:rFonts w:cs="宋体" w:asciiTheme="minorEastAsia" w:hAnsiTheme="minorEastAsia" w:eastAsiaTheme="minorEastAsia"/>
                <w:b/>
                <w:bCs/>
                <w:sz w:val="18"/>
                <w:szCs w:val="18"/>
              </w:rPr>
            </w:pPr>
            <w:r>
              <w:rPr>
                <w:rFonts w:hint="eastAsia" w:cs="宋体" w:asciiTheme="minorEastAsia" w:hAnsiTheme="minorEastAsia" w:eastAsiaTheme="minorEastAsia"/>
                <w:b/>
                <w:bCs/>
                <w:sz w:val="18"/>
                <w:szCs w:val="18"/>
              </w:rPr>
              <w:t>重大危险源</w:t>
            </w:r>
          </w:p>
        </w:tc>
        <w:tc>
          <w:tcPr>
            <w:tcW w:w="2260" w:type="dxa"/>
            <w:vAlign w:val="center"/>
          </w:tcPr>
          <w:p>
            <w:pPr>
              <w:snapToGrid w:val="0"/>
              <w:jc w:val="center"/>
              <w:rPr>
                <w:rFonts w:cs="宋体" w:asciiTheme="minorEastAsia" w:hAnsiTheme="minorEastAsia" w:eastAsiaTheme="minorEastAsia"/>
                <w:b/>
                <w:bCs/>
                <w:sz w:val="18"/>
                <w:szCs w:val="18"/>
              </w:rPr>
            </w:pPr>
            <w:r>
              <w:rPr>
                <w:rFonts w:hint="eastAsia" w:cs="宋体" w:asciiTheme="minorEastAsia" w:hAnsiTheme="minorEastAsia" w:eastAsiaTheme="minorEastAsia"/>
                <w:b/>
                <w:bCs/>
                <w:sz w:val="18"/>
                <w:szCs w:val="18"/>
              </w:rPr>
              <w:t>可能导致的事故类型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88" w:type="dxa"/>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1</w:t>
            </w:r>
          </w:p>
        </w:tc>
        <w:tc>
          <w:tcPr>
            <w:tcW w:w="752" w:type="dxa"/>
            <w:vMerge w:val="restart"/>
            <w:vAlign w:val="center"/>
          </w:tcPr>
          <w:p>
            <w:pPr>
              <w:snapToGrid w:val="0"/>
              <w:jc w:val="center"/>
              <w:rPr>
                <w:rFonts w:cs="宋体" w:asciiTheme="minorEastAsia" w:hAnsiTheme="minorEastAsia" w:eastAsiaTheme="minorEastAsia"/>
                <w:sz w:val="18"/>
                <w:szCs w:val="18"/>
              </w:rPr>
            </w:pPr>
          </w:p>
          <w:p>
            <w:pPr>
              <w:snapToGrid w:val="0"/>
              <w:jc w:val="center"/>
              <w:rPr>
                <w:rFonts w:cs="宋体" w:asciiTheme="minorEastAsia" w:hAnsiTheme="minorEastAsia" w:eastAsiaTheme="minorEastAsia"/>
                <w:sz w:val="18"/>
                <w:szCs w:val="18"/>
              </w:rPr>
            </w:pPr>
          </w:p>
          <w:p>
            <w:pPr>
              <w:snapToGrid w:val="0"/>
              <w:jc w:val="center"/>
              <w:rPr>
                <w:rFonts w:cs="宋体" w:asciiTheme="minorEastAsia" w:hAnsiTheme="minorEastAsia" w:eastAsiaTheme="minorEastAsia"/>
                <w:sz w:val="18"/>
                <w:szCs w:val="18"/>
              </w:rPr>
            </w:pPr>
          </w:p>
          <w:p>
            <w:pPr>
              <w:snapToGrid w:val="0"/>
              <w:jc w:val="center"/>
              <w:rPr>
                <w:rFonts w:cs="宋体" w:asciiTheme="minorEastAsia" w:hAnsiTheme="minorEastAsia" w:eastAsiaTheme="minorEastAsia"/>
                <w:sz w:val="18"/>
                <w:szCs w:val="18"/>
              </w:rPr>
            </w:pPr>
          </w:p>
          <w:p>
            <w:pPr>
              <w:snapToGrid w:val="0"/>
              <w:jc w:val="center"/>
              <w:rPr>
                <w:rFonts w:cs="宋体" w:asciiTheme="minorEastAsia" w:hAnsiTheme="minorEastAsia" w:eastAsiaTheme="minorEastAsia"/>
                <w:sz w:val="18"/>
                <w:szCs w:val="18"/>
              </w:rPr>
            </w:pPr>
          </w:p>
          <w:p>
            <w:pPr>
              <w:snapToGrid w:val="0"/>
              <w:jc w:val="center"/>
              <w:rPr>
                <w:rFonts w:cs="宋体" w:asciiTheme="minorEastAsia" w:hAnsiTheme="minorEastAsia" w:eastAsiaTheme="minorEastAsia"/>
                <w:sz w:val="18"/>
                <w:szCs w:val="18"/>
              </w:rPr>
            </w:pPr>
          </w:p>
          <w:p>
            <w:pPr>
              <w:snapToGrid w:val="0"/>
              <w:jc w:val="center"/>
              <w:rPr>
                <w:rFonts w:cs="宋体" w:asciiTheme="minorEastAsia" w:hAnsiTheme="minorEastAsia" w:eastAsiaTheme="minorEastAsia"/>
                <w:sz w:val="18"/>
                <w:szCs w:val="18"/>
              </w:rPr>
            </w:pPr>
          </w:p>
          <w:p>
            <w:pPr>
              <w:snapToGrid w:val="0"/>
              <w:jc w:val="center"/>
              <w:rPr>
                <w:rFonts w:cs="宋体" w:asciiTheme="minorEastAsia" w:hAnsiTheme="minorEastAsia" w:eastAsiaTheme="minorEastAsia"/>
                <w:sz w:val="18"/>
                <w:szCs w:val="18"/>
              </w:rPr>
            </w:pPr>
          </w:p>
          <w:p>
            <w:pPr>
              <w:snapToGrid w:val="0"/>
              <w:jc w:val="center"/>
              <w:rPr>
                <w:rFonts w:cs="宋体" w:asciiTheme="minorEastAsia" w:hAnsiTheme="minorEastAsia" w:eastAsiaTheme="minorEastAsia"/>
                <w:sz w:val="18"/>
                <w:szCs w:val="18"/>
              </w:rPr>
            </w:pPr>
          </w:p>
          <w:p>
            <w:pPr>
              <w:widowControl w:val="0"/>
              <w:snapToGrid w:val="0"/>
              <w:ind w:firstLine="360" w:firstLineChars="200"/>
              <w:jc w:val="center"/>
              <w:rPr>
                <w:rFonts w:cs="宋体" w:asciiTheme="minorEastAsia" w:hAnsiTheme="minorEastAsia" w:eastAsiaTheme="minorEastAsia"/>
                <w:sz w:val="18"/>
                <w:szCs w:val="18"/>
              </w:rPr>
            </w:pPr>
          </w:p>
          <w:p>
            <w:pPr>
              <w:widowControl w:val="0"/>
              <w:snapToGrid w:val="0"/>
              <w:ind w:firstLine="360" w:firstLineChars="200"/>
              <w:jc w:val="center"/>
              <w:rPr>
                <w:rFonts w:cs="宋体" w:asciiTheme="minorEastAsia" w:hAnsiTheme="minorEastAsia" w:eastAsiaTheme="minorEastAsia"/>
                <w:sz w:val="18"/>
                <w:szCs w:val="18"/>
              </w:rPr>
            </w:pPr>
          </w:p>
          <w:p>
            <w:pPr>
              <w:widowControl w:val="0"/>
              <w:snapToGrid w:val="0"/>
              <w:ind w:firstLine="360" w:firstLineChars="200"/>
              <w:jc w:val="center"/>
              <w:rPr>
                <w:rFonts w:cs="宋体" w:asciiTheme="minorEastAsia" w:hAnsiTheme="minorEastAsia" w:eastAsiaTheme="minorEastAsia"/>
                <w:sz w:val="18"/>
                <w:szCs w:val="18"/>
              </w:rPr>
            </w:pPr>
          </w:p>
          <w:p>
            <w:pPr>
              <w:snapToGrid w:val="0"/>
              <w:jc w:val="center"/>
              <w:rPr>
                <w:rFonts w:cs="宋体" w:asciiTheme="minorEastAsia" w:hAnsiTheme="minorEastAsia" w:eastAsiaTheme="minorEastAsia"/>
                <w:sz w:val="18"/>
                <w:szCs w:val="18"/>
              </w:rPr>
            </w:pPr>
          </w:p>
          <w:p>
            <w:pPr>
              <w:snapToGrid w:val="0"/>
              <w:jc w:val="center"/>
              <w:rPr>
                <w:rFonts w:cs="宋体" w:asciiTheme="minorEastAsia" w:hAnsiTheme="minorEastAsia" w:eastAsiaTheme="minorEastAsia"/>
                <w:sz w:val="18"/>
                <w:szCs w:val="18"/>
              </w:rPr>
            </w:pPr>
          </w:p>
          <w:p>
            <w:pPr>
              <w:snapToGrid w:val="0"/>
              <w:jc w:val="center"/>
              <w:rPr>
                <w:rFonts w:cs="宋体" w:asciiTheme="minorEastAsia" w:hAnsiTheme="minorEastAsia" w:eastAsiaTheme="minorEastAsia"/>
                <w:sz w:val="18"/>
                <w:szCs w:val="18"/>
              </w:rPr>
            </w:pPr>
          </w:p>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施工作业类</w:t>
            </w:r>
          </w:p>
          <w:p>
            <w:pPr>
              <w:snapToGrid w:val="0"/>
              <w:jc w:val="center"/>
              <w:rPr>
                <w:rFonts w:cs="宋体" w:asciiTheme="minorEastAsia" w:hAnsiTheme="minorEastAsia" w:eastAsiaTheme="minorEastAsia"/>
                <w:sz w:val="18"/>
                <w:szCs w:val="18"/>
              </w:rPr>
            </w:pPr>
          </w:p>
          <w:p>
            <w:pPr>
              <w:snapToGrid w:val="0"/>
              <w:jc w:val="center"/>
              <w:rPr>
                <w:rFonts w:cs="宋体" w:asciiTheme="minorEastAsia" w:hAnsiTheme="minorEastAsia" w:eastAsiaTheme="minorEastAsia"/>
                <w:sz w:val="18"/>
                <w:szCs w:val="18"/>
              </w:rPr>
            </w:pPr>
          </w:p>
          <w:p>
            <w:pPr>
              <w:snapToGrid w:val="0"/>
              <w:jc w:val="center"/>
              <w:rPr>
                <w:rFonts w:cs="宋体" w:asciiTheme="minorEastAsia" w:hAnsiTheme="minorEastAsia" w:eastAsiaTheme="minorEastAsia"/>
                <w:sz w:val="18"/>
                <w:szCs w:val="18"/>
              </w:rPr>
            </w:pPr>
          </w:p>
          <w:p>
            <w:pPr>
              <w:snapToGrid w:val="0"/>
              <w:jc w:val="center"/>
              <w:rPr>
                <w:rFonts w:cs="宋体" w:asciiTheme="minorEastAsia" w:hAnsiTheme="minorEastAsia" w:eastAsiaTheme="minorEastAsia"/>
                <w:sz w:val="18"/>
                <w:szCs w:val="18"/>
              </w:rPr>
            </w:pPr>
          </w:p>
          <w:p>
            <w:pPr>
              <w:snapToGrid w:val="0"/>
              <w:jc w:val="center"/>
              <w:rPr>
                <w:rFonts w:cs="宋体" w:asciiTheme="minorEastAsia" w:hAnsiTheme="minorEastAsia" w:eastAsiaTheme="minorEastAsia"/>
                <w:sz w:val="18"/>
                <w:szCs w:val="18"/>
              </w:rPr>
            </w:pPr>
          </w:p>
          <w:p>
            <w:pPr>
              <w:snapToGrid w:val="0"/>
              <w:jc w:val="center"/>
              <w:rPr>
                <w:rFonts w:cs="宋体" w:asciiTheme="minorEastAsia" w:hAnsiTheme="minorEastAsia" w:eastAsiaTheme="minorEastAsia"/>
                <w:sz w:val="18"/>
                <w:szCs w:val="18"/>
              </w:rPr>
            </w:pPr>
          </w:p>
          <w:p>
            <w:pPr>
              <w:snapToGrid w:val="0"/>
              <w:jc w:val="center"/>
              <w:rPr>
                <w:rFonts w:cs="宋体" w:asciiTheme="minorEastAsia" w:hAnsiTheme="minorEastAsia" w:eastAsiaTheme="minorEastAsia"/>
                <w:sz w:val="18"/>
                <w:szCs w:val="18"/>
              </w:rPr>
            </w:pPr>
          </w:p>
          <w:p>
            <w:pPr>
              <w:widowControl w:val="0"/>
              <w:snapToGrid w:val="0"/>
              <w:ind w:firstLine="360" w:firstLineChars="200"/>
              <w:jc w:val="center"/>
              <w:rPr>
                <w:rFonts w:cs="宋体" w:asciiTheme="minorEastAsia" w:hAnsiTheme="minorEastAsia" w:eastAsiaTheme="minorEastAsia"/>
                <w:sz w:val="18"/>
                <w:szCs w:val="18"/>
              </w:rPr>
            </w:pPr>
          </w:p>
          <w:p>
            <w:pPr>
              <w:widowControl w:val="0"/>
              <w:snapToGrid w:val="0"/>
              <w:ind w:firstLine="360" w:firstLineChars="200"/>
              <w:jc w:val="center"/>
              <w:rPr>
                <w:rFonts w:cs="宋体" w:asciiTheme="minorEastAsia" w:hAnsiTheme="minorEastAsia" w:eastAsiaTheme="minorEastAsia"/>
                <w:sz w:val="18"/>
                <w:szCs w:val="18"/>
              </w:rPr>
            </w:pPr>
          </w:p>
          <w:p>
            <w:pPr>
              <w:widowControl w:val="0"/>
              <w:snapToGrid w:val="0"/>
              <w:ind w:firstLine="360" w:firstLineChars="200"/>
              <w:jc w:val="center"/>
              <w:rPr>
                <w:rFonts w:cs="宋体" w:asciiTheme="minorEastAsia" w:hAnsiTheme="minorEastAsia" w:eastAsiaTheme="minorEastAsia"/>
                <w:sz w:val="18"/>
                <w:szCs w:val="18"/>
              </w:rPr>
            </w:pPr>
          </w:p>
          <w:p>
            <w:pPr>
              <w:widowControl w:val="0"/>
              <w:snapToGrid w:val="0"/>
              <w:ind w:firstLine="360" w:firstLineChars="200"/>
              <w:jc w:val="center"/>
              <w:rPr>
                <w:rFonts w:cs="宋体" w:asciiTheme="minorEastAsia" w:hAnsiTheme="minorEastAsia" w:eastAsiaTheme="minorEastAsia"/>
                <w:sz w:val="18"/>
                <w:szCs w:val="18"/>
              </w:rPr>
            </w:pPr>
          </w:p>
          <w:p>
            <w:pPr>
              <w:snapToGrid w:val="0"/>
              <w:jc w:val="center"/>
              <w:rPr>
                <w:rFonts w:cs="宋体" w:asciiTheme="minorEastAsia" w:hAnsiTheme="minorEastAsia" w:eastAsiaTheme="minorEastAsia"/>
                <w:sz w:val="18"/>
                <w:szCs w:val="18"/>
              </w:rPr>
            </w:pPr>
          </w:p>
          <w:p>
            <w:pPr>
              <w:snapToGrid w:val="0"/>
              <w:jc w:val="center"/>
              <w:rPr>
                <w:rFonts w:cs="宋体" w:asciiTheme="minorEastAsia" w:hAnsiTheme="minorEastAsia" w:eastAsiaTheme="minorEastAsia"/>
                <w:sz w:val="18"/>
                <w:szCs w:val="18"/>
              </w:rPr>
            </w:pPr>
          </w:p>
          <w:p>
            <w:pPr>
              <w:snapToGrid w:val="0"/>
              <w:jc w:val="center"/>
              <w:rPr>
                <w:rFonts w:cs="宋体" w:asciiTheme="minorEastAsia" w:hAnsiTheme="minorEastAsia" w:eastAsiaTheme="minorEastAsia"/>
                <w:sz w:val="18"/>
                <w:szCs w:val="18"/>
              </w:rPr>
            </w:pPr>
          </w:p>
          <w:p>
            <w:pPr>
              <w:snapToGrid w:val="0"/>
              <w:jc w:val="center"/>
              <w:rPr>
                <w:rFonts w:cs="宋体" w:asciiTheme="minorEastAsia" w:hAnsiTheme="minorEastAsia" w:eastAsiaTheme="minorEastAsia"/>
                <w:sz w:val="18"/>
                <w:szCs w:val="18"/>
              </w:rPr>
            </w:pPr>
          </w:p>
          <w:p>
            <w:pPr>
              <w:snapToGrid w:val="0"/>
              <w:jc w:val="center"/>
              <w:rPr>
                <w:rFonts w:cs="宋体" w:asciiTheme="minorEastAsia" w:hAnsiTheme="minorEastAsia" w:eastAsiaTheme="minorEastAsia"/>
                <w:sz w:val="18"/>
                <w:szCs w:val="18"/>
              </w:rPr>
            </w:pPr>
          </w:p>
          <w:p>
            <w:pPr>
              <w:snapToGrid w:val="0"/>
              <w:jc w:val="center"/>
              <w:rPr>
                <w:rFonts w:cs="宋体" w:asciiTheme="minorEastAsia" w:hAnsiTheme="minorEastAsia" w:eastAsiaTheme="minorEastAsia"/>
                <w:sz w:val="18"/>
                <w:szCs w:val="18"/>
              </w:rPr>
            </w:pPr>
          </w:p>
          <w:p>
            <w:pPr>
              <w:snapToGrid w:val="0"/>
              <w:rPr>
                <w:rFonts w:cs="宋体" w:asciiTheme="minorEastAsia" w:hAnsiTheme="minorEastAsia" w:eastAsiaTheme="minorEastAsia"/>
                <w:sz w:val="18"/>
                <w:szCs w:val="18"/>
              </w:rPr>
            </w:pPr>
          </w:p>
          <w:p>
            <w:pPr>
              <w:snapToGrid w:val="0"/>
              <w:rPr>
                <w:rFonts w:cs="宋体" w:asciiTheme="minorEastAsia" w:hAnsiTheme="minorEastAsia" w:eastAsiaTheme="minorEastAsia"/>
                <w:sz w:val="18"/>
                <w:szCs w:val="18"/>
              </w:rPr>
            </w:pPr>
          </w:p>
        </w:tc>
        <w:tc>
          <w:tcPr>
            <w:tcW w:w="1039" w:type="dxa"/>
            <w:vMerge w:val="restart"/>
            <w:vAlign w:val="center"/>
          </w:tcPr>
          <w:p>
            <w:pPr>
              <w:snapToGrid w:val="0"/>
              <w:ind w:firstLine="180" w:firstLineChars="100"/>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明挖</w:t>
            </w:r>
          </w:p>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施工</w:t>
            </w:r>
          </w:p>
        </w:tc>
        <w:tc>
          <w:tcPr>
            <w:tcW w:w="3772" w:type="dxa"/>
            <w:vAlign w:val="center"/>
          </w:tcPr>
          <w:p>
            <w:pPr>
              <w:snapToGrid w:val="0"/>
              <w:jc w:val="left"/>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滑坡地段的开挖</w:t>
            </w:r>
          </w:p>
        </w:tc>
        <w:tc>
          <w:tcPr>
            <w:tcW w:w="2260" w:type="dxa"/>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坍塌、物体打击、</w:t>
            </w:r>
          </w:p>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机械伤害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88" w:type="dxa"/>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2</w:t>
            </w:r>
          </w:p>
        </w:tc>
        <w:tc>
          <w:tcPr>
            <w:tcW w:w="752" w:type="dxa"/>
            <w:vMerge w:val="continue"/>
            <w:vAlign w:val="center"/>
          </w:tcPr>
          <w:p>
            <w:pPr>
              <w:snapToGrid w:val="0"/>
              <w:jc w:val="center"/>
              <w:rPr>
                <w:rFonts w:cs="宋体" w:asciiTheme="minorEastAsia" w:hAnsiTheme="minorEastAsia" w:eastAsiaTheme="minorEastAsia"/>
                <w:sz w:val="18"/>
                <w:szCs w:val="18"/>
              </w:rPr>
            </w:pPr>
          </w:p>
        </w:tc>
        <w:tc>
          <w:tcPr>
            <w:tcW w:w="1039" w:type="dxa"/>
            <w:vMerge w:val="continue"/>
            <w:vAlign w:val="center"/>
          </w:tcPr>
          <w:p>
            <w:pPr>
              <w:snapToGrid w:val="0"/>
              <w:jc w:val="center"/>
              <w:rPr>
                <w:rFonts w:cs="宋体" w:asciiTheme="minorEastAsia" w:hAnsiTheme="minorEastAsia" w:eastAsiaTheme="minorEastAsia"/>
                <w:sz w:val="18"/>
                <w:szCs w:val="18"/>
              </w:rPr>
            </w:pPr>
          </w:p>
        </w:tc>
        <w:tc>
          <w:tcPr>
            <w:tcW w:w="3772" w:type="dxa"/>
            <w:vAlign w:val="center"/>
          </w:tcPr>
          <w:p>
            <w:pPr>
              <w:snapToGrid w:val="0"/>
              <w:jc w:val="left"/>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堆渣高度大于10m（含）的挖掘作业</w:t>
            </w:r>
          </w:p>
        </w:tc>
        <w:tc>
          <w:tcPr>
            <w:tcW w:w="2260" w:type="dxa"/>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坍塌、物体打击、</w:t>
            </w:r>
          </w:p>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机械伤害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88" w:type="dxa"/>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3</w:t>
            </w:r>
          </w:p>
        </w:tc>
        <w:tc>
          <w:tcPr>
            <w:tcW w:w="752" w:type="dxa"/>
            <w:vMerge w:val="continue"/>
            <w:vAlign w:val="center"/>
          </w:tcPr>
          <w:p>
            <w:pPr>
              <w:snapToGrid w:val="0"/>
              <w:jc w:val="center"/>
              <w:rPr>
                <w:rFonts w:cs="宋体" w:asciiTheme="minorEastAsia" w:hAnsiTheme="minorEastAsia" w:eastAsiaTheme="minorEastAsia"/>
                <w:sz w:val="18"/>
                <w:szCs w:val="18"/>
              </w:rPr>
            </w:pPr>
          </w:p>
        </w:tc>
        <w:tc>
          <w:tcPr>
            <w:tcW w:w="1039" w:type="dxa"/>
            <w:vMerge w:val="continue"/>
            <w:vAlign w:val="center"/>
          </w:tcPr>
          <w:p>
            <w:pPr>
              <w:snapToGrid w:val="0"/>
              <w:jc w:val="center"/>
              <w:rPr>
                <w:rFonts w:cs="宋体" w:asciiTheme="minorEastAsia" w:hAnsiTheme="minorEastAsia" w:eastAsiaTheme="minorEastAsia"/>
                <w:sz w:val="18"/>
                <w:szCs w:val="18"/>
              </w:rPr>
            </w:pPr>
          </w:p>
        </w:tc>
        <w:tc>
          <w:tcPr>
            <w:tcW w:w="3772" w:type="dxa"/>
            <w:vAlign w:val="center"/>
          </w:tcPr>
          <w:p>
            <w:pPr>
              <w:snapToGrid w:val="0"/>
              <w:jc w:val="left"/>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土方边坡高度大于30m（含）或地质缺陷部位的开挖作业</w:t>
            </w:r>
          </w:p>
        </w:tc>
        <w:tc>
          <w:tcPr>
            <w:tcW w:w="2260" w:type="dxa"/>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坍塌、物体打击、</w:t>
            </w:r>
          </w:p>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机械伤害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88" w:type="dxa"/>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4</w:t>
            </w:r>
          </w:p>
        </w:tc>
        <w:tc>
          <w:tcPr>
            <w:tcW w:w="752" w:type="dxa"/>
            <w:vMerge w:val="continue"/>
            <w:vAlign w:val="center"/>
          </w:tcPr>
          <w:p>
            <w:pPr>
              <w:snapToGrid w:val="0"/>
              <w:jc w:val="center"/>
              <w:rPr>
                <w:rFonts w:cs="宋体" w:asciiTheme="minorEastAsia" w:hAnsiTheme="minorEastAsia" w:eastAsiaTheme="minorEastAsia"/>
                <w:sz w:val="18"/>
                <w:szCs w:val="18"/>
              </w:rPr>
            </w:pPr>
          </w:p>
        </w:tc>
        <w:tc>
          <w:tcPr>
            <w:tcW w:w="1039" w:type="dxa"/>
            <w:vMerge w:val="continue"/>
            <w:vAlign w:val="center"/>
          </w:tcPr>
          <w:p>
            <w:pPr>
              <w:snapToGrid w:val="0"/>
              <w:jc w:val="center"/>
              <w:rPr>
                <w:rFonts w:cs="宋体" w:asciiTheme="minorEastAsia" w:hAnsiTheme="minorEastAsia" w:eastAsiaTheme="minorEastAsia"/>
                <w:sz w:val="18"/>
                <w:szCs w:val="18"/>
              </w:rPr>
            </w:pPr>
          </w:p>
        </w:tc>
        <w:tc>
          <w:tcPr>
            <w:tcW w:w="3772" w:type="dxa"/>
            <w:vAlign w:val="center"/>
          </w:tcPr>
          <w:p>
            <w:pPr>
              <w:snapToGrid w:val="0"/>
              <w:jc w:val="left"/>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石方边坡高度大于50m（含）或滑坡地段的开挖作业</w:t>
            </w:r>
          </w:p>
        </w:tc>
        <w:tc>
          <w:tcPr>
            <w:tcW w:w="2260" w:type="dxa"/>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坍塌、物体打击、</w:t>
            </w:r>
          </w:p>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机械伤害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88" w:type="dxa"/>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5</w:t>
            </w:r>
          </w:p>
        </w:tc>
        <w:tc>
          <w:tcPr>
            <w:tcW w:w="752" w:type="dxa"/>
            <w:vMerge w:val="continue"/>
            <w:vAlign w:val="center"/>
          </w:tcPr>
          <w:p>
            <w:pPr>
              <w:snapToGrid w:val="0"/>
              <w:jc w:val="center"/>
              <w:rPr>
                <w:rFonts w:cs="宋体" w:asciiTheme="minorEastAsia" w:hAnsiTheme="minorEastAsia" w:eastAsiaTheme="minorEastAsia"/>
                <w:sz w:val="18"/>
                <w:szCs w:val="18"/>
              </w:rPr>
            </w:pPr>
          </w:p>
        </w:tc>
        <w:tc>
          <w:tcPr>
            <w:tcW w:w="1039" w:type="dxa"/>
            <w:vMerge w:val="restart"/>
            <w:vAlign w:val="center"/>
          </w:tcPr>
          <w:p>
            <w:pPr>
              <w:snapToGrid w:val="0"/>
              <w:ind w:firstLine="180" w:firstLineChars="100"/>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洞挖</w:t>
            </w:r>
          </w:p>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施工</w:t>
            </w:r>
          </w:p>
        </w:tc>
        <w:tc>
          <w:tcPr>
            <w:tcW w:w="3772" w:type="dxa"/>
            <w:vAlign w:val="center"/>
          </w:tcPr>
          <w:p>
            <w:pPr>
              <w:snapToGrid w:val="0"/>
              <w:jc w:val="left"/>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断面大于20m</w:t>
            </w:r>
            <w:r>
              <w:rPr>
                <w:rFonts w:hint="eastAsia" w:cs="宋体" w:asciiTheme="minorEastAsia" w:hAnsiTheme="minorEastAsia" w:eastAsiaTheme="minorEastAsia"/>
                <w:sz w:val="18"/>
                <w:szCs w:val="18"/>
                <w:vertAlign w:val="superscript"/>
              </w:rPr>
              <w:t>2</w:t>
            </w:r>
            <w:r>
              <w:rPr>
                <w:rFonts w:hint="eastAsia" w:cs="宋体" w:asciiTheme="minorEastAsia" w:hAnsiTheme="minorEastAsia" w:eastAsiaTheme="minorEastAsia"/>
                <w:sz w:val="18"/>
                <w:szCs w:val="18"/>
              </w:rPr>
              <w:t>或单洞长度大于50m以及地质缺陷部位开挖；地应力大于20MPa或大于岩石强度的1/5或埋深大于500m部位的作业；洞室临近相互贯通时的作业；当某一工作面爆破作业时，相邻洞室的施工作业</w:t>
            </w:r>
          </w:p>
        </w:tc>
        <w:tc>
          <w:tcPr>
            <w:tcW w:w="2260" w:type="dxa"/>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冒顶片帮、物体打击、机械伤害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88" w:type="dxa"/>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6</w:t>
            </w:r>
          </w:p>
        </w:tc>
        <w:tc>
          <w:tcPr>
            <w:tcW w:w="752" w:type="dxa"/>
            <w:vMerge w:val="continue"/>
            <w:vAlign w:val="center"/>
          </w:tcPr>
          <w:p>
            <w:pPr>
              <w:snapToGrid w:val="0"/>
              <w:jc w:val="center"/>
              <w:rPr>
                <w:rFonts w:cs="宋体" w:asciiTheme="minorEastAsia" w:hAnsiTheme="minorEastAsia" w:eastAsiaTheme="minorEastAsia"/>
                <w:sz w:val="18"/>
                <w:szCs w:val="18"/>
              </w:rPr>
            </w:pPr>
          </w:p>
        </w:tc>
        <w:tc>
          <w:tcPr>
            <w:tcW w:w="1039" w:type="dxa"/>
            <w:vMerge w:val="continue"/>
            <w:vAlign w:val="center"/>
          </w:tcPr>
          <w:p>
            <w:pPr>
              <w:snapToGrid w:val="0"/>
              <w:jc w:val="center"/>
              <w:rPr>
                <w:rFonts w:cs="宋体" w:asciiTheme="minorEastAsia" w:hAnsiTheme="minorEastAsia" w:eastAsiaTheme="minorEastAsia"/>
                <w:sz w:val="18"/>
                <w:szCs w:val="18"/>
              </w:rPr>
            </w:pPr>
          </w:p>
        </w:tc>
        <w:tc>
          <w:tcPr>
            <w:tcW w:w="3772" w:type="dxa"/>
            <w:vAlign w:val="center"/>
          </w:tcPr>
          <w:p>
            <w:pPr>
              <w:snapToGrid w:val="0"/>
              <w:jc w:val="left"/>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不能及时支护的部位</w:t>
            </w:r>
          </w:p>
        </w:tc>
        <w:tc>
          <w:tcPr>
            <w:tcW w:w="2260" w:type="dxa"/>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冒顶片帮、物体打击、机械伤害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88" w:type="dxa"/>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7</w:t>
            </w:r>
          </w:p>
        </w:tc>
        <w:tc>
          <w:tcPr>
            <w:tcW w:w="752" w:type="dxa"/>
            <w:vMerge w:val="continue"/>
            <w:vAlign w:val="center"/>
          </w:tcPr>
          <w:p>
            <w:pPr>
              <w:snapToGrid w:val="0"/>
              <w:jc w:val="center"/>
              <w:rPr>
                <w:rFonts w:cs="宋体" w:asciiTheme="minorEastAsia" w:hAnsiTheme="minorEastAsia" w:eastAsiaTheme="minorEastAsia"/>
                <w:sz w:val="18"/>
                <w:szCs w:val="18"/>
              </w:rPr>
            </w:pPr>
          </w:p>
        </w:tc>
        <w:tc>
          <w:tcPr>
            <w:tcW w:w="1039" w:type="dxa"/>
            <w:vMerge w:val="continue"/>
            <w:vAlign w:val="center"/>
          </w:tcPr>
          <w:p>
            <w:pPr>
              <w:snapToGrid w:val="0"/>
              <w:jc w:val="center"/>
              <w:rPr>
                <w:rFonts w:cs="宋体" w:asciiTheme="minorEastAsia" w:hAnsiTheme="minorEastAsia" w:eastAsiaTheme="minorEastAsia"/>
                <w:sz w:val="18"/>
                <w:szCs w:val="18"/>
              </w:rPr>
            </w:pPr>
          </w:p>
        </w:tc>
        <w:tc>
          <w:tcPr>
            <w:tcW w:w="3772" w:type="dxa"/>
            <w:vAlign w:val="center"/>
          </w:tcPr>
          <w:p>
            <w:pPr>
              <w:snapToGrid w:val="0"/>
              <w:jc w:val="left"/>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隧洞进出口及交叉洞作业</w:t>
            </w:r>
          </w:p>
        </w:tc>
        <w:tc>
          <w:tcPr>
            <w:tcW w:w="2260" w:type="dxa"/>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冒顶片帮、物体打击、机械伤害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88" w:type="dxa"/>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8</w:t>
            </w:r>
          </w:p>
        </w:tc>
        <w:tc>
          <w:tcPr>
            <w:tcW w:w="752" w:type="dxa"/>
            <w:vMerge w:val="continue"/>
            <w:vAlign w:val="center"/>
          </w:tcPr>
          <w:p>
            <w:pPr>
              <w:snapToGrid w:val="0"/>
              <w:jc w:val="center"/>
              <w:rPr>
                <w:rFonts w:cs="宋体" w:asciiTheme="minorEastAsia" w:hAnsiTheme="minorEastAsia" w:eastAsiaTheme="minorEastAsia"/>
                <w:sz w:val="18"/>
                <w:szCs w:val="18"/>
              </w:rPr>
            </w:pPr>
          </w:p>
        </w:tc>
        <w:tc>
          <w:tcPr>
            <w:tcW w:w="1039" w:type="dxa"/>
            <w:vMerge w:val="continue"/>
            <w:vAlign w:val="center"/>
          </w:tcPr>
          <w:p>
            <w:pPr>
              <w:snapToGrid w:val="0"/>
              <w:jc w:val="center"/>
              <w:rPr>
                <w:rFonts w:cs="宋体" w:asciiTheme="minorEastAsia" w:hAnsiTheme="minorEastAsia" w:eastAsiaTheme="minorEastAsia"/>
                <w:sz w:val="18"/>
                <w:szCs w:val="18"/>
              </w:rPr>
            </w:pPr>
          </w:p>
        </w:tc>
        <w:tc>
          <w:tcPr>
            <w:tcW w:w="3772" w:type="dxa"/>
            <w:vAlign w:val="center"/>
          </w:tcPr>
          <w:p>
            <w:pPr>
              <w:snapToGrid w:val="0"/>
              <w:jc w:val="left"/>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地下水活动强烈地段开挖</w:t>
            </w:r>
          </w:p>
        </w:tc>
        <w:tc>
          <w:tcPr>
            <w:tcW w:w="2260" w:type="dxa"/>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透水、物体打击、机械伤害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88" w:type="dxa"/>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9</w:t>
            </w:r>
          </w:p>
        </w:tc>
        <w:tc>
          <w:tcPr>
            <w:tcW w:w="752" w:type="dxa"/>
            <w:vMerge w:val="continue"/>
            <w:vAlign w:val="center"/>
          </w:tcPr>
          <w:p>
            <w:pPr>
              <w:snapToGrid w:val="0"/>
              <w:jc w:val="center"/>
              <w:rPr>
                <w:rFonts w:cs="宋体" w:asciiTheme="minorEastAsia" w:hAnsiTheme="minorEastAsia" w:eastAsiaTheme="minorEastAsia"/>
                <w:sz w:val="18"/>
                <w:szCs w:val="18"/>
              </w:rPr>
            </w:pPr>
          </w:p>
        </w:tc>
        <w:tc>
          <w:tcPr>
            <w:tcW w:w="1039" w:type="dxa"/>
            <w:vMerge w:val="restart"/>
            <w:vAlign w:val="center"/>
          </w:tcPr>
          <w:p>
            <w:pPr>
              <w:snapToGrid w:val="0"/>
              <w:ind w:firstLine="180" w:firstLineChars="100"/>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石方</w:t>
            </w:r>
          </w:p>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爆破</w:t>
            </w:r>
          </w:p>
        </w:tc>
        <w:tc>
          <w:tcPr>
            <w:tcW w:w="3772" w:type="dxa"/>
            <w:vAlign w:val="center"/>
          </w:tcPr>
          <w:p>
            <w:pPr>
              <w:snapToGrid w:val="0"/>
              <w:jc w:val="left"/>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一次装药量大于200kg（含）的爆破；雷雨天气的露天爆破作业；多作业面同时爆破</w:t>
            </w:r>
          </w:p>
        </w:tc>
        <w:tc>
          <w:tcPr>
            <w:tcW w:w="2260" w:type="dxa"/>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火药爆炸、放炮、物体打击、坍塌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88" w:type="dxa"/>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10</w:t>
            </w:r>
          </w:p>
        </w:tc>
        <w:tc>
          <w:tcPr>
            <w:tcW w:w="752" w:type="dxa"/>
            <w:vMerge w:val="continue"/>
            <w:vAlign w:val="center"/>
          </w:tcPr>
          <w:p>
            <w:pPr>
              <w:snapToGrid w:val="0"/>
              <w:jc w:val="center"/>
              <w:rPr>
                <w:rFonts w:cs="宋体" w:asciiTheme="minorEastAsia" w:hAnsiTheme="minorEastAsia" w:eastAsiaTheme="minorEastAsia"/>
                <w:sz w:val="18"/>
                <w:szCs w:val="18"/>
              </w:rPr>
            </w:pPr>
          </w:p>
        </w:tc>
        <w:tc>
          <w:tcPr>
            <w:tcW w:w="1039" w:type="dxa"/>
            <w:vMerge w:val="continue"/>
            <w:vAlign w:val="center"/>
          </w:tcPr>
          <w:p>
            <w:pPr>
              <w:snapToGrid w:val="0"/>
              <w:jc w:val="center"/>
              <w:rPr>
                <w:rFonts w:cs="宋体" w:asciiTheme="minorEastAsia" w:hAnsiTheme="minorEastAsia" w:eastAsiaTheme="minorEastAsia"/>
                <w:sz w:val="18"/>
                <w:szCs w:val="18"/>
              </w:rPr>
            </w:pPr>
          </w:p>
        </w:tc>
        <w:tc>
          <w:tcPr>
            <w:tcW w:w="3772" w:type="dxa"/>
            <w:vAlign w:val="center"/>
          </w:tcPr>
          <w:p>
            <w:pPr>
              <w:snapToGrid w:val="0"/>
              <w:jc w:val="left"/>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一次装药量大于50kg（含）的地下爆破</w:t>
            </w:r>
          </w:p>
        </w:tc>
        <w:tc>
          <w:tcPr>
            <w:tcW w:w="2260" w:type="dxa"/>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火药爆炸、放炮、物体打击、冒顶片帮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88" w:type="dxa"/>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11</w:t>
            </w:r>
          </w:p>
        </w:tc>
        <w:tc>
          <w:tcPr>
            <w:tcW w:w="752" w:type="dxa"/>
            <w:vMerge w:val="continue"/>
            <w:vAlign w:val="center"/>
          </w:tcPr>
          <w:p>
            <w:pPr>
              <w:snapToGrid w:val="0"/>
              <w:jc w:val="center"/>
              <w:rPr>
                <w:rFonts w:cs="宋体" w:asciiTheme="minorEastAsia" w:hAnsiTheme="minorEastAsia" w:eastAsiaTheme="minorEastAsia"/>
                <w:sz w:val="18"/>
                <w:szCs w:val="18"/>
              </w:rPr>
            </w:pPr>
          </w:p>
        </w:tc>
        <w:tc>
          <w:tcPr>
            <w:tcW w:w="1039" w:type="dxa"/>
            <w:vMerge w:val="continue"/>
            <w:vAlign w:val="center"/>
          </w:tcPr>
          <w:p>
            <w:pPr>
              <w:snapToGrid w:val="0"/>
              <w:jc w:val="center"/>
              <w:rPr>
                <w:rFonts w:cs="宋体" w:asciiTheme="minorEastAsia" w:hAnsiTheme="minorEastAsia" w:eastAsiaTheme="minorEastAsia"/>
                <w:sz w:val="18"/>
                <w:szCs w:val="18"/>
              </w:rPr>
            </w:pPr>
          </w:p>
        </w:tc>
        <w:tc>
          <w:tcPr>
            <w:tcW w:w="3772" w:type="dxa"/>
            <w:vAlign w:val="center"/>
          </w:tcPr>
          <w:p>
            <w:pPr>
              <w:snapToGrid w:val="0"/>
              <w:jc w:val="left"/>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斜井开挖的爆破作业</w:t>
            </w:r>
          </w:p>
        </w:tc>
        <w:tc>
          <w:tcPr>
            <w:tcW w:w="2260" w:type="dxa"/>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火药爆炸、放炮、物体打击、冒顶片帮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88" w:type="dxa"/>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12</w:t>
            </w:r>
          </w:p>
        </w:tc>
        <w:tc>
          <w:tcPr>
            <w:tcW w:w="752" w:type="dxa"/>
            <w:vMerge w:val="continue"/>
            <w:vAlign w:val="center"/>
          </w:tcPr>
          <w:p>
            <w:pPr>
              <w:snapToGrid w:val="0"/>
              <w:jc w:val="center"/>
              <w:rPr>
                <w:rFonts w:cs="宋体" w:asciiTheme="minorEastAsia" w:hAnsiTheme="minorEastAsia" w:eastAsiaTheme="minorEastAsia"/>
                <w:sz w:val="18"/>
                <w:szCs w:val="18"/>
              </w:rPr>
            </w:pPr>
          </w:p>
        </w:tc>
        <w:tc>
          <w:tcPr>
            <w:tcW w:w="1039" w:type="dxa"/>
            <w:vMerge w:val="continue"/>
            <w:vAlign w:val="center"/>
          </w:tcPr>
          <w:p>
            <w:pPr>
              <w:snapToGrid w:val="0"/>
              <w:jc w:val="center"/>
              <w:rPr>
                <w:rFonts w:cs="宋体" w:asciiTheme="minorEastAsia" w:hAnsiTheme="minorEastAsia" w:eastAsiaTheme="minorEastAsia"/>
                <w:sz w:val="18"/>
                <w:szCs w:val="18"/>
              </w:rPr>
            </w:pPr>
          </w:p>
        </w:tc>
        <w:tc>
          <w:tcPr>
            <w:tcW w:w="3772" w:type="dxa"/>
            <w:vAlign w:val="center"/>
          </w:tcPr>
          <w:p>
            <w:pPr>
              <w:snapToGrid w:val="0"/>
              <w:jc w:val="left"/>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竖井开挖的爆破作业</w:t>
            </w:r>
          </w:p>
        </w:tc>
        <w:tc>
          <w:tcPr>
            <w:tcW w:w="2260" w:type="dxa"/>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火药爆炸、放炮、物体打击、冒顶片帮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88" w:type="dxa"/>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13</w:t>
            </w:r>
          </w:p>
        </w:tc>
        <w:tc>
          <w:tcPr>
            <w:tcW w:w="752" w:type="dxa"/>
            <w:vMerge w:val="continue"/>
            <w:vAlign w:val="center"/>
          </w:tcPr>
          <w:p>
            <w:pPr>
              <w:snapToGrid w:val="0"/>
              <w:jc w:val="center"/>
              <w:rPr>
                <w:rFonts w:cs="宋体" w:asciiTheme="minorEastAsia" w:hAnsiTheme="minorEastAsia" w:eastAsiaTheme="minorEastAsia"/>
                <w:sz w:val="18"/>
                <w:szCs w:val="18"/>
              </w:rPr>
            </w:pPr>
          </w:p>
        </w:tc>
        <w:tc>
          <w:tcPr>
            <w:tcW w:w="1039" w:type="dxa"/>
            <w:vMerge w:val="continue"/>
            <w:vAlign w:val="center"/>
          </w:tcPr>
          <w:p>
            <w:pPr>
              <w:snapToGrid w:val="0"/>
              <w:jc w:val="center"/>
              <w:rPr>
                <w:rFonts w:cs="宋体" w:asciiTheme="minorEastAsia" w:hAnsiTheme="minorEastAsia" w:eastAsiaTheme="minorEastAsia"/>
                <w:sz w:val="18"/>
                <w:szCs w:val="18"/>
              </w:rPr>
            </w:pPr>
          </w:p>
        </w:tc>
        <w:tc>
          <w:tcPr>
            <w:tcW w:w="3772" w:type="dxa"/>
            <w:vAlign w:val="center"/>
          </w:tcPr>
          <w:p>
            <w:pPr>
              <w:snapToGrid w:val="0"/>
              <w:jc w:val="left"/>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临近边坡的地下开挖爆破作业</w:t>
            </w:r>
          </w:p>
        </w:tc>
        <w:tc>
          <w:tcPr>
            <w:tcW w:w="2260" w:type="dxa"/>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火药爆炸、放炮、物体打击、坍塌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88" w:type="dxa"/>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14</w:t>
            </w:r>
          </w:p>
        </w:tc>
        <w:tc>
          <w:tcPr>
            <w:tcW w:w="752" w:type="dxa"/>
            <w:vMerge w:val="continue"/>
            <w:vAlign w:val="center"/>
          </w:tcPr>
          <w:p>
            <w:pPr>
              <w:snapToGrid w:val="0"/>
              <w:jc w:val="center"/>
              <w:rPr>
                <w:rFonts w:cs="宋体" w:asciiTheme="minorEastAsia" w:hAnsiTheme="minorEastAsia" w:eastAsiaTheme="minorEastAsia"/>
                <w:sz w:val="18"/>
                <w:szCs w:val="18"/>
              </w:rPr>
            </w:pPr>
          </w:p>
        </w:tc>
        <w:tc>
          <w:tcPr>
            <w:tcW w:w="1039" w:type="dxa"/>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灌浆</w:t>
            </w:r>
          </w:p>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工程</w:t>
            </w:r>
          </w:p>
        </w:tc>
        <w:tc>
          <w:tcPr>
            <w:tcW w:w="3772" w:type="dxa"/>
            <w:vAlign w:val="center"/>
          </w:tcPr>
          <w:p>
            <w:pPr>
              <w:snapToGrid w:val="0"/>
              <w:jc w:val="left"/>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采用危险化学品进行化学灌浆</w:t>
            </w:r>
          </w:p>
        </w:tc>
        <w:tc>
          <w:tcPr>
            <w:tcW w:w="2260" w:type="dxa"/>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中毒或其他伤害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88" w:type="dxa"/>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15</w:t>
            </w:r>
          </w:p>
        </w:tc>
        <w:tc>
          <w:tcPr>
            <w:tcW w:w="752" w:type="dxa"/>
            <w:vMerge w:val="continue"/>
            <w:vAlign w:val="center"/>
          </w:tcPr>
          <w:p>
            <w:pPr>
              <w:snapToGrid w:val="0"/>
              <w:jc w:val="center"/>
              <w:rPr>
                <w:rFonts w:cs="宋体" w:asciiTheme="minorEastAsia" w:hAnsiTheme="minorEastAsia" w:eastAsiaTheme="minorEastAsia"/>
                <w:sz w:val="18"/>
                <w:szCs w:val="18"/>
              </w:rPr>
            </w:pPr>
          </w:p>
        </w:tc>
        <w:tc>
          <w:tcPr>
            <w:tcW w:w="1039" w:type="dxa"/>
            <w:vMerge w:val="restart"/>
            <w:vAlign w:val="center"/>
          </w:tcPr>
          <w:p>
            <w:pPr>
              <w:snapToGrid w:val="0"/>
              <w:ind w:firstLine="180" w:firstLineChars="100"/>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斜井、</w:t>
            </w:r>
          </w:p>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竖井</w:t>
            </w:r>
          </w:p>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开挖</w:t>
            </w:r>
          </w:p>
        </w:tc>
        <w:tc>
          <w:tcPr>
            <w:tcW w:w="3772" w:type="dxa"/>
            <w:vAlign w:val="center"/>
          </w:tcPr>
          <w:p>
            <w:pPr>
              <w:snapToGrid w:val="0"/>
              <w:jc w:val="left"/>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提升系统行程大于20m（含）</w:t>
            </w:r>
          </w:p>
        </w:tc>
        <w:tc>
          <w:tcPr>
            <w:tcW w:w="2260" w:type="dxa"/>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高处坠落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88" w:type="dxa"/>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16</w:t>
            </w:r>
          </w:p>
        </w:tc>
        <w:tc>
          <w:tcPr>
            <w:tcW w:w="752" w:type="dxa"/>
            <w:vMerge w:val="continue"/>
            <w:vAlign w:val="center"/>
          </w:tcPr>
          <w:p>
            <w:pPr>
              <w:snapToGrid w:val="0"/>
              <w:jc w:val="center"/>
              <w:rPr>
                <w:rFonts w:cs="宋体" w:asciiTheme="minorEastAsia" w:hAnsiTheme="minorEastAsia" w:eastAsiaTheme="minorEastAsia"/>
                <w:sz w:val="18"/>
                <w:szCs w:val="18"/>
              </w:rPr>
            </w:pPr>
          </w:p>
        </w:tc>
        <w:tc>
          <w:tcPr>
            <w:tcW w:w="1039" w:type="dxa"/>
            <w:vMerge w:val="continue"/>
            <w:vAlign w:val="center"/>
          </w:tcPr>
          <w:p>
            <w:pPr>
              <w:snapToGrid w:val="0"/>
              <w:jc w:val="center"/>
              <w:rPr>
                <w:rFonts w:cs="宋体" w:asciiTheme="minorEastAsia" w:hAnsiTheme="minorEastAsia" w:eastAsiaTheme="minorEastAsia"/>
                <w:sz w:val="18"/>
                <w:szCs w:val="18"/>
              </w:rPr>
            </w:pPr>
          </w:p>
        </w:tc>
        <w:tc>
          <w:tcPr>
            <w:tcW w:w="3772" w:type="dxa"/>
            <w:vAlign w:val="center"/>
          </w:tcPr>
          <w:p>
            <w:pPr>
              <w:snapToGrid w:val="0"/>
              <w:jc w:val="left"/>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大于20m（含）的沉井工程</w:t>
            </w:r>
          </w:p>
        </w:tc>
        <w:tc>
          <w:tcPr>
            <w:tcW w:w="2260" w:type="dxa"/>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物体打击、机械伤害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atLeast"/>
          <w:jc w:val="center"/>
        </w:trPr>
        <w:tc>
          <w:tcPr>
            <w:tcW w:w="688" w:type="dxa"/>
            <w:tcBorders>
              <w:bottom w:val="single" w:color="auto" w:sz="4" w:space="0"/>
            </w:tcBorders>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17</w:t>
            </w:r>
          </w:p>
        </w:tc>
        <w:tc>
          <w:tcPr>
            <w:tcW w:w="752" w:type="dxa"/>
            <w:vMerge w:val="continue"/>
            <w:tcBorders>
              <w:bottom w:val="single" w:color="auto" w:sz="4" w:space="0"/>
            </w:tcBorders>
            <w:vAlign w:val="center"/>
          </w:tcPr>
          <w:p>
            <w:pPr>
              <w:snapToGrid w:val="0"/>
              <w:jc w:val="center"/>
              <w:rPr>
                <w:rFonts w:cs="宋体" w:asciiTheme="minorEastAsia" w:hAnsiTheme="minorEastAsia" w:eastAsiaTheme="minorEastAsia"/>
                <w:sz w:val="18"/>
                <w:szCs w:val="18"/>
              </w:rPr>
            </w:pPr>
          </w:p>
        </w:tc>
        <w:tc>
          <w:tcPr>
            <w:tcW w:w="1039" w:type="dxa"/>
            <w:tcBorders>
              <w:bottom w:val="single" w:color="auto" w:sz="4" w:space="0"/>
            </w:tcBorders>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混凝土生产</w:t>
            </w:r>
          </w:p>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工程</w:t>
            </w:r>
          </w:p>
        </w:tc>
        <w:tc>
          <w:tcPr>
            <w:tcW w:w="3772" w:type="dxa"/>
            <w:vAlign w:val="center"/>
          </w:tcPr>
          <w:p>
            <w:pPr>
              <w:snapToGrid w:val="0"/>
              <w:jc w:val="left"/>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制冷车间的液氨制冷系统</w:t>
            </w:r>
          </w:p>
        </w:tc>
        <w:tc>
          <w:tcPr>
            <w:tcW w:w="2260" w:type="dxa"/>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中毒、爆炸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88" w:type="dxa"/>
            <w:tcBorders>
              <w:top w:val="single" w:color="auto" w:sz="4" w:space="0"/>
            </w:tcBorders>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18</w:t>
            </w:r>
          </w:p>
        </w:tc>
        <w:tc>
          <w:tcPr>
            <w:tcW w:w="752" w:type="dxa"/>
            <w:vMerge w:val="restart"/>
            <w:tcBorders>
              <w:top w:val="single" w:color="auto" w:sz="4" w:space="0"/>
            </w:tcBorders>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施工作业类</w:t>
            </w:r>
          </w:p>
          <w:p>
            <w:pPr>
              <w:snapToGrid w:val="0"/>
              <w:jc w:val="center"/>
              <w:rPr>
                <w:rFonts w:cs="宋体" w:asciiTheme="minorEastAsia" w:hAnsiTheme="minorEastAsia" w:eastAsiaTheme="minorEastAsia"/>
                <w:sz w:val="18"/>
                <w:szCs w:val="18"/>
              </w:rPr>
            </w:pPr>
          </w:p>
        </w:tc>
        <w:tc>
          <w:tcPr>
            <w:tcW w:w="1039" w:type="dxa"/>
            <w:tcBorders>
              <w:top w:val="single" w:color="auto" w:sz="4" w:space="0"/>
            </w:tcBorders>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脚手架</w:t>
            </w:r>
          </w:p>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工程</w:t>
            </w:r>
          </w:p>
        </w:tc>
        <w:tc>
          <w:tcPr>
            <w:tcW w:w="3772" w:type="dxa"/>
            <w:vAlign w:val="center"/>
          </w:tcPr>
          <w:p>
            <w:pPr>
              <w:snapToGrid w:val="0"/>
              <w:jc w:val="left"/>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搭设高度24m及以上的落地式钢管脚手架工程；附着式整体和分片提升脚手架工程；悬挑式脚手架工程；吊篮脚手架工程；新型及异型脚手架工程</w:t>
            </w:r>
          </w:p>
        </w:tc>
        <w:tc>
          <w:tcPr>
            <w:tcW w:w="2260" w:type="dxa"/>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坍塌、高处坠落、物体打击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88" w:type="dxa"/>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19</w:t>
            </w:r>
          </w:p>
        </w:tc>
        <w:tc>
          <w:tcPr>
            <w:tcW w:w="752" w:type="dxa"/>
            <w:vMerge w:val="continue"/>
            <w:vAlign w:val="center"/>
          </w:tcPr>
          <w:p>
            <w:pPr>
              <w:snapToGrid w:val="0"/>
              <w:jc w:val="center"/>
              <w:rPr>
                <w:rFonts w:cs="宋体" w:asciiTheme="minorEastAsia" w:hAnsiTheme="minorEastAsia" w:eastAsiaTheme="minorEastAsia"/>
                <w:sz w:val="18"/>
                <w:szCs w:val="18"/>
              </w:rPr>
            </w:pPr>
          </w:p>
        </w:tc>
        <w:tc>
          <w:tcPr>
            <w:tcW w:w="1039" w:type="dxa"/>
            <w:vMerge w:val="restart"/>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模板工程及支撑体系</w:t>
            </w:r>
          </w:p>
        </w:tc>
        <w:tc>
          <w:tcPr>
            <w:tcW w:w="3772" w:type="dxa"/>
            <w:vAlign w:val="center"/>
          </w:tcPr>
          <w:p>
            <w:pPr>
              <w:snapToGrid w:val="0"/>
              <w:jc w:val="left"/>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滑模、爬模、飞模工程</w:t>
            </w:r>
          </w:p>
        </w:tc>
        <w:tc>
          <w:tcPr>
            <w:tcW w:w="2260" w:type="dxa"/>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物体打击、高处坠落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88" w:type="dxa"/>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20</w:t>
            </w:r>
          </w:p>
        </w:tc>
        <w:tc>
          <w:tcPr>
            <w:tcW w:w="752" w:type="dxa"/>
            <w:vMerge w:val="continue"/>
            <w:vAlign w:val="center"/>
          </w:tcPr>
          <w:p>
            <w:pPr>
              <w:snapToGrid w:val="0"/>
              <w:jc w:val="center"/>
              <w:rPr>
                <w:rFonts w:cs="宋体" w:asciiTheme="minorEastAsia" w:hAnsiTheme="minorEastAsia" w:eastAsiaTheme="minorEastAsia"/>
                <w:sz w:val="18"/>
                <w:szCs w:val="18"/>
              </w:rPr>
            </w:pPr>
          </w:p>
        </w:tc>
        <w:tc>
          <w:tcPr>
            <w:tcW w:w="1039" w:type="dxa"/>
            <w:vMerge w:val="continue"/>
            <w:vAlign w:val="center"/>
          </w:tcPr>
          <w:p>
            <w:pPr>
              <w:snapToGrid w:val="0"/>
              <w:jc w:val="center"/>
              <w:rPr>
                <w:rFonts w:cs="宋体" w:asciiTheme="minorEastAsia" w:hAnsiTheme="minorEastAsia" w:eastAsiaTheme="minorEastAsia"/>
                <w:sz w:val="18"/>
                <w:szCs w:val="18"/>
              </w:rPr>
            </w:pPr>
          </w:p>
        </w:tc>
        <w:tc>
          <w:tcPr>
            <w:tcW w:w="3772" w:type="dxa"/>
            <w:vAlign w:val="center"/>
          </w:tcPr>
          <w:p>
            <w:pPr>
              <w:snapToGrid w:val="0"/>
              <w:jc w:val="left"/>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搭设高度5m及以上；搭设跨度10m及以上；施工总荷载10kN/m</w:t>
            </w:r>
            <w:r>
              <w:rPr>
                <w:rFonts w:hint="eastAsia" w:cs="宋体" w:asciiTheme="minorEastAsia" w:hAnsiTheme="minorEastAsia" w:eastAsiaTheme="minorEastAsia"/>
                <w:sz w:val="18"/>
                <w:szCs w:val="18"/>
                <w:vertAlign w:val="superscript"/>
              </w:rPr>
              <w:t>2</w:t>
            </w:r>
            <w:r>
              <w:rPr>
                <w:rFonts w:hint="eastAsia" w:cs="宋体" w:asciiTheme="minorEastAsia" w:hAnsiTheme="minorEastAsia" w:eastAsiaTheme="minorEastAsia"/>
                <w:sz w:val="18"/>
                <w:szCs w:val="18"/>
              </w:rPr>
              <w:t>及以上；集中线荷载15kN/m及以上</w:t>
            </w:r>
          </w:p>
        </w:tc>
        <w:tc>
          <w:tcPr>
            <w:tcW w:w="2260" w:type="dxa"/>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物体打击、高处坠落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88" w:type="dxa"/>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21</w:t>
            </w:r>
          </w:p>
        </w:tc>
        <w:tc>
          <w:tcPr>
            <w:tcW w:w="752" w:type="dxa"/>
            <w:vMerge w:val="continue"/>
            <w:vAlign w:val="center"/>
          </w:tcPr>
          <w:p>
            <w:pPr>
              <w:snapToGrid w:val="0"/>
              <w:jc w:val="center"/>
              <w:rPr>
                <w:rFonts w:cs="宋体" w:asciiTheme="minorEastAsia" w:hAnsiTheme="minorEastAsia" w:eastAsiaTheme="minorEastAsia"/>
                <w:sz w:val="18"/>
                <w:szCs w:val="18"/>
              </w:rPr>
            </w:pPr>
          </w:p>
        </w:tc>
        <w:tc>
          <w:tcPr>
            <w:tcW w:w="1039" w:type="dxa"/>
            <w:vMerge w:val="continue"/>
            <w:vAlign w:val="center"/>
          </w:tcPr>
          <w:p>
            <w:pPr>
              <w:snapToGrid w:val="0"/>
              <w:jc w:val="center"/>
              <w:rPr>
                <w:rFonts w:cs="宋体" w:asciiTheme="minorEastAsia" w:hAnsiTheme="minorEastAsia" w:eastAsiaTheme="minorEastAsia"/>
                <w:sz w:val="18"/>
                <w:szCs w:val="18"/>
              </w:rPr>
            </w:pPr>
          </w:p>
        </w:tc>
        <w:tc>
          <w:tcPr>
            <w:tcW w:w="3772" w:type="dxa"/>
            <w:vAlign w:val="center"/>
          </w:tcPr>
          <w:p>
            <w:pPr>
              <w:snapToGrid w:val="0"/>
              <w:jc w:val="left"/>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用于钢结构安装等满堂支撑体系</w:t>
            </w:r>
          </w:p>
        </w:tc>
        <w:tc>
          <w:tcPr>
            <w:tcW w:w="2260" w:type="dxa"/>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物体打击、高处坠落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88" w:type="dxa"/>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22</w:t>
            </w:r>
          </w:p>
        </w:tc>
        <w:tc>
          <w:tcPr>
            <w:tcW w:w="752" w:type="dxa"/>
            <w:vMerge w:val="continue"/>
            <w:vAlign w:val="center"/>
          </w:tcPr>
          <w:p>
            <w:pPr>
              <w:snapToGrid w:val="0"/>
              <w:jc w:val="center"/>
              <w:rPr>
                <w:rFonts w:cs="宋体" w:asciiTheme="minorEastAsia" w:hAnsiTheme="minorEastAsia" w:eastAsiaTheme="minorEastAsia"/>
                <w:sz w:val="18"/>
                <w:szCs w:val="18"/>
              </w:rPr>
            </w:pPr>
          </w:p>
        </w:tc>
        <w:tc>
          <w:tcPr>
            <w:tcW w:w="1039" w:type="dxa"/>
            <w:vMerge w:val="restart"/>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金属结构制作、安装及机电设备安装</w:t>
            </w:r>
          </w:p>
        </w:tc>
        <w:tc>
          <w:tcPr>
            <w:tcW w:w="3772" w:type="dxa"/>
            <w:vAlign w:val="center"/>
          </w:tcPr>
          <w:p>
            <w:pPr>
              <w:snapToGrid w:val="0"/>
              <w:jc w:val="left"/>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采用非常规起重设备、方法，且单件起吊重量在10kN及以上的起重吊装工程</w:t>
            </w:r>
          </w:p>
        </w:tc>
        <w:tc>
          <w:tcPr>
            <w:tcW w:w="2260" w:type="dxa"/>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机械伤害、高处坠落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88" w:type="dxa"/>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23</w:t>
            </w:r>
          </w:p>
        </w:tc>
        <w:tc>
          <w:tcPr>
            <w:tcW w:w="752" w:type="dxa"/>
            <w:vMerge w:val="continue"/>
            <w:vAlign w:val="center"/>
          </w:tcPr>
          <w:p>
            <w:pPr>
              <w:snapToGrid w:val="0"/>
              <w:jc w:val="center"/>
              <w:rPr>
                <w:rFonts w:cs="宋体" w:asciiTheme="minorEastAsia" w:hAnsiTheme="minorEastAsia" w:eastAsiaTheme="minorEastAsia"/>
                <w:sz w:val="18"/>
                <w:szCs w:val="18"/>
              </w:rPr>
            </w:pPr>
          </w:p>
        </w:tc>
        <w:tc>
          <w:tcPr>
            <w:tcW w:w="1039" w:type="dxa"/>
            <w:vMerge w:val="continue"/>
            <w:vAlign w:val="center"/>
          </w:tcPr>
          <w:p>
            <w:pPr>
              <w:snapToGrid w:val="0"/>
              <w:jc w:val="center"/>
              <w:rPr>
                <w:rFonts w:cs="宋体" w:asciiTheme="minorEastAsia" w:hAnsiTheme="minorEastAsia" w:eastAsiaTheme="minorEastAsia"/>
                <w:sz w:val="18"/>
                <w:szCs w:val="18"/>
              </w:rPr>
            </w:pPr>
          </w:p>
        </w:tc>
        <w:tc>
          <w:tcPr>
            <w:tcW w:w="3772" w:type="dxa"/>
            <w:vAlign w:val="center"/>
          </w:tcPr>
          <w:p>
            <w:pPr>
              <w:snapToGrid w:val="0"/>
              <w:jc w:val="left"/>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使用易爆、有毒和易腐蚀的危险化学品进行作业</w:t>
            </w:r>
          </w:p>
        </w:tc>
        <w:tc>
          <w:tcPr>
            <w:tcW w:w="2260" w:type="dxa"/>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爆炸、中毒或其他伤害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88" w:type="dxa"/>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24</w:t>
            </w:r>
          </w:p>
        </w:tc>
        <w:tc>
          <w:tcPr>
            <w:tcW w:w="752" w:type="dxa"/>
            <w:vMerge w:val="continue"/>
            <w:vAlign w:val="center"/>
          </w:tcPr>
          <w:p>
            <w:pPr>
              <w:snapToGrid w:val="0"/>
              <w:jc w:val="center"/>
              <w:rPr>
                <w:rFonts w:cs="宋体" w:asciiTheme="minorEastAsia" w:hAnsiTheme="minorEastAsia" w:eastAsiaTheme="minorEastAsia"/>
                <w:sz w:val="18"/>
                <w:szCs w:val="18"/>
              </w:rPr>
            </w:pPr>
          </w:p>
        </w:tc>
        <w:tc>
          <w:tcPr>
            <w:tcW w:w="1039" w:type="dxa"/>
            <w:vMerge w:val="restart"/>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建筑物拆除</w:t>
            </w:r>
          </w:p>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工程</w:t>
            </w:r>
          </w:p>
        </w:tc>
        <w:tc>
          <w:tcPr>
            <w:tcW w:w="3772" w:type="dxa"/>
            <w:vAlign w:val="center"/>
          </w:tcPr>
          <w:p>
            <w:pPr>
              <w:snapToGrid w:val="0"/>
              <w:jc w:val="left"/>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采取机械拆除，拆除高度大于10m；可能影响行人、交通、电力设施、通讯设施或其他建、构筑物安全的拆除作业；文物保护建筑、优秀历史建筑或历史文化风貌区控制范围的拆除作业</w:t>
            </w:r>
          </w:p>
        </w:tc>
        <w:tc>
          <w:tcPr>
            <w:tcW w:w="2260" w:type="dxa"/>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坍塌、物体打击、高处坠落、机械伤害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88" w:type="dxa"/>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25</w:t>
            </w:r>
          </w:p>
        </w:tc>
        <w:tc>
          <w:tcPr>
            <w:tcW w:w="752" w:type="dxa"/>
            <w:vMerge w:val="continue"/>
            <w:vAlign w:val="center"/>
          </w:tcPr>
          <w:p>
            <w:pPr>
              <w:snapToGrid w:val="0"/>
              <w:jc w:val="center"/>
              <w:rPr>
                <w:rFonts w:cs="宋体" w:asciiTheme="minorEastAsia" w:hAnsiTheme="minorEastAsia" w:eastAsiaTheme="minorEastAsia"/>
                <w:sz w:val="18"/>
                <w:szCs w:val="18"/>
              </w:rPr>
            </w:pPr>
          </w:p>
        </w:tc>
        <w:tc>
          <w:tcPr>
            <w:tcW w:w="1039" w:type="dxa"/>
            <w:vMerge w:val="continue"/>
            <w:vAlign w:val="center"/>
          </w:tcPr>
          <w:p>
            <w:pPr>
              <w:snapToGrid w:val="0"/>
              <w:jc w:val="center"/>
              <w:rPr>
                <w:rFonts w:cs="宋体" w:asciiTheme="minorEastAsia" w:hAnsiTheme="minorEastAsia" w:eastAsiaTheme="minorEastAsia"/>
                <w:sz w:val="18"/>
                <w:szCs w:val="18"/>
              </w:rPr>
            </w:pPr>
          </w:p>
        </w:tc>
        <w:tc>
          <w:tcPr>
            <w:tcW w:w="3772" w:type="dxa"/>
            <w:vAlign w:val="center"/>
          </w:tcPr>
          <w:p>
            <w:pPr>
              <w:snapToGrid w:val="0"/>
              <w:jc w:val="left"/>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围堰拆除作业</w:t>
            </w:r>
          </w:p>
        </w:tc>
        <w:tc>
          <w:tcPr>
            <w:tcW w:w="2260" w:type="dxa"/>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坍塌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88" w:type="dxa"/>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26</w:t>
            </w:r>
          </w:p>
        </w:tc>
        <w:tc>
          <w:tcPr>
            <w:tcW w:w="752" w:type="dxa"/>
            <w:vMerge w:val="continue"/>
            <w:vAlign w:val="center"/>
          </w:tcPr>
          <w:p>
            <w:pPr>
              <w:snapToGrid w:val="0"/>
              <w:jc w:val="center"/>
              <w:rPr>
                <w:rFonts w:cs="宋体" w:asciiTheme="minorEastAsia" w:hAnsiTheme="minorEastAsia" w:eastAsiaTheme="minorEastAsia"/>
                <w:sz w:val="18"/>
                <w:szCs w:val="18"/>
              </w:rPr>
            </w:pPr>
          </w:p>
        </w:tc>
        <w:tc>
          <w:tcPr>
            <w:tcW w:w="1039" w:type="dxa"/>
            <w:vMerge w:val="continue"/>
            <w:vAlign w:val="center"/>
          </w:tcPr>
          <w:p>
            <w:pPr>
              <w:snapToGrid w:val="0"/>
              <w:jc w:val="center"/>
              <w:rPr>
                <w:rFonts w:cs="宋体" w:asciiTheme="minorEastAsia" w:hAnsiTheme="minorEastAsia" w:eastAsiaTheme="minorEastAsia"/>
                <w:sz w:val="18"/>
                <w:szCs w:val="18"/>
              </w:rPr>
            </w:pPr>
          </w:p>
        </w:tc>
        <w:tc>
          <w:tcPr>
            <w:tcW w:w="3772" w:type="dxa"/>
            <w:vAlign w:val="center"/>
          </w:tcPr>
          <w:p>
            <w:pPr>
              <w:snapToGrid w:val="0"/>
              <w:jc w:val="left"/>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爆破拆除作业</w:t>
            </w:r>
          </w:p>
        </w:tc>
        <w:tc>
          <w:tcPr>
            <w:tcW w:w="2260" w:type="dxa"/>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爆炸、物体打击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88" w:type="dxa"/>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27</w:t>
            </w:r>
          </w:p>
        </w:tc>
        <w:tc>
          <w:tcPr>
            <w:tcW w:w="752" w:type="dxa"/>
            <w:vMerge w:val="continue"/>
            <w:vAlign w:val="center"/>
          </w:tcPr>
          <w:p>
            <w:pPr>
              <w:snapToGrid w:val="0"/>
              <w:jc w:val="center"/>
              <w:rPr>
                <w:rFonts w:cs="宋体" w:asciiTheme="minorEastAsia" w:hAnsiTheme="minorEastAsia" w:eastAsiaTheme="minorEastAsia"/>
                <w:sz w:val="18"/>
                <w:szCs w:val="18"/>
              </w:rPr>
            </w:pPr>
          </w:p>
        </w:tc>
        <w:tc>
          <w:tcPr>
            <w:tcW w:w="1039" w:type="dxa"/>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降排水</w:t>
            </w:r>
          </w:p>
        </w:tc>
        <w:tc>
          <w:tcPr>
            <w:tcW w:w="3772" w:type="dxa"/>
            <w:vAlign w:val="center"/>
          </w:tcPr>
          <w:p>
            <w:pPr>
              <w:snapToGrid w:val="0"/>
              <w:jc w:val="left"/>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降排水工程</w:t>
            </w:r>
          </w:p>
        </w:tc>
        <w:tc>
          <w:tcPr>
            <w:tcW w:w="2260" w:type="dxa"/>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淹溺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88" w:type="dxa"/>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28</w:t>
            </w:r>
          </w:p>
        </w:tc>
        <w:tc>
          <w:tcPr>
            <w:tcW w:w="752" w:type="dxa"/>
            <w:vMerge w:val="restart"/>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机械设备类</w:t>
            </w:r>
          </w:p>
        </w:tc>
        <w:tc>
          <w:tcPr>
            <w:tcW w:w="1039" w:type="dxa"/>
            <w:vMerge w:val="restart"/>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起重吊装及安装拆卸</w:t>
            </w:r>
          </w:p>
        </w:tc>
        <w:tc>
          <w:tcPr>
            <w:tcW w:w="3772" w:type="dxa"/>
            <w:vAlign w:val="center"/>
          </w:tcPr>
          <w:p>
            <w:pPr>
              <w:snapToGrid w:val="0"/>
              <w:jc w:val="left"/>
              <w:rPr>
                <w:rFonts w:asciiTheme="minorEastAsia" w:hAnsiTheme="minorEastAsia" w:eastAsiaTheme="minorEastAsia"/>
                <w:sz w:val="18"/>
                <w:szCs w:val="18"/>
              </w:rPr>
            </w:pPr>
            <w:r>
              <w:rPr>
                <w:rFonts w:asciiTheme="minorEastAsia" w:hAnsiTheme="minorEastAsia" w:eastAsiaTheme="minorEastAsia"/>
                <w:sz w:val="18"/>
                <w:szCs w:val="18"/>
              </w:rPr>
              <w:t>采用非常规起重设备</w:t>
            </w:r>
            <w:r>
              <w:rPr>
                <w:rFonts w:hint="eastAsia" w:asciiTheme="minorEastAsia" w:hAnsiTheme="minorEastAsia" w:eastAsiaTheme="minorEastAsia"/>
                <w:sz w:val="18"/>
                <w:szCs w:val="18"/>
              </w:rPr>
              <w:t>、</w:t>
            </w:r>
            <w:r>
              <w:rPr>
                <w:rFonts w:asciiTheme="minorEastAsia" w:hAnsiTheme="minorEastAsia" w:eastAsiaTheme="minorEastAsia"/>
                <w:sz w:val="18"/>
                <w:szCs w:val="18"/>
              </w:rPr>
              <w:t>方法</w:t>
            </w:r>
            <w:r>
              <w:rPr>
                <w:rFonts w:hint="eastAsia" w:asciiTheme="minorEastAsia" w:hAnsiTheme="minorEastAsia" w:eastAsiaTheme="minorEastAsia"/>
                <w:sz w:val="18"/>
                <w:szCs w:val="18"/>
              </w:rPr>
              <w:t>，</w:t>
            </w:r>
            <w:r>
              <w:rPr>
                <w:rFonts w:asciiTheme="minorEastAsia" w:hAnsiTheme="minorEastAsia" w:eastAsiaTheme="minorEastAsia"/>
                <w:sz w:val="18"/>
                <w:szCs w:val="18"/>
              </w:rPr>
              <w:t>且单件起吊重量在</w:t>
            </w:r>
            <w:r>
              <w:rPr>
                <w:rFonts w:hint="eastAsia" w:cs="宋体" w:asciiTheme="minorEastAsia" w:hAnsiTheme="minorEastAsia" w:eastAsiaTheme="minorEastAsia"/>
                <w:sz w:val="18"/>
                <w:szCs w:val="18"/>
              </w:rPr>
              <w:t>10kN</w:t>
            </w:r>
            <w:r>
              <w:rPr>
                <w:rFonts w:asciiTheme="minorEastAsia" w:hAnsiTheme="minorEastAsia" w:eastAsiaTheme="minorEastAsia"/>
                <w:sz w:val="18"/>
                <w:szCs w:val="18"/>
              </w:rPr>
              <w:t>及以上的起重吊装工程</w:t>
            </w:r>
          </w:p>
        </w:tc>
        <w:tc>
          <w:tcPr>
            <w:tcW w:w="2260" w:type="dxa"/>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物体打击、机械伤害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88" w:type="dxa"/>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29</w:t>
            </w:r>
          </w:p>
        </w:tc>
        <w:tc>
          <w:tcPr>
            <w:tcW w:w="752" w:type="dxa"/>
            <w:vMerge w:val="continue"/>
            <w:vAlign w:val="center"/>
          </w:tcPr>
          <w:p>
            <w:pPr>
              <w:snapToGrid w:val="0"/>
              <w:jc w:val="center"/>
              <w:rPr>
                <w:rFonts w:cs="宋体" w:asciiTheme="minorEastAsia" w:hAnsiTheme="minorEastAsia" w:eastAsiaTheme="minorEastAsia"/>
                <w:sz w:val="18"/>
                <w:szCs w:val="18"/>
              </w:rPr>
            </w:pPr>
          </w:p>
        </w:tc>
        <w:tc>
          <w:tcPr>
            <w:tcW w:w="1039" w:type="dxa"/>
            <w:vMerge w:val="continue"/>
            <w:vAlign w:val="center"/>
          </w:tcPr>
          <w:p>
            <w:pPr>
              <w:snapToGrid w:val="0"/>
              <w:jc w:val="center"/>
              <w:rPr>
                <w:rFonts w:cs="宋体" w:asciiTheme="minorEastAsia" w:hAnsiTheme="minorEastAsia" w:eastAsiaTheme="minorEastAsia"/>
                <w:sz w:val="18"/>
                <w:szCs w:val="18"/>
              </w:rPr>
            </w:pPr>
          </w:p>
        </w:tc>
        <w:tc>
          <w:tcPr>
            <w:tcW w:w="3772" w:type="dxa"/>
            <w:vAlign w:val="center"/>
          </w:tcPr>
          <w:p>
            <w:pPr>
              <w:snapToGrid w:val="0"/>
              <w:jc w:val="left"/>
              <w:rPr>
                <w:rFonts w:cs="宋体" w:asciiTheme="minorEastAsia" w:hAnsiTheme="minorEastAsia" w:eastAsiaTheme="minorEastAsia"/>
                <w:sz w:val="18"/>
                <w:szCs w:val="18"/>
              </w:rPr>
            </w:pPr>
            <w:r>
              <w:rPr>
                <w:rFonts w:asciiTheme="minorEastAsia" w:hAnsiTheme="minorEastAsia" w:eastAsiaTheme="minorEastAsia"/>
                <w:sz w:val="18"/>
                <w:szCs w:val="18"/>
              </w:rPr>
              <w:t>采用起重机械进行安装的工程</w:t>
            </w:r>
          </w:p>
        </w:tc>
        <w:tc>
          <w:tcPr>
            <w:tcW w:w="2260" w:type="dxa"/>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物体打击、起重伤害、高处坠落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88" w:type="dxa"/>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30</w:t>
            </w:r>
          </w:p>
        </w:tc>
        <w:tc>
          <w:tcPr>
            <w:tcW w:w="752" w:type="dxa"/>
            <w:vMerge w:val="continue"/>
            <w:vAlign w:val="center"/>
          </w:tcPr>
          <w:p>
            <w:pPr>
              <w:snapToGrid w:val="0"/>
              <w:jc w:val="center"/>
              <w:rPr>
                <w:rFonts w:cs="宋体" w:asciiTheme="minorEastAsia" w:hAnsiTheme="minorEastAsia" w:eastAsiaTheme="minorEastAsia"/>
                <w:sz w:val="18"/>
                <w:szCs w:val="18"/>
              </w:rPr>
            </w:pPr>
          </w:p>
        </w:tc>
        <w:tc>
          <w:tcPr>
            <w:tcW w:w="1039" w:type="dxa"/>
            <w:vMerge w:val="continue"/>
            <w:vAlign w:val="center"/>
          </w:tcPr>
          <w:p>
            <w:pPr>
              <w:snapToGrid w:val="0"/>
              <w:jc w:val="center"/>
              <w:rPr>
                <w:rFonts w:cs="宋体" w:asciiTheme="minorEastAsia" w:hAnsiTheme="minorEastAsia" w:eastAsiaTheme="minorEastAsia"/>
                <w:sz w:val="18"/>
                <w:szCs w:val="18"/>
              </w:rPr>
            </w:pPr>
          </w:p>
        </w:tc>
        <w:tc>
          <w:tcPr>
            <w:tcW w:w="3772" w:type="dxa"/>
            <w:vAlign w:val="center"/>
          </w:tcPr>
          <w:p>
            <w:pPr>
              <w:snapToGrid w:val="0"/>
              <w:jc w:val="left"/>
              <w:rPr>
                <w:rFonts w:cs="宋体" w:asciiTheme="minorEastAsia" w:hAnsiTheme="minorEastAsia" w:eastAsiaTheme="minorEastAsia"/>
                <w:sz w:val="18"/>
                <w:szCs w:val="18"/>
              </w:rPr>
            </w:pPr>
            <w:r>
              <w:rPr>
                <w:rFonts w:asciiTheme="minorEastAsia" w:hAnsiTheme="minorEastAsia" w:eastAsiaTheme="minorEastAsia"/>
                <w:sz w:val="18"/>
                <w:szCs w:val="18"/>
              </w:rPr>
              <w:t>起重机械设备自身的安装</w:t>
            </w:r>
            <w:r>
              <w:rPr>
                <w:rFonts w:asciiTheme="minorEastAsia" w:hAnsiTheme="minorEastAsia" w:eastAsiaTheme="minorEastAsia"/>
                <w:sz w:val="18"/>
                <w:szCs w:val="18"/>
              </w:rPr>
              <w:drawing>
                <wp:inline distT="0" distB="0" distL="114300" distR="114300">
                  <wp:extent cx="36830" cy="34290"/>
                  <wp:effectExtent l="0" t="0" r="1270"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36830" cy="34290"/>
                          </a:xfrm>
                          <a:prstGeom prst="rect">
                            <a:avLst/>
                          </a:prstGeom>
                          <a:noFill/>
                          <a:ln w="9525">
                            <a:noFill/>
                          </a:ln>
                        </pic:spPr>
                      </pic:pic>
                    </a:graphicData>
                  </a:graphic>
                </wp:inline>
              </w:drawing>
            </w:r>
            <w:r>
              <w:rPr>
                <w:rFonts w:asciiTheme="minorEastAsia" w:hAnsiTheme="minorEastAsia" w:eastAsiaTheme="minorEastAsia"/>
                <w:sz w:val="18"/>
                <w:szCs w:val="18"/>
              </w:rPr>
              <w:t xml:space="preserve"> 拆卸作业</w:t>
            </w:r>
          </w:p>
        </w:tc>
        <w:tc>
          <w:tcPr>
            <w:tcW w:w="2260" w:type="dxa"/>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起重伤害、高处坠落、触电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88" w:type="dxa"/>
            <w:vAlign w:val="center"/>
          </w:tcPr>
          <w:p>
            <w:pPr>
              <w:widowControl w:val="0"/>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31</w:t>
            </w:r>
          </w:p>
        </w:tc>
        <w:tc>
          <w:tcPr>
            <w:tcW w:w="752" w:type="dxa"/>
            <w:vMerge w:val="restart"/>
            <w:vAlign w:val="center"/>
          </w:tcPr>
          <w:p>
            <w:pPr>
              <w:snapToGrid w:val="0"/>
              <w:jc w:val="center"/>
              <w:rPr>
                <w:rFonts w:asciiTheme="minorEastAsia" w:hAnsiTheme="minorEastAsia" w:eastAsiaTheme="minorEastAsia"/>
                <w:sz w:val="18"/>
                <w:szCs w:val="18"/>
              </w:rPr>
            </w:pPr>
          </w:p>
          <w:p>
            <w:pPr>
              <w:snapToGrid w:val="0"/>
              <w:rPr>
                <w:rFonts w:asciiTheme="minorEastAsia" w:hAnsiTheme="minorEastAsia" w:eastAsiaTheme="minorEastAsia"/>
                <w:sz w:val="18"/>
                <w:szCs w:val="18"/>
              </w:rPr>
            </w:pPr>
          </w:p>
          <w:p>
            <w:pPr>
              <w:snapToGrid w:val="0"/>
              <w:jc w:val="center"/>
              <w:rPr>
                <w:rFonts w:asciiTheme="minorEastAsia" w:hAnsiTheme="minorEastAsia" w:eastAsiaTheme="minorEastAsia"/>
                <w:sz w:val="18"/>
                <w:szCs w:val="18"/>
              </w:rPr>
            </w:pPr>
          </w:p>
          <w:p>
            <w:pPr>
              <w:snapToGrid w:val="0"/>
              <w:jc w:val="center"/>
              <w:rPr>
                <w:rFonts w:asciiTheme="minorEastAsia" w:hAnsiTheme="minorEastAsia" w:eastAsiaTheme="minorEastAsia"/>
                <w:sz w:val="18"/>
                <w:szCs w:val="18"/>
              </w:rPr>
            </w:pPr>
          </w:p>
          <w:p>
            <w:pPr>
              <w:snapToGrid w:val="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设施场所类</w:t>
            </w:r>
          </w:p>
          <w:p>
            <w:pPr>
              <w:widowControl w:val="0"/>
              <w:snapToGrid w:val="0"/>
              <w:jc w:val="center"/>
              <w:rPr>
                <w:rFonts w:cs="宋体" w:asciiTheme="minorEastAsia" w:hAnsiTheme="minorEastAsia" w:eastAsiaTheme="minorEastAsia"/>
                <w:sz w:val="18"/>
                <w:szCs w:val="18"/>
              </w:rPr>
            </w:pPr>
          </w:p>
          <w:p>
            <w:pPr>
              <w:widowControl w:val="0"/>
              <w:snapToGrid w:val="0"/>
              <w:ind w:firstLine="360" w:firstLineChars="200"/>
              <w:jc w:val="center"/>
              <w:rPr>
                <w:rFonts w:cs="宋体" w:asciiTheme="minorEastAsia" w:hAnsiTheme="minorEastAsia" w:eastAsiaTheme="minorEastAsia"/>
                <w:sz w:val="18"/>
                <w:szCs w:val="18"/>
              </w:rPr>
            </w:pPr>
          </w:p>
          <w:p>
            <w:pPr>
              <w:snapToGrid w:val="0"/>
              <w:jc w:val="center"/>
              <w:rPr>
                <w:rFonts w:asciiTheme="minorEastAsia" w:hAnsiTheme="minorEastAsia" w:eastAsiaTheme="minorEastAsia"/>
                <w:sz w:val="18"/>
                <w:szCs w:val="18"/>
              </w:rPr>
            </w:pPr>
          </w:p>
          <w:p>
            <w:pPr>
              <w:widowControl w:val="0"/>
              <w:snapToGrid w:val="0"/>
              <w:rPr>
                <w:rFonts w:cs="宋体" w:asciiTheme="minorEastAsia" w:hAnsiTheme="minorEastAsia" w:eastAsiaTheme="minorEastAsia"/>
                <w:sz w:val="18"/>
                <w:szCs w:val="18"/>
              </w:rPr>
            </w:pPr>
          </w:p>
        </w:tc>
        <w:tc>
          <w:tcPr>
            <w:tcW w:w="1039" w:type="dxa"/>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存弃</w:t>
            </w:r>
          </w:p>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渣场</w:t>
            </w:r>
          </w:p>
        </w:tc>
        <w:tc>
          <w:tcPr>
            <w:tcW w:w="3772" w:type="dxa"/>
            <w:vAlign w:val="center"/>
          </w:tcPr>
          <w:p>
            <w:pPr>
              <w:snapToGrid w:val="0"/>
              <w:jc w:val="left"/>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弃渣堆下方有生活区或办公区</w:t>
            </w:r>
          </w:p>
        </w:tc>
        <w:tc>
          <w:tcPr>
            <w:tcW w:w="2260" w:type="dxa"/>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坍塌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88" w:type="dxa"/>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32</w:t>
            </w:r>
          </w:p>
        </w:tc>
        <w:tc>
          <w:tcPr>
            <w:tcW w:w="752" w:type="dxa"/>
            <w:vMerge w:val="continue"/>
            <w:vAlign w:val="center"/>
          </w:tcPr>
          <w:p>
            <w:pPr>
              <w:snapToGrid w:val="0"/>
              <w:jc w:val="center"/>
              <w:rPr>
                <w:rFonts w:cs="宋体" w:asciiTheme="minorEastAsia" w:hAnsiTheme="minorEastAsia" w:eastAsiaTheme="minorEastAsia"/>
                <w:sz w:val="18"/>
                <w:szCs w:val="18"/>
              </w:rPr>
            </w:pPr>
          </w:p>
        </w:tc>
        <w:tc>
          <w:tcPr>
            <w:tcW w:w="1039" w:type="dxa"/>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基坑</w:t>
            </w:r>
          </w:p>
        </w:tc>
        <w:tc>
          <w:tcPr>
            <w:tcW w:w="3772" w:type="dxa"/>
            <w:vAlign w:val="center"/>
          </w:tcPr>
          <w:p>
            <w:pPr>
              <w:snapToGrid w:val="0"/>
              <w:jc w:val="left"/>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开挖深度超过5m（含）的深基坑作业，或开挖深度虽未超过5m，但地质条件、周围环境和地下管线复杂，或影响毗邻建筑（构筑）物安全的深基坑作业</w:t>
            </w:r>
          </w:p>
        </w:tc>
        <w:tc>
          <w:tcPr>
            <w:tcW w:w="2260" w:type="dxa"/>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坍塌、高处坠落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88" w:type="dxa"/>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33</w:t>
            </w:r>
          </w:p>
        </w:tc>
        <w:tc>
          <w:tcPr>
            <w:tcW w:w="752" w:type="dxa"/>
            <w:vMerge w:val="continue"/>
            <w:vAlign w:val="center"/>
          </w:tcPr>
          <w:p>
            <w:pPr>
              <w:snapToGrid w:val="0"/>
              <w:jc w:val="center"/>
              <w:rPr>
                <w:rFonts w:cs="宋体" w:asciiTheme="minorEastAsia" w:hAnsiTheme="minorEastAsia" w:eastAsiaTheme="minorEastAsia"/>
                <w:sz w:val="18"/>
                <w:szCs w:val="18"/>
              </w:rPr>
            </w:pPr>
          </w:p>
        </w:tc>
        <w:tc>
          <w:tcPr>
            <w:tcW w:w="1039" w:type="dxa"/>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油库</w:t>
            </w:r>
          </w:p>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油罐区</w:t>
            </w:r>
          </w:p>
        </w:tc>
        <w:tc>
          <w:tcPr>
            <w:tcW w:w="3772" w:type="dxa"/>
            <w:vAlign w:val="center"/>
          </w:tcPr>
          <w:p>
            <w:pPr>
              <w:snapToGrid w:val="0"/>
              <w:jc w:val="left"/>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参照《危险化学品重大危险源辨识》(GB18218-20</w:t>
            </w:r>
            <w:r>
              <w:rPr>
                <w:rFonts w:cs="宋体" w:asciiTheme="minorEastAsia" w:hAnsiTheme="minorEastAsia" w:eastAsiaTheme="minorEastAsia"/>
                <w:sz w:val="18"/>
                <w:szCs w:val="18"/>
              </w:rPr>
              <w:t>18</w:t>
            </w:r>
            <w:r>
              <w:rPr>
                <w:rFonts w:hint="eastAsia" w:cs="宋体" w:asciiTheme="minorEastAsia" w:hAnsiTheme="minorEastAsia" w:eastAsiaTheme="minorEastAsia"/>
                <w:sz w:val="18"/>
                <w:szCs w:val="18"/>
              </w:rPr>
              <w:t>)标准</w:t>
            </w:r>
          </w:p>
        </w:tc>
        <w:tc>
          <w:tcPr>
            <w:tcW w:w="2260" w:type="dxa"/>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火灾、爆炸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88" w:type="dxa"/>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34</w:t>
            </w:r>
          </w:p>
        </w:tc>
        <w:tc>
          <w:tcPr>
            <w:tcW w:w="752" w:type="dxa"/>
            <w:vMerge w:val="continue"/>
            <w:vAlign w:val="center"/>
          </w:tcPr>
          <w:p>
            <w:pPr>
              <w:snapToGrid w:val="0"/>
              <w:jc w:val="center"/>
              <w:rPr>
                <w:rFonts w:cs="宋体" w:asciiTheme="minorEastAsia" w:hAnsiTheme="minorEastAsia" w:eastAsiaTheme="minorEastAsia"/>
                <w:sz w:val="18"/>
                <w:szCs w:val="18"/>
              </w:rPr>
            </w:pPr>
          </w:p>
        </w:tc>
        <w:tc>
          <w:tcPr>
            <w:tcW w:w="1039" w:type="dxa"/>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材料设备仓库</w:t>
            </w:r>
          </w:p>
        </w:tc>
        <w:tc>
          <w:tcPr>
            <w:tcW w:w="3772" w:type="dxa"/>
            <w:vAlign w:val="center"/>
          </w:tcPr>
          <w:p>
            <w:pPr>
              <w:snapToGrid w:val="0"/>
              <w:jc w:val="left"/>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参照《危险化学品重大危险源辨识》(GB18218-20</w:t>
            </w:r>
            <w:r>
              <w:rPr>
                <w:rFonts w:cs="宋体" w:asciiTheme="minorEastAsia" w:hAnsiTheme="minorEastAsia" w:eastAsiaTheme="minorEastAsia"/>
                <w:sz w:val="18"/>
                <w:szCs w:val="18"/>
              </w:rPr>
              <w:t>18</w:t>
            </w:r>
            <w:r>
              <w:rPr>
                <w:rFonts w:hint="eastAsia" w:cs="宋体" w:asciiTheme="minorEastAsia" w:hAnsiTheme="minorEastAsia" w:eastAsiaTheme="minorEastAsia"/>
                <w:sz w:val="18"/>
                <w:szCs w:val="18"/>
              </w:rPr>
              <w:t>)标准</w:t>
            </w:r>
          </w:p>
        </w:tc>
        <w:tc>
          <w:tcPr>
            <w:tcW w:w="2260" w:type="dxa"/>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爆炸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88" w:type="dxa"/>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35</w:t>
            </w:r>
          </w:p>
        </w:tc>
        <w:tc>
          <w:tcPr>
            <w:tcW w:w="752" w:type="dxa"/>
            <w:vMerge w:val="restart"/>
            <w:vAlign w:val="center"/>
          </w:tcPr>
          <w:p>
            <w:pPr>
              <w:snapToGrid w:val="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设施场所类</w:t>
            </w:r>
          </w:p>
          <w:p>
            <w:pPr>
              <w:snapToGrid w:val="0"/>
              <w:jc w:val="center"/>
              <w:rPr>
                <w:rFonts w:cs="宋体" w:asciiTheme="minorEastAsia" w:hAnsiTheme="minorEastAsia" w:eastAsiaTheme="minorEastAsia"/>
                <w:sz w:val="18"/>
                <w:szCs w:val="18"/>
              </w:rPr>
            </w:pPr>
          </w:p>
        </w:tc>
        <w:tc>
          <w:tcPr>
            <w:tcW w:w="1039" w:type="dxa"/>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供电</w:t>
            </w:r>
          </w:p>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系统</w:t>
            </w:r>
          </w:p>
        </w:tc>
        <w:tc>
          <w:tcPr>
            <w:tcW w:w="3772" w:type="dxa"/>
            <w:vAlign w:val="center"/>
          </w:tcPr>
          <w:p>
            <w:pPr>
              <w:snapToGrid w:val="0"/>
              <w:jc w:val="left"/>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临时用电工程</w:t>
            </w:r>
          </w:p>
        </w:tc>
        <w:tc>
          <w:tcPr>
            <w:tcW w:w="2260" w:type="dxa"/>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触电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88" w:type="dxa"/>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36</w:t>
            </w:r>
          </w:p>
        </w:tc>
        <w:tc>
          <w:tcPr>
            <w:tcW w:w="752" w:type="dxa"/>
            <w:vMerge w:val="continue"/>
            <w:vAlign w:val="center"/>
          </w:tcPr>
          <w:p>
            <w:pPr>
              <w:snapToGrid w:val="0"/>
              <w:jc w:val="center"/>
              <w:rPr>
                <w:rFonts w:cs="宋体" w:asciiTheme="minorEastAsia" w:hAnsiTheme="minorEastAsia" w:eastAsiaTheme="minorEastAsia"/>
                <w:sz w:val="18"/>
                <w:szCs w:val="18"/>
              </w:rPr>
            </w:pPr>
          </w:p>
        </w:tc>
        <w:tc>
          <w:tcPr>
            <w:tcW w:w="1039" w:type="dxa"/>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隧洞</w:t>
            </w:r>
          </w:p>
        </w:tc>
        <w:tc>
          <w:tcPr>
            <w:tcW w:w="3772" w:type="dxa"/>
            <w:vAlign w:val="center"/>
          </w:tcPr>
          <w:p>
            <w:pPr>
              <w:snapToGrid w:val="0"/>
              <w:jc w:val="left"/>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浅埋隧洞</w:t>
            </w:r>
          </w:p>
        </w:tc>
        <w:tc>
          <w:tcPr>
            <w:tcW w:w="2260" w:type="dxa"/>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坍塌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88" w:type="dxa"/>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37</w:t>
            </w:r>
          </w:p>
        </w:tc>
        <w:tc>
          <w:tcPr>
            <w:tcW w:w="752" w:type="dxa"/>
            <w:vMerge w:val="continue"/>
            <w:vAlign w:val="center"/>
          </w:tcPr>
          <w:p>
            <w:pPr>
              <w:snapToGrid w:val="0"/>
              <w:jc w:val="center"/>
              <w:rPr>
                <w:rFonts w:cs="宋体" w:asciiTheme="minorEastAsia" w:hAnsiTheme="minorEastAsia" w:eastAsiaTheme="minorEastAsia"/>
                <w:sz w:val="18"/>
                <w:szCs w:val="18"/>
              </w:rPr>
            </w:pPr>
          </w:p>
        </w:tc>
        <w:tc>
          <w:tcPr>
            <w:tcW w:w="1039" w:type="dxa"/>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围堰</w:t>
            </w:r>
          </w:p>
        </w:tc>
        <w:tc>
          <w:tcPr>
            <w:tcW w:w="3772" w:type="dxa"/>
            <w:vAlign w:val="center"/>
          </w:tcPr>
          <w:p>
            <w:pPr>
              <w:snapToGrid w:val="0"/>
              <w:jc w:val="left"/>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围堰工程</w:t>
            </w:r>
          </w:p>
        </w:tc>
        <w:tc>
          <w:tcPr>
            <w:tcW w:w="2260" w:type="dxa"/>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淹溺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88" w:type="dxa"/>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38</w:t>
            </w:r>
          </w:p>
        </w:tc>
        <w:tc>
          <w:tcPr>
            <w:tcW w:w="752" w:type="dxa"/>
            <w:vMerge w:val="restart"/>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作业环境类</w:t>
            </w:r>
          </w:p>
        </w:tc>
        <w:tc>
          <w:tcPr>
            <w:tcW w:w="1039" w:type="dxa"/>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超标准洪水、</w:t>
            </w:r>
          </w:p>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粉尘</w:t>
            </w:r>
          </w:p>
        </w:tc>
        <w:tc>
          <w:tcPr>
            <w:tcW w:w="3772" w:type="dxa"/>
            <w:vAlign w:val="center"/>
          </w:tcPr>
          <w:p>
            <w:pPr>
              <w:snapToGrid w:val="0"/>
              <w:jc w:val="left"/>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超标准洪水</w:t>
            </w:r>
          </w:p>
        </w:tc>
        <w:tc>
          <w:tcPr>
            <w:tcW w:w="2260" w:type="dxa"/>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淹溺、爆炸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88" w:type="dxa"/>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39</w:t>
            </w:r>
          </w:p>
        </w:tc>
        <w:tc>
          <w:tcPr>
            <w:tcW w:w="752" w:type="dxa"/>
            <w:vMerge w:val="continue"/>
            <w:vAlign w:val="center"/>
          </w:tcPr>
          <w:p>
            <w:pPr>
              <w:snapToGrid w:val="0"/>
              <w:jc w:val="center"/>
              <w:rPr>
                <w:rFonts w:cs="宋体" w:asciiTheme="minorEastAsia" w:hAnsiTheme="minorEastAsia" w:eastAsiaTheme="minorEastAsia"/>
                <w:sz w:val="18"/>
                <w:szCs w:val="18"/>
              </w:rPr>
            </w:pPr>
          </w:p>
        </w:tc>
        <w:tc>
          <w:tcPr>
            <w:tcW w:w="1039" w:type="dxa"/>
            <w:vMerge w:val="restart"/>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有毒有害气体及有毒化学品泄漏环境</w:t>
            </w:r>
          </w:p>
        </w:tc>
        <w:tc>
          <w:tcPr>
            <w:tcW w:w="3772" w:type="dxa"/>
            <w:vAlign w:val="center"/>
          </w:tcPr>
          <w:p>
            <w:pPr>
              <w:snapToGrid w:val="0"/>
              <w:jc w:val="left"/>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参照《危险化学品重大危险源辨识》(GB18218-20</w:t>
            </w:r>
            <w:r>
              <w:rPr>
                <w:rFonts w:cs="宋体" w:asciiTheme="minorEastAsia" w:hAnsiTheme="minorEastAsia" w:eastAsiaTheme="minorEastAsia"/>
                <w:sz w:val="18"/>
                <w:szCs w:val="18"/>
              </w:rPr>
              <w:t>18</w:t>
            </w:r>
            <w:r>
              <w:rPr>
                <w:rFonts w:hint="eastAsia" w:cs="宋体" w:asciiTheme="minorEastAsia" w:hAnsiTheme="minorEastAsia" w:eastAsiaTheme="minorEastAsia"/>
                <w:sz w:val="18"/>
                <w:szCs w:val="18"/>
              </w:rPr>
              <w:t>)标准</w:t>
            </w:r>
          </w:p>
        </w:tc>
        <w:tc>
          <w:tcPr>
            <w:tcW w:w="2260" w:type="dxa"/>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中毒或其他伤害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88" w:type="dxa"/>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40</w:t>
            </w:r>
          </w:p>
        </w:tc>
        <w:tc>
          <w:tcPr>
            <w:tcW w:w="752" w:type="dxa"/>
            <w:vMerge w:val="continue"/>
            <w:vAlign w:val="center"/>
          </w:tcPr>
          <w:p>
            <w:pPr>
              <w:snapToGrid w:val="0"/>
              <w:jc w:val="center"/>
              <w:rPr>
                <w:rFonts w:cs="宋体" w:asciiTheme="minorEastAsia" w:hAnsiTheme="minorEastAsia" w:eastAsiaTheme="minorEastAsia"/>
                <w:sz w:val="18"/>
                <w:szCs w:val="18"/>
              </w:rPr>
            </w:pPr>
          </w:p>
        </w:tc>
        <w:tc>
          <w:tcPr>
            <w:tcW w:w="1039" w:type="dxa"/>
            <w:vMerge w:val="continue"/>
            <w:vAlign w:val="center"/>
          </w:tcPr>
          <w:p>
            <w:pPr>
              <w:snapToGrid w:val="0"/>
              <w:jc w:val="center"/>
              <w:rPr>
                <w:rFonts w:cs="宋体" w:asciiTheme="minorEastAsia" w:hAnsiTheme="minorEastAsia" w:eastAsiaTheme="minorEastAsia"/>
                <w:sz w:val="18"/>
                <w:szCs w:val="18"/>
              </w:rPr>
            </w:pPr>
          </w:p>
        </w:tc>
        <w:tc>
          <w:tcPr>
            <w:tcW w:w="3772" w:type="dxa"/>
            <w:vAlign w:val="center"/>
          </w:tcPr>
          <w:p>
            <w:pPr>
              <w:snapToGrid w:val="0"/>
              <w:jc w:val="left"/>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参照《危险化学品重大危险源辨识》(GB18218-20</w:t>
            </w:r>
            <w:r>
              <w:rPr>
                <w:rFonts w:cs="宋体" w:asciiTheme="minorEastAsia" w:hAnsiTheme="minorEastAsia" w:eastAsiaTheme="minorEastAsia"/>
                <w:sz w:val="18"/>
                <w:szCs w:val="18"/>
              </w:rPr>
              <w:t>18</w:t>
            </w:r>
            <w:r>
              <w:rPr>
                <w:rFonts w:hint="eastAsia" w:cs="宋体" w:asciiTheme="minorEastAsia" w:hAnsiTheme="minorEastAsia" w:eastAsiaTheme="minorEastAsia"/>
                <w:sz w:val="18"/>
                <w:szCs w:val="18"/>
              </w:rPr>
              <w:t>)标准</w:t>
            </w:r>
          </w:p>
        </w:tc>
        <w:tc>
          <w:tcPr>
            <w:tcW w:w="2260" w:type="dxa"/>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中毒或其他伤害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88" w:type="dxa"/>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41</w:t>
            </w:r>
          </w:p>
        </w:tc>
        <w:tc>
          <w:tcPr>
            <w:tcW w:w="752" w:type="dxa"/>
            <w:vMerge w:val="restart"/>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其他</w:t>
            </w:r>
          </w:p>
        </w:tc>
        <w:tc>
          <w:tcPr>
            <w:tcW w:w="1039" w:type="dxa"/>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营地</w:t>
            </w:r>
          </w:p>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选址</w:t>
            </w:r>
          </w:p>
        </w:tc>
        <w:tc>
          <w:tcPr>
            <w:tcW w:w="3772" w:type="dxa"/>
            <w:vAlign w:val="center"/>
          </w:tcPr>
          <w:p>
            <w:pPr>
              <w:snapToGrid w:val="0"/>
              <w:jc w:val="left"/>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施工驻地及场站设置在可能发生滑坡、塌方、泥石流、崩塌、落石、洪水、雪崩等的危险区域</w:t>
            </w:r>
          </w:p>
        </w:tc>
        <w:tc>
          <w:tcPr>
            <w:tcW w:w="2260" w:type="dxa"/>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坍塌、淹溺、物体打击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88" w:type="dxa"/>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42</w:t>
            </w:r>
          </w:p>
        </w:tc>
        <w:tc>
          <w:tcPr>
            <w:tcW w:w="752" w:type="dxa"/>
            <w:vMerge w:val="continue"/>
            <w:vAlign w:val="center"/>
          </w:tcPr>
          <w:p>
            <w:pPr>
              <w:snapToGrid w:val="0"/>
              <w:jc w:val="center"/>
              <w:rPr>
                <w:rFonts w:cs="宋体" w:asciiTheme="minorEastAsia" w:hAnsiTheme="minorEastAsia" w:eastAsiaTheme="minorEastAsia"/>
                <w:sz w:val="18"/>
                <w:szCs w:val="18"/>
              </w:rPr>
            </w:pPr>
          </w:p>
        </w:tc>
        <w:tc>
          <w:tcPr>
            <w:tcW w:w="1039" w:type="dxa"/>
            <w:vMerge w:val="restart"/>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其他单项工程</w:t>
            </w:r>
          </w:p>
        </w:tc>
        <w:tc>
          <w:tcPr>
            <w:tcW w:w="3772" w:type="dxa"/>
            <w:vAlign w:val="center"/>
          </w:tcPr>
          <w:p>
            <w:pPr>
              <w:snapToGrid w:val="0"/>
              <w:jc w:val="left"/>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采用新技术、新工艺、新材料、新设备的危险性较大的单项工程</w:t>
            </w:r>
          </w:p>
        </w:tc>
        <w:tc>
          <w:tcPr>
            <w:tcW w:w="2260" w:type="dxa"/>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坍塌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88" w:type="dxa"/>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43</w:t>
            </w:r>
          </w:p>
        </w:tc>
        <w:tc>
          <w:tcPr>
            <w:tcW w:w="752" w:type="dxa"/>
            <w:vMerge w:val="continue"/>
            <w:vAlign w:val="center"/>
          </w:tcPr>
          <w:p>
            <w:pPr>
              <w:snapToGrid w:val="0"/>
              <w:jc w:val="center"/>
              <w:rPr>
                <w:rFonts w:cs="宋体" w:asciiTheme="minorEastAsia" w:hAnsiTheme="minorEastAsia" w:eastAsiaTheme="minorEastAsia"/>
                <w:sz w:val="18"/>
                <w:szCs w:val="18"/>
              </w:rPr>
            </w:pPr>
          </w:p>
        </w:tc>
        <w:tc>
          <w:tcPr>
            <w:tcW w:w="1039" w:type="dxa"/>
            <w:vMerge w:val="continue"/>
            <w:vAlign w:val="center"/>
          </w:tcPr>
          <w:p>
            <w:pPr>
              <w:snapToGrid w:val="0"/>
              <w:jc w:val="center"/>
              <w:rPr>
                <w:rFonts w:cs="宋体" w:asciiTheme="minorEastAsia" w:hAnsiTheme="minorEastAsia" w:eastAsiaTheme="minorEastAsia"/>
                <w:sz w:val="18"/>
                <w:szCs w:val="18"/>
              </w:rPr>
            </w:pPr>
          </w:p>
        </w:tc>
        <w:tc>
          <w:tcPr>
            <w:tcW w:w="3772" w:type="dxa"/>
            <w:vAlign w:val="center"/>
          </w:tcPr>
          <w:p>
            <w:pPr>
              <w:snapToGrid w:val="0"/>
              <w:jc w:val="left"/>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尚无相关技术标准的危险性较大的单项工程</w:t>
            </w:r>
          </w:p>
        </w:tc>
        <w:tc>
          <w:tcPr>
            <w:tcW w:w="2260" w:type="dxa"/>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坍塌</w:t>
            </w:r>
          </w:p>
        </w:tc>
      </w:tr>
    </w:tbl>
    <w:p>
      <w:pPr>
        <w:rPr>
          <w:rFonts w:asciiTheme="minorEastAsia" w:hAnsiTheme="minorEastAsia" w:eastAsiaTheme="minorEastAsia"/>
          <w:sz w:val="21"/>
          <w:szCs w:val="21"/>
        </w:rPr>
        <w:sectPr>
          <w:pgSz w:w="11906" w:h="16838"/>
          <w:pgMar w:top="1440" w:right="1797" w:bottom="1440" w:left="1797" w:header="851" w:footer="992" w:gutter="0"/>
          <w:cols w:space="425" w:num="1"/>
          <w:docGrid w:type="lines" w:linePitch="435" w:charSpace="0"/>
        </w:sectPr>
      </w:pPr>
    </w:p>
    <w:p>
      <w:pPr>
        <w:jc w:val="center"/>
        <w:outlineLvl w:val="0"/>
        <w:rPr>
          <w:rFonts w:ascii="方正小标宋_GBK" w:hAnsi="黑体" w:eastAsia="方正小标宋_GBK"/>
          <w:b/>
          <w:bCs/>
          <w:sz w:val="28"/>
          <w:szCs w:val="28"/>
        </w:rPr>
      </w:pPr>
      <w:bookmarkStart w:id="78" w:name="_Toc117541295"/>
      <w:bookmarkStart w:id="79" w:name="_Toc119336576"/>
      <w:bookmarkStart w:id="80" w:name="_Hlk117455635"/>
      <w:r>
        <w:rPr>
          <w:rFonts w:hint="eastAsia" w:ascii="方正小标宋_GBK" w:hAnsi="黑体" w:eastAsia="方正小标宋_GBK"/>
          <w:b/>
          <w:bCs/>
          <w:sz w:val="28"/>
          <w:szCs w:val="28"/>
        </w:rPr>
        <w:t>附录A</w:t>
      </w:r>
      <w:r>
        <w:rPr>
          <w:rFonts w:ascii="方正小标宋_GBK" w:hAnsi="黑体" w:eastAsia="方正小标宋_GBK"/>
          <w:b/>
          <w:bCs/>
          <w:sz w:val="28"/>
          <w:szCs w:val="28"/>
        </w:rPr>
        <w:t>.2</w:t>
      </w:r>
      <w:bookmarkEnd w:id="78"/>
      <w:bookmarkEnd w:id="79"/>
      <w:bookmarkEnd w:id="80"/>
    </w:p>
    <w:p>
      <w:pPr>
        <w:jc w:val="center"/>
        <w:rPr>
          <w:rFonts w:ascii="方正小标宋_GBK" w:hAnsi="黑体" w:eastAsia="方正小标宋_GBK"/>
          <w:b/>
          <w:bCs/>
          <w:sz w:val="28"/>
          <w:szCs w:val="28"/>
        </w:rPr>
      </w:pPr>
      <w:r>
        <w:rPr>
          <w:rFonts w:hint="eastAsia" w:ascii="方正小标宋_GBK" w:hAnsi="黑体" w:eastAsia="方正小标宋_GBK"/>
          <w:b/>
          <w:bCs/>
          <w:sz w:val="28"/>
          <w:szCs w:val="28"/>
        </w:rPr>
        <w:t>（资料性附录）</w:t>
      </w:r>
    </w:p>
    <w:p>
      <w:pPr>
        <w:jc w:val="center"/>
        <w:rPr>
          <w:rFonts w:ascii="方正小标宋_GBK" w:hAnsi="黑体" w:eastAsia="方正小标宋_GBK"/>
          <w:b/>
          <w:bCs/>
          <w:sz w:val="28"/>
          <w:szCs w:val="28"/>
        </w:rPr>
      </w:pPr>
    </w:p>
    <w:p>
      <w:pPr>
        <w:jc w:val="center"/>
        <w:outlineLvl w:val="1"/>
        <w:rPr>
          <w:rFonts w:ascii="方正小标宋_GBK" w:hAnsi="黑体" w:eastAsia="方正小标宋_GBK"/>
          <w:b/>
          <w:bCs/>
          <w:sz w:val="28"/>
          <w:szCs w:val="28"/>
        </w:rPr>
      </w:pPr>
      <w:bookmarkStart w:id="81" w:name="_Toc117541296"/>
      <w:bookmarkStart w:id="82" w:name="_Toc119336577"/>
      <w:r>
        <w:rPr>
          <w:rFonts w:hint="eastAsia" w:ascii="方正小标宋_GBK" w:hAnsi="黑体" w:eastAsia="方正小标宋_GBK"/>
          <w:b/>
          <w:bCs/>
          <w:sz w:val="28"/>
          <w:szCs w:val="28"/>
        </w:rPr>
        <w:t>水利水电工程施工一般危险源LEC法风险评价赋分表（指南）</w:t>
      </w:r>
      <w:bookmarkEnd w:id="81"/>
      <w:bookmarkEnd w:id="82"/>
    </w:p>
    <w:tbl>
      <w:tblPr>
        <w:tblStyle w:val="34"/>
        <w:tblW w:w="141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569"/>
        <w:gridCol w:w="734"/>
        <w:gridCol w:w="1079"/>
        <w:gridCol w:w="2100"/>
        <w:gridCol w:w="4169"/>
        <w:gridCol w:w="962"/>
        <w:gridCol w:w="1035"/>
        <w:gridCol w:w="1140"/>
        <w:gridCol w:w="1035"/>
        <w:gridCol w:w="13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0" w:hRule="atLeast"/>
          <w:tblHeader/>
          <w:jc w:val="center"/>
        </w:trPr>
        <w:tc>
          <w:tcPr>
            <w:tcW w:w="569" w:type="dxa"/>
            <w:vMerge w:val="restart"/>
            <w:vAlign w:val="center"/>
          </w:tcPr>
          <w:p>
            <w:pPr>
              <w:snapToGrid w:val="0"/>
              <w:jc w:val="center"/>
              <w:textAlignment w:val="center"/>
              <w:rPr>
                <w:rFonts w:cs="宋体" w:asciiTheme="minorEastAsia" w:hAnsiTheme="minorEastAsia" w:eastAsiaTheme="minorEastAsia"/>
                <w:b/>
                <w:sz w:val="18"/>
                <w:szCs w:val="18"/>
              </w:rPr>
            </w:pPr>
            <w:r>
              <w:rPr>
                <w:rFonts w:hint="eastAsia" w:cs="宋体" w:asciiTheme="minorEastAsia" w:hAnsiTheme="minorEastAsia" w:eastAsiaTheme="minorEastAsia"/>
                <w:b/>
                <w:sz w:val="18"/>
                <w:szCs w:val="18"/>
              </w:rPr>
              <w:t>序号</w:t>
            </w:r>
          </w:p>
        </w:tc>
        <w:tc>
          <w:tcPr>
            <w:tcW w:w="734" w:type="dxa"/>
            <w:vMerge w:val="restart"/>
            <w:vAlign w:val="center"/>
          </w:tcPr>
          <w:p>
            <w:pPr>
              <w:snapToGrid w:val="0"/>
              <w:jc w:val="center"/>
              <w:textAlignment w:val="center"/>
              <w:rPr>
                <w:rFonts w:cs="宋体" w:asciiTheme="minorEastAsia" w:hAnsiTheme="minorEastAsia" w:eastAsiaTheme="minorEastAsia"/>
                <w:b/>
                <w:sz w:val="18"/>
                <w:szCs w:val="18"/>
              </w:rPr>
            </w:pPr>
            <w:r>
              <w:rPr>
                <w:rFonts w:hint="eastAsia" w:cs="宋体" w:asciiTheme="minorEastAsia" w:hAnsiTheme="minorEastAsia" w:eastAsiaTheme="minorEastAsia"/>
                <w:b/>
                <w:sz w:val="18"/>
                <w:szCs w:val="18"/>
              </w:rPr>
              <w:t>类别</w:t>
            </w:r>
          </w:p>
        </w:tc>
        <w:tc>
          <w:tcPr>
            <w:tcW w:w="1079" w:type="dxa"/>
            <w:vMerge w:val="restart"/>
            <w:vAlign w:val="center"/>
          </w:tcPr>
          <w:p>
            <w:pPr>
              <w:snapToGrid w:val="0"/>
              <w:jc w:val="center"/>
              <w:textAlignment w:val="center"/>
              <w:rPr>
                <w:rFonts w:cs="宋体" w:asciiTheme="minorEastAsia" w:hAnsiTheme="minorEastAsia" w:eastAsiaTheme="minorEastAsia"/>
                <w:b/>
                <w:sz w:val="18"/>
                <w:szCs w:val="18"/>
              </w:rPr>
            </w:pPr>
            <w:r>
              <w:rPr>
                <w:rFonts w:hint="eastAsia" w:cs="宋体" w:asciiTheme="minorEastAsia" w:hAnsiTheme="minorEastAsia" w:eastAsiaTheme="minorEastAsia"/>
                <w:b/>
                <w:sz w:val="18"/>
                <w:szCs w:val="18"/>
              </w:rPr>
              <w:t>项目</w:t>
            </w:r>
          </w:p>
        </w:tc>
        <w:tc>
          <w:tcPr>
            <w:tcW w:w="2100" w:type="dxa"/>
            <w:vMerge w:val="restart"/>
            <w:vAlign w:val="center"/>
          </w:tcPr>
          <w:p>
            <w:pPr>
              <w:snapToGrid w:val="0"/>
              <w:jc w:val="center"/>
              <w:textAlignment w:val="center"/>
              <w:rPr>
                <w:rFonts w:cs="宋体" w:asciiTheme="minorEastAsia" w:hAnsiTheme="minorEastAsia" w:eastAsiaTheme="minorEastAsia"/>
                <w:b/>
                <w:sz w:val="18"/>
                <w:szCs w:val="18"/>
              </w:rPr>
            </w:pPr>
            <w:r>
              <w:rPr>
                <w:rFonts w:hint="eastAsia" w:cs="宋体" w:asciiTheme="minorEastAsia" w:hAnsiTheme="minorEastAsia" w:eastAsiaTheme="minorEastAsia"/>
                <w:b/>
                <w:sz w:val="18"/>
                <w:szCs w:val="18"/>
              </w:rPr>
              <w:t>危险源</w:t>
            </w:r>
          </w:p>
        </w:tc>
        <w:tc>
          <w:tcPr>
            <w:tcW w:w="4169" w:type="dxa"/>
            <w:vMerge w:val="restart"/>
            <w:vAlign w:val="center"/>
          </w:tcPr>
          <w:p>
            <w:pPr>
              <w:snapToGrid w:val="0"/>
              <w:jc w:val="center"/>
              <w:textAlignment w:val="center"/>
              <w:rPr>
                <w:rFonts w:cs="宋体" w:asciiTheme="minorEastAsia" w:hAnsiTheme="minorEastAsia" w:eastAsiaTheme="minorEastAsia"/>
                <w:b/>
                <w:sz w:val="18"/>
                <w:szCs w:val="18"/>
              </w:rPr>
            </w:pPr>
            <w:r>
              <w:rPr>
                <w:rFonts w:hint="eastAsia" w:cs="宋体" w:asciiTheme="minorEastAsia" w:hAnsiTheme="minorEastAsia" w:eastAsiaTheme="minorEastAsia"/>
                <w:b/>
                <w:sz w:val="18"/>
                <w:szCs w:val="18"/>
              </w:rPr>
              <w:t>一般危险源</w:t>
            </w:r>
          </w:p>
        </w:tc>
        <w:tc>
          <w:tcPr>
            <w:tcW w:w="4172" w:type="dxa"/>
            <w:gridSpan w:val="4"/>
            <w:vAlign w:val="center"/>
          </w:tcPr>
          <w:p>
            <w:pPr>
              <w:snapToGrid w:val="0"/>
              <w:jc w:val="center"/>
              <w:textAlignment w:val="center"/>
              <w:rPr>
                <w:rFonts w:cs="宋体" w:asciiTheme="minorEastAsia" w:hAnsiTheme="minorEastAsia" w:eastAsiaTheme="minorEastAsia"/>
                <w:b/>
                <w:sz w:val="18"/>
                <w:szCs w:val="18"/>
              </w:rPr>
            </w:pPr>
            <w:r>
              <w:rPr>
                <w:rFonts w:hint="eastAsia" w:cs="宋体" w:asciiTheme="minorEastAsia" w:hAnsiTheme="minorEastAsia" w:eastAsiaTheme="minorEastAsia"/>
                <w:b/>
                <w:sz w:val="18"/>
                <w:szCs w:val="18"/>
              </w:rPr>
              <w:t>LEC法取值范围</w:t>
            </w:r>
          </w:p>
        </w:tc>
        <w:tc>
          <w:tcPr>
            <w:tcW w:w="1335" w:type="dxa"/>
            <w:vMerge w:val="restart"/>
            <w:vAlign w:val="center"/>
          </w:tcPr>
          <w:p>
            <w:pPr>
              <w:snapToGrid w:val="0"/>
              <w:jc w:val="center"/>
              <w:textAlignment w:val="center"/>
              <w:rPr>
                <w:rFonts w:cs="宋体" w:asciiTheme="minorEastAsia" w:hAnsiTheme="minorEastAsia" w:eastAsiaTheme="minorEastAsia"/>
                <w:b/>
                <w:sz w:val="18"/>
                <w:szCs w:val="18"/>
              </w:rPr>
            </w:pPr>
            <w:r>
              <w:rPr>
                <w:rFonts w:hint="eastAsia" w:cs="宋体" w:asciiTheme="minorEastAsia" w:hAnsiTheme="minorEastAsia" w:eastAsiaTheme="minorEastAsia"/>
                <w:b/>
                <w:sz w:val="18"/>
                <w:szCs w:val="18"/>
              </w:rPr>
              <w:t>风险等级范围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0" w:hRule="atLeast"/>
          <w:tblHeader/>
          <w:jc w:val="center"/>
        </w:trPr>
        <w:tc>
          <w:tcPr>
            <w:tcW w:w="569" w:type="dxa"/>
            <w:vMerge w:val="continue"/>
            <w:vAlign w:val="center"/>
          </w:tcPr>
          <w:p>
            <w:pPr>
              <w:snapToGrid w:val="0"/>
              <w:jc w:val="center"/>
              <w:rPr>
                <w:rFonts w:cs="宋体" w:asciiTheme="minorEastAsia" w:hAnsiTheme="minorEastAsia" w:eastAsiaTheme="minorEastAsia"/>
                <w:b/>
                <w:sz w:val="18"/>
                <w:szCs w:val="18"/>
              </w:rPr>
            </w:pPr>
          </w:p>
        </w:tc>
        <w:tc>
          <w:tcPr>
            <w:tcW w:w="734" w:type="dxa"/>
            <w:vMerge w:val="continue"/>
            <w:vAlign w:val="center"/>
          </w:tcPr>
          <w:p>
            <w:pPr>
              <w:snapToGrid w:val="0"/>
              <w:jc w:val="center"/>
              <w:rPr>
                <w:rFonts w:cs="宋体" w:asciiTheme="minorEastAsia" w:hAnsiTheme="minorEastAsia" w:eastAsiaTheme="minorEastAsia"/>
                <w:b/>
                <w:sz w:val="18"/>
                <w:szCs w:val="18"/>
              </w:rPr>
            </w:pPr>
          </w:p>
        </w:tc>
        <w:tc>
          <w:tcPr>
            <w:tcW w:w="1079" w:type="dxa"/>
            <w:vMerge w:val="continue"/>
            <w:vAlign w:val="center"/>
          </w:tcPr>
          <w:p>
            <w:pPr>
              <w:snapToGrid w:val="0"/>
              <w:jc w:val="center"/>
              <w:rPr>
                <w:rFonts w:cs="宋体" w:asciiTheme="minorEastAsia" w:hAnsiTheme="minorEastAsia" w:eastAsiaTheme="minorEastAsia"/>
                <w:b/>
                <w:sz w:val="18"/>
                <w:szCs w:val="18"/>
              </w:rPr>
            </w:pPr>
          </w:p>
        </w:tc>
        <w:tc>
          <w:tcPr>
            <w:tcW w:w="2100" w:type="dxa"/>
            <w:vMerge w:val="continue"/>
            <w:vAlign w:val="center"/>
          </w:tcPr>
          <w:p>
            <w:pPr>
              <w:snapToGrid w:val="0"/>
              <w:jc w:val="left"/>
              <w:rPr>
                <w:rFonts w:cs="宋体" w:asciiTheme="minorEastAsia" w:hAnsiTheme="minorEastAsia" w:eastAsiaTheme="minorEastAsia"/>
                <w:b/>
                <w:sz w:val="18"/>
                <w:szCs w:val="18"/>
              </w:rPr>
            </w:pPr>
          </w:p>
        </w:tc>
        <w:tc>
          <w:tcPr>
            <w:tcW w:w="4169" w:type="dxa"/>
            <w:vMerge w:val="continue"/>
            <w:vAlign w:val="center"/>
          </w:tcPr>
          <w:p>
            <w:pPr>
              <w:snapToGrid w:val="0"/>
              <w:jc w:val="left"/>
              <w:textAlignment w:val="center"/>
              <w:rPr>
                <w:rFonts w:cs="宋体" w:asciiTheme="minorEastAsia" w:hAnsiTheme="minorEastAsia" w:eastAsiaTheme="minorEastAsia"/>
                <w:b/>
                <w:sz w:val="18"/>
                <w:szCs w:val="18"/>
              </w:rPr>
            </w:pPr>
          </w:p>
        </w:tc>
        <w:tc>
          <w:tcPr>
            <w:tcW w:w="962" w:type="dxa"/>
            <w:vAlign w:val="center"/>
          </w:tcPr>
          <w:p>
            <w:pPr>
              <w:snapToGrid w:val="0"/>
              <w:jc w:val="center"/>
              <w:textAlignment w:val="center"/>
              <w:rPr>
                <w:rFonts w:cs="宋体" w:asciiTheme="minorEastAsia" w:hAnsiTheme="minorEastAsia" w:eastAsiaTheme="minorEastAsia"/>
                <w:b/>
                <w:sz w:val="18"/>
                <w:szCs w:val="18"/>
              </w:rPr>
            </w:pPr>
            <w:r>
              <w:rPr>
                <w:rFonts w:hint="eastAsia" w:cs="宋体" w:asciiTheme="minorEastAsia" w:hAnsiTheme="minorEastAsia" w:eastAsiaTheme="minorEastAsia"/>
                <w:b/>
                <w:sz w:val="18"/>
                <w:szCs w:val="18"/>
              </w:rPr>
              <w:t>L</w:t>
            </w:r>
          </w:p>
        </w:tc>
        <w:tc>
          <w:tcPr>
            <w:tcW w:w="1035" w:type="dxa"/>
            <w:vAlign w:val="center"/>
          </w:tcPr>
          <w:p>
            <w:pPr>
              <w:snapToGrid w:val="0"/>
              <w:jc w:val="center"/>
              <w:textAlignment w:val="center"/>
              <w:rPr>
                <w:rFonts w:cs="宋体" w:asciiTheme="minorEastAsia" w:hAnsiTheme="minorEastAsia" w:eastAsiaTheme="minorEastAsia"/>
                <w:b/>
                <w:sz w:val="18"/>
                <w:szCs w:val="18"/>
              </w:rPr>
            </w:pPr>
            <w:r>
              <w:rPr>
                <w:rFonts w:hint="eastAsia" w:cs="宋体" w:asciiTheme="minorEastAsia" w:hAnsiTheme="minorEastAsia" w:eastAsiaTheme="minorEastAsia"/>
                <w:b/>
                <w:sz w:val="18"/>
                <w:szCs w:val="18"/>
              </w:rPr>
              <w:t>E</w:t>
            </w:r>
          </w:p>
        </w:tc>
        <w:tc>
          <w:tcPr>
            <w:tcW w:w="1140" w:type="dxa"/>
            <w:vAlign w:val="center"/>
          </w:tcPr>
          <w:p>
            <w:pPr>
              <w:snapToGrid w:val="0"/>
              <w:jc w:val="center"/>
              <w:textAlignment w:val="center"/>
              <w:rPr>
                <w:rFonts w:cs="宋体" w:asciiTheme="minorEastAsia" w:hAnsiTheme="minorEastAsia" w:eastAsiaTheme="minorEastAsia"/>
                <w:b/>
                <w:sz w:val="18"/>
                <w:szCs w:val="18"/>
              </w:rPr>
            </w:pPr>
            <w:r>
              <w:rPr>
                <w:rFonts w:hint="eastAsia" w:cs="宋体" w:asciiTheme="minorEastAsia" w:hAnsiTheme="minorEastAsia" w:eastAsiaTheme="minorEastAsia"/>
                <w:b/>
                <w:sz w:val="18"/>
                <w:szCs w:val="18"/>
              </w:rPr>
              <w:t>C</w:t>
            </w:r>
          </w:p>
        </w:tc>
        <w:tc>
          <w:tcPr>
            <w:tcW w:w="1035" w:type="dxa"/>
            <w:vAlign w:val="center"/>
          </w:tcPr>
          <w:p>
            <w:pPr>
              <w:snapToGrid w:val="0"/>
              <w:jc w:val="center"/>
              <w:textAlignment w:val="center"/>
              <w:rPr>
                <w:rFonts w:cs="宋体" w:asciiTheme="minorEastAsia" w:hAnsiTheme="minorEastAsia" w:eastAsiaTheme="minorEastAsia"/>
                <w:b/>
                <w:sz w:val="18"/>
                <w:szCs w:val="18"/>
              </w:rPr>
            </w:pPr>
            <w:r>
              <w:rPr>
                <w:rFonts w:hint="eastAsia" w:cs="宋体" w:asciiTheme="minorEastAsia" w:hAnsiTheme="minorEastAsia" w:eastAsiaTheme="minorEastAsia"/>
                <w:b/>
                <w:sz w:val="18"/>
                <w:szCs w:val="18"/>
              </w:rPr>
              <w:t>D</w:t>
            </w:r>
          </w:p>
        </w:tc>
        <w:tc>
          <w:tcPr>
            <w:tcW w:w="1335" w:type="dxa"/>
            <w:vMerge w:val="continue"/>
            <w:vAlign w:val="center"/>
          </w:tcPr>
          <w:p>
            <w:pPr>
              <w:snapToGrid w:val="0"/>
              <w:jc w:val="center"/>
              <w:rPr>
                <w:rFonts w:cs="宋体" w:asciiTheme="minorEastAsia" w:hAnsiTheme="minorEastAsia" w:eastAsiaTheme="minorEastAsia"/>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0" w:hRule="atLeast"/>
          <w:jc w:val="center"/>
        </w:trPr>
        <w:tc>
          <w:tcPr>
            <w:tcW w:w="569"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1</w:t>
            </w:r>
          </w:p>
        </w:tc>
        <w:tc>
          <w:tcPr>
            <w:tcW w:w="734" w:type="dxa"/>
            <w:vMerge w:val="restart"/>
            <w:vAlign w:val="center"/>
          </w:tcPr>
          <w:p>
            <w:pPr>
              <w:snapToGrid w:val="0"/>
              <w:jc w:val="center"/>
              <w:textAlignment w:val="center"/>
              <w:rPr>
                <w:rFonts w:cs="宋体" w:asciiTheme="minorEastAsia" w:hAnsiTheme="minorEastAsia" w:eastAsiaTheme="minorEastAsia"/>
                <w:sz w:val="18"/>
                <w:szCs w:val="18"/>
              </w:rPr>
            </w:pPr>
          </w:p>
          <w:p>
            <w:pPr>
              <w:snapToGrid w:val="0"/>
              <w:jc w:val="center"/>
              <w:textAlignment w:val="center"/>
              <w:rPr>
                <w:rFonts w:cs="宋体" w:asciiTheme="minorEastAsia" w:hAnsiTheme="minorEastAsia" w:eastAsiaTheme="minorEastAsia"/>
                <w:sz w:val="18"/>
                <w:szCs w:val="18"/>
              </w:rPr>
            </w:pPr>
          </w:p>
          <w:p>
            <w:pPr>
              <w:snapToGrid w:val="0"/>
              <w:jc w:val="center"/>
              <w:textAlignment w:val="center"/>
              <w:rPr>
                <w:rFonts w:cs="宋体" w:asciiTheme="minorEastAsia" w:hAnsiTheme="minorEastAsia" w:eastAsiaTheme="minorEastAsia"/>
                <w:sz w:val="18"/>
                <w:szCs w:val="18"/>
              </w:rPr>
            </w:pPr>
          </w:p>
          <w:p>
            <w:pPr>
              <w:snapToGrid w:val="0"/>
              <w:jc w:val="center"/>
              <w:textAlignment w:val="center"/>
              <w:rPr>
                <w:rFonts w:cs="宋体" w:asciiTheme="minorEastAsia" w:hAnsiTheme="minorEastAsia" w:eastAsiaTheme="minorEastAsia"/>
                <w:sz w:val="18"/>
                <w:szCs w:val="18"/>
              </w:rPr>
            </w:pPr>
          </w:p>
          <w:p>
            <w:pPr>
              <w:snapToGrid w:val="0"/>
              <w:jc w:val="center"/>
              <w:textAlignment w:val="center"/>
              <w:rPr>
                <w:rFonts w:cs="宋体" w:asciiTheme="minorEastAsia" w:hAnsiTheme="minorEastAsia" w:eastAsiaTheme="minorEastAsia"/>
                <w:sz w:val="18"/>
                <w:szCs w:val="18"/>
              </w:rPr>
            </w:pPr>
          </w:p>
          <w:p>
            <w:pPr>
              <w:snapToGrid w:val="0"/>
              <w:jc w:val="center"/>
              <w:textAlignment w:val="center"/>
              <w:rPr>
                <w:rFonts w:cs="宋体" w:asciiTheme="minorEastAsia" w:hAnsiTheme="minorEastAsia" w:eastAsiaTheme="minorEastAsia"/>
                <w:sz w:val="18"/>
                <w:szCs w:val="18"/>
              </w:rPr>
            </w:pPr>
          </w:p>
          <w:p>
            <w:pPr>
              <w:snapToGrid w:val="0"/>
              <w:jc w:val="center"/>
              <w:textAlignment w:val="center"/>
              <w:rPr>
                <w:rFonts w:cs="宋体" w:asciiTheme="minorEastAsia" w:hAnsiTheme="minorEastAsia" w:eastAsiaTheme="minorEastAsia"/>
                <w:sz w:val="18"/>
                <w:szCs w:val="18"/>
              </w:rPr>
            </w:pPr>
          </w:p>
          <w:p>
            <w:pPr>
              <w:snapToGrid w:val="0"/>
              <w:jc w:val="center"/>
              <w:textAlignment w:val="center"/>
              <w:rPr>
                <w:rFonts w:cs="宋体" w:asciiTheme="minorEastAsia" w:hAnsiTheme="minorEastAsia" w:eastAsiaTheme="minorEastAsia"/>
                <w:sz w:val="18"/>
                <w:szCs w:val="18"/>
              </w:rPr>
            </w:pPr>
          </w:p>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施工</w:t>
            </w:r>
            <w:r>
              <w:rPr>
                <w:rFonts w:hint="eastAsia" w:cs="宋体" w:asciiTheme="minorEastAsia" w:hAnsiTheme="minorEastAsia" w:eastAsiaTheme="minorEastAsia"/>
                <w:sz w:val="18"/>
                <w:szCs w:val="18"/>
              </w:rPr>
              <w:br w:type="textWrapping"/>
            </w:r>
            <w:r>
              <w:rPr>
                <w:rFonts w:hint="eastAsia" w:cs="宋体" w:asciiTheme="minorEastAsia" w:hAnsiTheme="minorEastAsia" w:eastAsiaTheme="minorEastAsia"/>
                <w:sz w:val="18"/>
                <w:szCs w:val="18"/>
              </w:rPr>
              <w:t>作业类</w:t>
            </w:r>
          </w:p>
          <w:p>
            <w:pPr>
              <w:snapToGrid w:val="0"/>
              <w:jc w:val="center"/>
              <w:textAlignment w:val="center"/>
              <w:rPr>
                <w:rFonts w:cs="宋体" w:asciiTheme="minorEastAsia" w:hAnsiTheme="minorEastAsia" w:eastAsiaTheme="minorEastAsia"/>
                <w:sz w:val="18"/>
                <w:szCs w:val="18"/>
              </w:rPr>
            </w:pPr>
          </w:p>
          <w:p>
            <w:pPr>
              <w:widowControl w:val="0"/>
              <w:spacing w:line="400" w:lineRule="exact"/>
              <w:ind w:firstLine="360" w:firstLineChars="200"/>
              <w:jc w:val="center"/>
              <w:rPr>
                <w:rFonts w:cs="宋体" w:asciiTheme="minorEastAsia" w:hAnsiTheme="minorEastAsia" w:eastAsiaTheme="minorEastAsia"/>
                <w:sz w:val="18"/>
                <w:szCs w:val="18"/>
              </w:rPr>
            </w:pPr>
          </w:p>
          <w:p>
            <w:pPr>
              <w:snapToGrid w:val="0"/>
              <w:jc w:val="center"/>
              <w:textAlignment w:val="center"/>
              <w:rPr>
                <w:rFonts w:cs="宋体" w:asciiTheme="minorEastAsia" w:hAnsiTheme="minorEastAsia" w:eastAsiaTheme="minorEastAsia"/>
                <w:sz w:val="18"/>
                <w:szCs w:val="18"/>
              </w:rPr>
            </w:pPr>
          </w:p>
          <w:p>
            <w:pPr>
              <w:snapToGrid w:val="0"/>
              <w:jc w:val="center"/>
              <w:textAlignment w:val="center"/>
              <w:rPr>
                <w:rFonts w:cs="宋体" w:asciiTheme="minorEastAsia" w:hAnsiTheme="minorEastAsia" w:eastAsiaTheme="minorEastAsia"/>
                <w:sz w:val="18"/>
                <w:szCs w:val="18"/>
              </w:rPr>
            </w:pPr>
          </w:p>
          <w:p>
            <w:pPr>
              <w:snapToGrid w:val="0"/>
              <w:jc w:val="center"/>
              <w:textAlignment w:val="center"/>
              <w:rPr>
                <w:rFonts w:cs="宋体" w:asciiTheme="minorEastAsia" w:hAnsiTheme="minorEastAsia" w:eastAsiaTheme="minorEastAsia"/>
                <w:sz w:val="18"/>
                <w:szCs w:val="18"/>
              </w:rPr>
            </w:pPr>
          </w:p>
          <w:p>
            <w:pPr>
              <w:snapToGrid w:val="0"/>
              <w:jc w:val="center"/>
              <w:textAlignment w:val="center"/>
              <w:rPr>
                <w:rFonts w:cs="宋体" w:asciiTheme="minorEastAsia" w:hAnsiTheme="minorEastAsia" w:eastAsiaTheme="minorEastAsia"/>
                <w:sz w:val="18"/>
                <w:szCs w:val="18"/>
              </w:rPr>
            </w:pPr>
          </w:p>
          <w:p>
            <w:pPr>
              <w:snapToGrid w:val="0"/>
              <w:jc w:val="center"/>
              <w:textAlignment w:val="center"/>
              <w:rPr>
                <w:rFonts w:cs="宋体" w:asciiTheme="minorEastAsia" w:hAnsiTheme="minorEastAsia" w:eastAsiaTheme="minorEastAsia"/>
                <w:sz w:val="18"/>
                <w:szCs w:val="18"/>
              </w:rPr>
            </w:pPr>
          </w:p>
          <w:p>
            <w:pPr>
              <w:snapToGrid w:val="0"/>
              <w:jc w:val="center"/>
              <w:textAlignment w:val="center"/>
              <w:rPr>
                <w:rFonts w:cs="宋体" w:asciiTheme="minorEastAsia" w:hAnsiTheme="minorEastAsia" w:eastAsiaTheme="minorEastAsia"/>
                <w:sz w:val="18"/>
                <w:szCs w:val="18"/>
              </w:rPr>
            </w:pPr>
          </w:p>
          <w:p>
            <w:pPr>
              <w:snapToGrid w:val="0"/>
              <w:jc w:val="center"/>
              <w:textAlignment w:val="center"/>
              <w:rPr>
                <w:rFonts w:cs="宋体" w:asciiTheme="minorEastAsia" w:hAnsiTheme="minorEastAsia" w:eastAsiaTheme="minorEastAsia"/>
                <w:sz w:val="18"/>
                <w:szCs w:val="18"/>
              </w:rPr>
            </w:pPr>
          </w:p>
          <w:p>
            <w:pPr>
              <w:snapToGrid w:val="0"/>
              <w:jc w:val="center"/>
              <w:textAlignment w:val="center"/>
              <w:rPr>
                <w:rFonts w:cs="宋体" w:asciiTheme="minorEastAsia" w:hAnsiTheme="minorEastAsia" w:eastAsiaTheme="minorEastAsia"/>
                <w:sz w:val="18"/>
                <w:szCs w:val="18"/>
              </w:rPr>
            </w:pPr>
          </w:p>
          <w:p>
            <w:pPr>
              <w:snapToGrid w:val="0"/>
              <w:jc w:val="center"/>
              <w:textAlignment w:val="center"/>
              <w:rPr>
                <w:rFonts w:cs="宋体" w:asciiTheme="minorEastAsia" w:hAnsiTheme="minorEastAsia" w:eastAsiaTheme="minorEastAsia"/>
                <w:sz w:val="18"/>
                <w:szCs w:val="18"/>
              </w:rPr>
            </w:pPr>
          </w:p>
          <w:p>
            <w:pPr>
              <w:snapToGrid w:val="0"/>
              <w:jc w:val="center"/>
              <w:textAlignment w:val="center"/>
              <w:rPr>
                <w:rFonts w:cs="宋体" w:asciiTheme="minorEastAsia" w:hAnsiTheme="minorEastAsia" w:eastAsiaTheme="minorEastAsia"/>
                <w:sz w:val="18"/>
                <w:szCs w:val="18"/>
              </w:rPr>
            </w:pPr>
          </w:p>
          <w:p>
            <w:pPr>
              <w:snapToGrid w:val="0"/>
              <w:jc w:val="center"/>
              <w:textAlignment w:val="center"/>
              <w:rPr>
                <w:rFonts w:cs="宋体" w:asciiTheme="minorEastAsia" w:hAnsiTheme="minorEastAsia" w:eastAsiaTheme="minorEastAsia"/>
                <w:sz w:val="18"/>
                <w:szCs w:val="18"/>
              </w:rPr>
            </w:pPr>
          </w:p>
          <w:p>
            <w:pPr>
              <w:snapToGrid w:val="0"/>
              <w:jc w:val="center"/>
              <w:textAlignment w:val="center"/>
              <w:rPr>
                <w:rFonts w:cs="宋体" w:asciiTheme="minorEastAsia" w:hAnsiTheme="minorEastAsia" w:eastAsiaTheme="minorEastAsia"/>
                <w:sz w:val="18"/>
                <w:szCs w:val="18"/>
              </w:rPr>
            </w:pPr>
          </w:p>
          <w:p>
            <w:pPr>
              <w:snapToGrid w:val="0"/>
              <w:jc w:val="center"/>
              <w:textAlignment w:val="center"/>
              <w:rPr>
                <w:rFonts w:cs="宋体" w:asciiTheme="minorEastAsia" w:hAnsiTheme="minorEastAsia" w:eastAsiaTheme="minorEastAsia"/>
                <w:sz w:val="18"/>
                <w:szCs w:val="18"/>
              </w:rPr>
            </w:pPr>
          </w:p>
          <w:p>
            <w:pPr>
              <w:snapToGrid w:val="0"/>
              <w:jc w:val="center"/>
              <w:textAlignment w:val="center"/>
              <w:rPr>
                <w:rFonts w:cs="宋体" w:asciiTheme="minorEastAsia" w:hAnsiTheme="minorEastAsia" w:eastAsiaTheme="minorEastAsia"/>
                <w:sz w:val="18"/>
                <w:szCs w:val="18"/>
              </w:rPr>
            </w:pPr>
          </w:p>
          <w:p>
            <w:pPr>
              <w:snapToGrid w:val="0"/>
              <w:jc w:val="center"/>
              <w:textAlignment w:val="center"/>
              <w:rPr>
                <w:rFonts w:cs="宋体" w:asciiTheme="minorEastAsia" w:hAnsiTheme="minorEastAsia" w:eastAsiaTheme="minorEastAsia"/>
                <w:sz w:val="18"/>
                <w:szCs w:val="18"/>
              </w:rPr>
            </w:pPr>
          </w:p>
          <w:p>
            <w:pPr>
              <w:snapToGrid w:val="0"/>
              <w:jc w:val="center"/>
              <w:textAlignment w:val="center"/>
              <w:rPr>
                <w:rFonts w:cs="宋体" w:asciiTheme="minorEastAsia" w:hAnsiTheme="minorEastAsia" w:eastAsiaTheme="minorEastAsia"/>
                <w:sz w:val="18"/>
                <w:szCs w:val="18"/>
              </w:rPr>
            </w:pPr>
          </w:p>
          <w:p>
            <w:pPr>
              <w:snapToGrid w:val="0"/>
              <w:jc w:val="center"/>
              <w:textAlignment w:val="center"/>
              <w:rPr>
                <w:rFonts w:cs="宋体" w:asciiTheme="minorEastAsia" w:hAnsiTheme="minorEastAsia" w:eastAsiaTheme="minorEastAsia"/>
                <w:sz w:val="18"/>
                <w:szCs w:val="18"/>
              </w:rPr>
            </w:pPr>
          </w:p>
          <w:p>
            <w:pPr>
              <w:snapToGrid w:val="0"/>
              <w:jc w:val="center"/>
              <w:textAlignment w:val="center"/>
              <w:rPr>
                <w:rFonts w:cs="宋体" w:asciiTheme="minorEastAsia" w:hAnsiTheme="minorEastAsia" w:eastAsiaTheme="minorEastAsia"/>
                <w:sz w:val="18"/>
                <w:szCs w:val="18"/>
              </w:rPr>
            </w:pPr>
          </w:p>
          <w:p>
            <w:pPr>
              <w:snapToGrid w:val="0"/>
              <w:jc w:val="center"/>
              <w:textAlignment w:val="center"/>
              <w:rPr>
                <w:rFonts w:cs="宋体" w:asciiTheme="minorEastAsia" w:hAnsiTheme="minorEastAsia" w:eastAsiaTheme="minorEastAsia"/>
                <w:sz w:val="18"/>
                <w:szCs w:val="18"/>
              </w:rPr>
            </w:pPr>
          </w:p>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施工</w:t>
            </w:r>
            <w:r>
              <w:rPr>
                <w:rFonts w:hint="eastAsia" w:cs="宋体" w:asciiTheme="minorEastAsia" w:hAnsiTheme="minorEastAsia" w:eastAsiaTheme="minorEastAsia"/>
                <w:sz w:val="18"/>
                <w:szCs w:val="18"/>
              </w:rPr>
              <w:br w:type="textWrapping"/>
            </w:r>
            <w:r>
              <w:rPr>
                <w:rFonts w:hint="eastAsia" w:cs="宋体" w:asciiTheme="minorEastAsia" w:hAnsiTheme="minorEastAsia" w:eastAsiaTheme="minorEastAsia"/>
                <w:sz w:val="18"/>
                <w:szCs w:val="18"/>
              </w:rPr>
              <w:t>作业类</w:t>
            </w:r>
          </w:p>
          <w:p>
            <w:pPr>
              <w:widowControl w:val="0"/>
              <w:spacing w:line="400" w:lineRule="exact"/>
              <w:ind w:firstLine="360" w:firstLineChars="200"/>
              <w:jc w:val="center"/>
              <w:rPr>
                <w:rFonts w:cs="宋体" w:asciiTheme="minorEastAsia" w:hAnsiTheme="minorEastAsia" w:eastAsiaTheme="minorEastAsia"/>
                <w:sz w:val="18"/>
                <w:szCs w:val="18"/>
              </w:rPr>
            </w:pPr>
          </w:p>
          <w:p>
            <w:pPr>
              <w:snapToGrid w:val="0"/>
              <w:jc w:val="center"/>
              <w:textAlignment w:val="center"/>
              <w:rPr>
                <w:rFonts w:cs="宋体" w:asciiTheme="minorEastAsia" w:hAnsiTheme="minorEastAsia" w:eastAsiaTheme="minorEastAsia"/>
                <w:sz w:val="18"/>
                <w:szCs w:val="18"/>
              </w:rPr>
            </w:pPr>
          </w:p>
          <w:p>
            <w:pPr>
              <w:snapToGrid w:val="0"/>
              <w:jc w:val="center"/>
              <w:textAlignment w:val="center"/>
              <w:rPr>
                <w:rFonts w:cs="宋体" w:asciiTheme="minorEastAsia" w:hAnsiTheme="minorEastAsia" w:eastAsiaTheme="minorEastAsia"/>
                <w:sz w:val="18"/>
                <w:szCs w:val="18"/>
              </w:rPr>
            </w:pPr>
          </w:p>
          <w:p>
            <w:pPr>
              <w:snapToGrid w:val="0"/>
              <w:jc w:val="center"/>
              <w:textAlignment w:val="center"/>
              <w:rPr>
                <w:rFonts w:cs="宋体" w:asciiTheme="minorEastAsia" w:hAnsiTheme="minorEastAsia" w:eastAsiaTheme="minorEastAsia"/>
                <w:sz w:val="18"/>
                <w:szCs w:val="18"/>
              </w:rPr>
            </w:pPr>
          </w:p>
          <w:p>
            <w:pPr>
              <w:snapToGrid w:val="0"/>
              <w:jc w:val="center"/>
              <w:textAlignment w:val="center"/>
              <w:rPr>
                <w:rFonts w:cs="宋体" w:asciiTheme="minorEastAsia" w:hAnsiTheme="minorEastAsia" w:eastAsiaTheme="minorEastAsia"/>
                <w:sz w:val="18"/>
                <w:szCs w:val="18"/>
              </w:rPr>
            </w:pPr>
          </w:p>
          <w:p>
            <w:pPr>
              <w:snapToGrid w:val="0"/>
              <w:jc w:val="center"/>
              <w:textAlignment w:val="center"/>
              <w:rPr>
                <w:rFonts w:cs="宋体" w:asciiTheme="minorEastAsia" w:hAnsiTheme="minorEastAsia" w:eastAsiaTheme="minorEastAsia"/>
                <w:sz w:val="18"/>
                <w:szCs w:val="18"/>
              </w:rPr>
            </w:pPr>
          </w:p>
          <w:p>
            <w:pPr>
              <w:snapToGrid w:val="0"/>
              <w:jc w:val="center"/>
              <w:textAlignment w:val="center"/>
              <w:rPr>
                <w:rFonts w:cs="宋体" w:asciiTheme="minorEastAsia" w:hAnsiTheme="minorEastAsia" w:eastAsiaTheme="minorEastAsia"/>
                <w:sz w:val="18"/>
                <w:szCs w:val="18"/>
              </w:rPr>
            </w:pPr>
          </w:p>
          <w:p>
            <w:pPr>
              <w:snapToGrid w:val="0"/>
              <w:jc w:val="center"/>
              <w:textAlignment w:val="center"/>
              <w:rPr>
                <w:rFonts w:cs="宋体" w:asciiTheme="minorEastAsia" w:hAnsiTheme="minorEastAsia" w:eastAsiaTheme="minorEastAsia"/>
                <w:sz w:val="18"/>
                <w:szCs w:val="18"/>
              </w:rPr>
            </w:pPr>
          </w:p>
          <w:p>
            <w:pPr>
              <w:snapToGrid w:val="0"/>
              <w:jc w:val="center"/>
              <w:textAlignment w:val="center"/>
              <w:rPr>
                <w:rFonts w:cs="宋体" w:asciiTheme="minorEastAsia" w:hAnsiTheme="minorEastAsia" w:eastAsiaTheme="minorEastAsia"/>
                <w:sz w:val="18"/>
                <w:szCs w:val="18"/>
              </w:rPr>
            </w:pPr>
          </w:p>
          <w:p>
            <w:pPr>
              <w:snapToGrid w:val="0"/>
              <w:jc w:val="center"/>
              <w:textAlignment w:val="center"/>
              <w:rPr>
                <w:rFonts w:cs="宋体" w:asciiTheme="minorEastAsia" w:hAnsiTheme="minorEastAsia" w:eastAsiaTheme="minorEastAsia"/>
                <w:sz w:val="18"/>
                <w:szCs w:val="18"/>
              </w:rPr>
            </w:pPr>
          </w:p>
          <w:p>
            <w:pPr>
              <w:snapToGrid w:val="0"/>
              <w:jc w:val="center"/>
              <w:textAlignment w:val="center"/>
              <w:rPr>
                <w:rFonts w:cs="宋体" w:asciiTheme="minorEastAsia" w:hAnsiTheme="minorEastAsia" w:eastAsiaTheme="minorEastAsia"/>
                <w:sz w:val="18"/>
                <w:szCs w:val="18"/>
              </w:rPr>
            </w:pPr>
          </w:p>
          <w:p>
            <w:pPr>
              <w:snapToGrid w:val="0"/>
              <w:jc w:val="center"/>
              <w:textAlignment w:val="center"/>
              <w:rPr>
                <w:rFonts w:cs="宋体" w:asciiTheme="minorEastAsia" w:hAnsiTheme="minorEastAsia" w:eastAsiaTheme="minorEastAsia"/>
                <w:sz w:val="18"/>
                <w:szCs w:val="18"/>
              </w:rPr>
            </w:pPr>
          </w:p>
          <w:p>
            <w:pPr>
              <w:snapToGrid w:val="0"/>
              <w:jc w:val="center"/>
              <w:textAlignment w:val="center"/>
              <w:rPr>
                <w:rFonts w:cs="宋体" w:asciiTheme="minorEastAsia" w:hAnsiTheme="minorEastAsia" w:eastAsiaTheme="minorEastAsia"/>
                <w:sz w:val="18"/>
                <w:szCs w:val="18"/>
              </w:rPr>
            </w:pPr>
          </w:p>
          <w:p>
            <w:pPr>
              <w:snapToGrid w:val="0"/>
              <w:jc w:val="center"/>
              <w:textAlignment w:val="center"/>
              <w:rPr>
                <w:rFonts w:cs="宋体" w:asciiTheme="minorEastAsia" w:hAnsiTheme="minorEastAsia" w:eastAsiaTheme="minorEastAsia"/>
                <w:sz w:val="18"/>
                <w:szCs w:val="18"/>
              </w:rPr>
            </w:pPr>
          </w:p>
          <w:p>
            <w:pPr>
              <w:snapToGrid w:val="0"/>
              <w:jc w:val="center"/>
              <w:textAlignment w:val="center"/>
              <w:rPr>
                <w:rFonts w:cs="宋体" w:asciiTheme="minorEastAsia" w:hAnsiTheme="minorEastAsia" w:eastAsiaTheme="minorEastAsia"/>
                <w:sz w:val="18"/>
                <w:szCs w:val="18"/>
              </w:rPr>
            </w:pPr>
          </w:p>
          <w:p>
            <w:pPr>
              <w:snapToGrid w:val="0"/>
              <w:jc w:val="center"/>
              <w:textAlignment w:val="center"/>
              <w:rPr>
                <w:rFonts w:cs="宋体" w:asciiTheme="minorEastAsia" w:hAnsiTheme="minorEastAsia" w:eastAsiaTheme="minorEastAsia"/>
                <w:sz w:val="18"/>
                <w:szCs w:val="18"/>
              </w:rPr>
            </w:pPr>
          </w:p>
          <w:p>
            <w:pPr>
              <w:snapToGrid w:val="0"/>
              <w:jc w:val="center"/>
              <w:textAlignment w:val="center"/>
              <w:rPr>
                <w:rFonts w:cs="宋体" w:asciiTheme="minorEastAsia" w:hAnsiTheme="minorEastAsia" w:eastAsiaTheme="minorEastAsia"/>
                <w:sz w:val="18"/>
                <w:szCs w:val="18"/>
              </w:rPr>
            </w:pPr>
          </w:p>
          <w:p>
            <w:pPr>
              <w:snapToGrid w:val="0"/>
              <w:jc w:val="center"/>
              <w:textAlignment w:val="center"/>
              <w:rPr>
                <w:rFonts w:cs="宋体" w:asciiTheme="minorEastAsia" w:hAnsiTheme="minorEastAsia" w:eastAsiaTheme="minorEastAsia"/>
                <w:sz w:val="18"/>
                <w:szCs w:val="18"/>
              </w:rPr>
            </w:pPr>
          </w:p>
          <w:p>
            <w:pPr>
              <w:snapToGrid w:val="0"/>
              <w:jc w:val="center"/>
              <w:textAlignment w:val="center"/>
              <w:rPr>
                <w:rFonts w:cs="宋体" w:asciiTheme="minorEastAsia" w:hAnsiTheme="minorEastAsia" w:eastAsiaTheme="minorEastAsia"/>
                <w:sz w:val="18"/>
                <w:szCs w:val="18"/>
              </w:rPr>
            </w:pPr>
          </w:p>
          <w:p>
            <w:pPr>
              <w:snapToGrid w:val="0"/>
              <w:jc w:val="center"/>
              <w:textAlignment w:val="center"/>
              <w:rPr>
                <w:rFonts w:cs="宋体" w:asciiTheme="minorEastAsia" w:hAnsiTheme="minorEastAsia" w:eastAsiaTheme="minorEastAsia"/>
                <w:sz w:val="18"/>
                <w:szCs w:val="18"/>
              </w:rPr>
            </w:pPr>
          </w:p>
          <w:p>
            <w:pPr>
              <w:snapToGrid w:val="0"/>
              <w:jc w:val="center"/>
              <w:textAlignment w:val="center"/>
              <w:rPr>
                <w:rFonts w:cs="宋体" w:asciiTheme="minorEastAsia" w:hAnsiTheme="minorEastAsia" w:eastAsiaTheme="minorEastAsia"/>
                <w:sz w:val="18"/>
                <w:szCs w:val="18"/>
              </w:rPr>
            </w:pPr>
          </w:p>
          <w:p>
            <w:pPr>
              <w:snapToGrid w:val="0"/>
              <w:jc w:val="center"/>
              <w:textAlignment w:val="center"/>
              <w:rPr>
                <w:rFonts w:cs="宋体" w:asciiTheme="minorEastAsia" w:hAnsiTheme="minorEastAsia" w:eastAsiaTheme="minorEastAsia"/>
                <w:sz w:val="18"/>
                <w:szCs w:val="18"/>
              </w:rPr>
            </w:pPr>
          </w:p>
          <w:p>
            <w:pPr>
              <w:snapToGrid w:val="0"/>
              <w:jc w:val="center"/>
              <w:textAlignment w:val="center"/>
              <w:rPr>
                <w:rFonts w:cs="宋体" w:asciiTheme="minorEastAsia" w:hAnsiTheme="minorEastAsia" w:eastAsiaTheme="minorEastAsia"/>
                <w:sz w:val="18"/>
                <w:szCs w:val="18"/>
              </w:rPr>
            </w:pPr>
          </w:p>
          <w:p>
            <w:pPr>
              <w:snapToGrid w:val="0"/>
              <w:jc w:val="center"/>
              <w:textAlignment w:val="center"/>
              <w:rPr>
                <w:rFonts w:cs="宋体" w:asciiTheme="minorEastAsia" w:hAnsiTheme="minorEastAsia" w:eastAsiaTheme="minorEastAsia"/>
                <w:sz w:val="18"/>
                <w:szCs w:val="18"/>
              </w:rPr>
            </w:pPr>
          </w:p>
          <w:p>
            <w:pPr>
              <w:snapToGrid w:val="0"/>
              <w:jc w:val="center"/>
              <w:textAlignment w:val="center"/>
              <w:rPr>
                <w:rFonts w:cs="宋体" w:asciiTheme="minorEastAsia" w:hAnsiTheme="minorEastAsia" w:eastAsiaTheme="minorEastAsia"/>
                <w:sz w:val="18"/>
                <w:szCs w:val="18"/>
              </w:rPr>
            </w:pPr>
          </w:p>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施工</w:t>
            </w:r>
            <w:r>
              <w:rPr>
                <w:rFonts w:hint="eastAsia" w:cs="宋体" w:asciiTheme="minorEastAsia" w:hAnsiTheme="minorEastAsia" w:eastAsiaTheme="minorEastAsia"/>
                <w:sz w:val="18"/>
                <w:szCs w:val="18"/>
              </w:rPr>
              <w:br w:type="textWrapping"/>
            </w:r>
            <w:r>
              <w:rPr>
                <w:rFonts w:hint="eastAsia" w:cs="宋体" w:asciiTheme="minorEastAsia" w:hAnsiTheme="minorEastAsia" w:eastAsiaTheme="minorEastAsia"/>
                <w:sz w:val="18"/>
                <w:szCs w:val="18"/>
              </w:rPr>
              <w:t>作业类</w:t>
            </w:r>
          </w:p>
        </w:tc>
        <w:tc>
          <w:tcPr>
            <w:tcW w:w="1079" w:type="dxa"/>
            <w:vMerge w:val="restart"/>
            <w:vAlign w:val="center"/>
          </w:tcPr>
          <w:p>
            <w:pPr>
              <w:snapToGrid w:val="0"/>
              <w:jc w:val="center"/>
              <w:textAlignment w:val="center"/>
              <w:rPr>
                <w:rFonts w:cs="宋体" w:asciiTheme="minorEastAsia" w:hAnsiTheme="minorEastAsia" w:eastAsiaTheme="minorEastAsia"/>
                <w:sz w:val="18"/>
                <w:szCs w:val="18"/>
              </w:rPr>
            </w:pPr>
          </w:p>
          <w:p>
            <w:pPr>
              <w:snapToGrid w:val="0"/>
              <w:jc w:val="center"/>
              <w:textAlignment w:val="center"/>
              <w:rPr>
                <w:rFonts w:cs="宋体" w:asciiTheme="minorEastAsia" w:hAnsiTheme="minorEastAsia" w:eastAsiaTheme="minorEastAsia"/>
                <w:sz w:val="18"/>
                <w:szCs w:val="18"/>
              </w:rPr>
            </w:pPr>
          </w:p>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明挖施工</w:t>
            </w:r>
          </w:p>
        </w:tc>
        <w:tc>
          <w:tcPr>
            <w:tcW w:w="2100" w:type="dxa"/>
            <w:vAlign w:val="center"/>
          </w:tcPr>
          <w:p>
            <w:pPr>
              <w:snapToGrid w:val="0"/>
              <w:jc w:val="left"/>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有堆渣的挖掘作业</w:t>
            </w:r>
          </w:p>
        </w:tc>
        <w:tc>
          <w:tcPr>
            <w:tcW w:w="4169" w:type="dxa"/>
            <w:vAlign w:val="center"/>
          </w:tcPr>
          <w:p>
            <w:pPr>
              <w:snapToGrid w:val="0"/>
              <w:jc w:val="left"/>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堆渣高度小于10m的挖掘作业</w:t>
            </w:r>
          </w:p>
        </w:tc>
        <w:tc>
          <w:tcPr>
            <w:tcW w:w="962"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1～6</w:t>
            </w:r>
          </w:p>
        </w:tc>
        <w:tc>
          <w:tcPr>
            <w:tcW w:w="1035"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3～10</w:t>
            </w:r>
          </w:p>
        </w:tc>
        <w:tc>
          <w:tcPr>
            <w:tcW w:w="1140"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7～15</w:t>
            </w:r>
          </w:p>
        </w:tc>
        <w:tc>
          <w:tcPr>
            <w:tcW w:w="1035"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21～900</w:t>
            </w:r>
          </w:p>
        </w:tc>
        <w:tc>
          <w:tcPr>
            <w:tcW w:w="1335"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低～重大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0" w:hRule="atLeast"/>
          <w:jc w:val="center"/>
        </w:trPr>
        <w:tc>
          <w:tcPr>
            <w:tcW w:w="569"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2</w:t>
            </w:r>
          </w:p>
        </w:tc>
        <w:tc>
          <w:tcPr>
            <w:tcW w:w="734" w:type="dxa"/>
            <w:vMerge w:val="continue"/>
            <w:vAlign w:val="center"/>
          </w:tcPr>
          <w:p>
            <w:pPr>
              <w:snapToGrid w:val="0"/>
              <w:jc w:val="center"/>
              <w:rPr>
                <w:rFonts w:cs="宋体" w:asciiTheme="minorEastAsia" w:hAnsiTheme="minorEastAsia" w:eastAsiaTheme="minorEastAsia"/>
                <w:sz w:val="18"/>
                <w:szCs w:val="18"/>
              </w:rPr>
            </w:pPr>
          </w:p>
        </w:tc>
        <w:tc>
          <w:tcPr>
            <w:tcW w:w="1079" w:type="dxa"/>
            <w:vMerge w:val="continue"/>
            <w:vAlign w:val="center"/>
          </w:tcPr>
          <w:p>
            <w:pPr>
              <w:snapToGrid w:val="0"/>
              <w:jc w:val="center"/>
              <w:rPr>
                <w:rFonts w:cs="宋体" w:asciiTheme="minorEastAsia" w:hAnsiTheme="minorEastAsia" w:eastAsiaTheme="minorEastAsia"/>
                <w:sz w:val="18"/>
                <w:szCs w:val="18"/>
              </w:rPr>
            </w:pPr>
          </w:p>
        </w:tc>
        <w:tc>
          <w:tcPr>
            <w:tcW w:w="2100" w:type="dxa"/>
            <w:vAlign w:val="center"/>
          </w:tcPr>
          <w:p>
            <w:pPr>
              <w:snapToGrid w:val="0"/>
              <w:jc w:val="left"/>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土方边坡开挖作业</w:t>
            </w:r>
          </w:p>
        </w:tc>
        <w:tc>
          <w:tcPr>
            <w:tcW w:w="4169" w:type="dxa"/>
            <w:vAlign w:val="center"/>
          </w:tcPr>
          <w:p>
            <w:pPr>
              <w:snapToGrid w:val="0"/>
              <w:jc w:val="left"/>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土方边坡高度小于30m的开挖作业</w:t>
            </w:r>
          </w:p>
        </w:tc>
        <w:tc>
          <w:tcPr>
            <w:tcW w:w="962"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1～6</w:t>
            </w:r>
          </w:p>
        </w:tc>
        <w:tc>
          <w:tcPr>
            <w:tcW w:w="1035"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6～10</w:t>
            </w:r>
          </w:p>
        </w:tc>
        <w:tc>
          <w:tcPr>
            <w:tcW w:w="1140"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3～15</w:t>
            </w:r>
          </w:p>
        </w:tc>
        <w:tc>
          <w:tcPr>
            <w:tcW w:w="1035"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18～900</w:t>
            </w:r>
          </w:p>
        </w:tc>
        <w:tc>
          <w:tcPr>
            <w:tcW w:w="1335"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低～重大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0" w:hRule="atLeast"/>
          <w:jc w:val="center"/>
        </w:trPr>
        <w:tc>
          <w:tcPr>
            <w:tcW w:w="569"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3</w:t>
            </w:r>
          </w:p>
        </w:tc>
        <w:tc>
          <w:tcPr>
            <w:tcW w:w="734" w:type="dxa"/>
            <w:vMerge w:val="continue"/>
            <w:vAlign w:val="center"/>
          </w:tcPr>
          <w:p>
            <w:pPr>
              <w:snapToGrid w:val="0"/>
              <w:jc w:val="center"/>
              <w:rPr>
                <w:rFonts w:cs="宋体" w:asciiTheme="minorEastAsia" w:hAnsiTheme="minorEastAsia" w:eastAsiaTheme="minorEastAsia"/>
                <w:sz w:val="18"/>
                <w:szCs w:val="18"/>
              </w:rPr>
            </w:pPr>
          </w:p>
        </w:tc>
        <w:tc>
          <w:tcPr>
            <w:tcW w:w="1079" w:type="dxa"/>
            <w:vMerge w:val="continue"/>
            <w:vAlign w:val="center"/>
          </w:tcPr>
          <w:p>
            <w:pPr>
              <w:snapToGrid w:val="0"/>
              <w:jc w:val="center"/>
              <w:rPr>
                <w:rFonts w:cs="宋体" w:asciiTheme="minorEastAsia" w:hAnsiTheme="minorEastAsia" w:eastAsiaTheme="minorEastAsia"/>
                <w:sz w:val="18"/>
                <w:szCs w:val="18"/>
              </w:rPr>
            </w:pPr>
          </w:p>
        </w:tc>
        <w:tc>
          <w:tcPr>
            <w:tcW w:w="2100" w:type="dxa"/>
            <w:vAlign w:val="center"/>
          </w:tcPr>
          <w:p>
            <w:pPr>
              <w:snapToGrid w:val="0"/>
              <w:jc w:val="left"/>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石方边坡开挖作业</w:t>
            </w:r>
          </w:p>
        </w:tc>
        <w:tc>
          <w:tcPr>
            <w:tcW w:w="4169" w:type="dxa"/>
            <w:vAlign w:val="center"/>
          </w:tcPr>
          <w:p>
            <w:pPr>
              <w:snapToGrid w:val="0"/>
              <w:jc w:val="left"/>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石方边坡高度小于50m的开挖作业</w:t>
            </w:r>
          </w:p>
        </w:tc>
        <w:tc>
          <w:tcPr>
            <w:tcW w:w="962"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1～6</w:t>
            </w:r>
          </w:p>
        </w:tc>
        <w:tc>
          <w:tcPr>
            <w:tcW w:w="1035"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6～10</w:t>
            </w:r>
          </w:p>
        </w:tc>
        <w:tc>
          <w:tcPr>
            <w:tcW w:w="1140"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7～15</w:t>
            </w:r>
          </w:p>
        </w:tc>
        <w:tc>
          <w:tcPr>
            <w:tcW w:w="1035"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42～900</w:t>
            </w:r>
          </w:p>
        </w:tc>
        <w:tc>
          <w:tcPr>
            <w:tcW w:w="1335"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低～重大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0" w:hRule="atLeast"/>
          <w:jc w:val="center"/>
        </w:trPr>
        <w:tc>
          <w:tcPr>
            <w:tcW w:w="569"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4</w:t>
            </w:r>
          </w:p>
        </w:tc>
        <w:tc>
          <w:tcPr>
            <w:tcW w:w="734" w:type="dxa"/>
            <w:vMerge w:val="continue"/>
            <w:vAlign w:val="center"/>
          </w:tcPr>
          <w:p>
            <w:pPr>
              <w:snapToGrid w:val="0"/>
              <w:jc w:val="center"/>
              <w:rPr>
                <w:rFonts w:cs="宋体" w:asciiTheme="minorEastAsia" w:hAnsiTheme="minorEastAsia" w:eastAsiaTheme="minorEastAsia"/>
                <w:sz w:val="18"/>
                <w:szCs w:val="18"/>
              </w:rPr>
            </w:pPr>
          </w:p>
        </w:tc>
        <w:tc>
          <w:tcPr>
            <w:tcW w:w="1079" w:type="dxa"/>
            <w:vMerge w:val="restart"/>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洞挖施工</w:t>
            </w:r>
          </w:p>
        </w:tc>
        <w:tc>
          <w:tcPr>
            <w:tcW w:w="2100" w:type="dxa"/>
            <w:vAlign w:val="center"/>
          </w:tcPr>
          <w:p>
            <w:pPr>
              <w:snapToGrid w:val="0"/>
              <w:jc w:val="left"/>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洞室开挖</w:t>
            </w:r>
          </w:p>
        </w:tc>
        <w:tc>
          <w:tcPr>
            <w:tcW w:w="4169" w:type="dxa"/>
            <w:vAlign w:val="center"/>
          </w:tcPr>
          <w:p>
            <w:pPr>
              <w:snapToGrid w:val="0"/>
              <w:jc w:val="left"/>
              <w:textAlignment w:val="center"/>
              <w:rPr>
                <w:rFonts w:cs="宋体" w:asciiTheme="minorEastAsia" w:hAnsiTheme="minorEastAsia" w:eastAsiaTheme="minorEastAsia"/>
                <w:sz w:val="18"/>
                <w:szCs w:val="18"/>
              </w:rPr>
            </w:pPr>
            <w:r>
              <w:rPr>
                <w:rFonts w:cs="宋体" w:asciiTheme="minorEastAsia" w:hAnsiTheme="minorEastAsia" w:eastAsiaTheme="minorEastAsia"/>
                <w:sz w:val="18"/>
                <w:szCs w:val="18"/>
              </w:rPr>
              <w:t>断面小于20m</w:t>
            </w:r>
            <w:r>
              <w:rPr>
                <w:rFonts w:cs="宋体" w:asciiTheme="minorEastAsia" w:hAnsiTheme="minorEastAsia" w:eastAsiaTheme="minorEastAsia"/>
                <w:sz w:val="18"/>
                <w:szCs w:val="18"/>
                <w:vertAlign w:val="superscript"/>
              </w:rPr>
              <w:t>2</w:t>
            </w:r>
            <w:r>
              <w:rPr>
                <w:rFonts w:cs="宋体" w:asciiTheme="minorEastAsia" w:hAnsiTheme="minorEastAsia" w:eastAsiaTheme="minorEastAsia"/>
                <w:sz w:val="18"/>
                <w:szCs w:val="18"/>
              </w:rPr>
              <w:t>或单洞长度小于50m以及非地质缺陷开挖；地应力小于20MPa或小于岩石强度的1/5或埋深小于500m部位的作业；</w:t>
            </w:r>
            <w:r>
              <w:rPr>
                <w:rFonts w:hint="eastAsia" w:cs="宋体" w:asciiTheme="minorEastAsia" w:hAnsiTheme="minorEastAsia" w:eastAsiaTheme="minorEastAsia"/>
                <w:sz w:val="18"/>
                <w:szCs w:val="18"/>
                <w:lang w:bidi="ar"/>
              </w:rPr>
              <w:t>非重大风险源所列内容的普通洞挖</w:t>
            </w:r>
          </w:p>
        </w:tc>
        <w:tc>
          <w:tcPr>
            <w:tcW w:w="962"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1～6</w:t>
            </w:r>
          </w:p>
        </w:tc>
        <w:tc>
          <w:tcPr>
            <w:tcW w:w="1035"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6～10</w:t>
            </w:r>
          </w:p>
        </w:tc>
        <w:tc>
          <w:tcPr>
            <w:tcW w:w="1140"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3～40</w:t>
            </w:r>
          </w:p>
        </w:tc>
        <w:tc>
          <w:tcPr>
            <w:tcW w:w="1035"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18～2400</w:t>
            </w:r>
          </w:p>
        </w:tc>
        <w:tc>
          <w:tcPr>
            <w:tcW w:w="1335"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低～重大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0" w:hRule="atLeast"/>
          <w:jc w:val="center"/>
        </w:trPr>
        <w:tc>
          <w:tcPr>
            <w:tcW w:w="569"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5</w:t>
            </w:r>
          </w:p>
        </w:tc>
        <w:tc>
          <w:tcPr>
            <w:tcW w:w="734" w:type="dxa"/>
            <w:vMerge w:val="continue"/>
            <w:vAlign w:val="center"/>
          </w:tcPr>
          <w:p>
            <w:pPr>
              <w:snapToGrid w:val="0"/>
              <w:jc w:val="center"/>
              <w:rPr>
                <w:rFonts w:cs="宋体" w:asciiTheme="minorEastAsia" w:hAnsiTheme="minorEastAsia" w:eastAsiaTheme="minorEastAsia"/>
                <w:sz w:val="18"/>
                <w:szCs w:val="18"/>
              </w:rPr>
            </w:pPr>
          </w:p>
        </w:tc>
        <w:tc>
          <w:tcPr>
            <w:tcW w:w="1079" w:type="dxa"/>
            <w:vMerge w:val="continue"/>
            <w:vAlign w:val="center"/>
          </w:tcPr>
          <w:p>
            <w:pPr>
              <w:snapToGrid w:val="0"/>
              <w:jc w:val="center"/>
              <w:rPr>
                <w:rFonts w:cs="宋体" w:asciiTheme="minorEastAsia" w:hAnsiTheme="minorEastAsia" w:eastAsiaTheme="minorEastAsia"/>
                <w:sz w:val="18"/>
                <w:szCs w:val="18"/>
              </w:rPr>
            </w:pPr>
          </w:p>
        </w:tc>
        <w:tc>
          <w:tcPr>
            <w:tcW w:w="2100" w:type="dxa"/>
            <w:vAlign w:val="center"/>
          </w:tcPr>
          <w:p>
            <w:pPr>
              <w:snapToGrid w:val="0"/>
              <w:jc w:val="left"/>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洞室支护</w:t>
            </w:r>
          </w:p>
        </w:tc>
        <w:tc>
          <w:tcPr>
            <w:tcW w:w="4169" w:type="dxa"/>
            <w:vAlign w:val="center"/>
          </w:tcPr>
          <w:p>
            <w:pPr>
              <w:snapToGrid w:val="0"/>
              <w:jc w:val="left"/>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能及时支护的部位</w:t>
            </w:r>
          </w:p>
        </w:tc>
        <w:tc>
          <w:tcPr>
            <w:tcW w:w="962"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0.2～6</w:t>
            </w:r>
          </w:p>
        </w:tc>
        <w:tc>
          <w:tcPr>
            <w:tcW w:w="1035"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6～10</w:t>
            </w:r>
          </w:p>
        </w:tc>
        <w:tc>
          <w:tcPr>
            <w:tcW w:w="1140"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3～15</w:t>
            </w:r>
          </w:p>
        </w:tc>
        <w:tc>
          <w:tcPr>
            <w:tcW w:w="1035"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3.6～900</w:t>
            </w:r>
          </w:p>
        </w:tc>
        <w:tc>
          <w:tcPr>
            <w:tcW w:w="1335"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低～重大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0" w:hRule="atLeast"/>
          <w:jc w:val="center"/>
        </w:trPr>
        <w:tc>
          <w:tcPr>
            <w:tcW w:w="569"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6</w:t>
            </w:r>
          </w:p>
        </w:tc>
        <w:tc>
          <w:tcPr>
            <w:tcW w:w="734" w:type="dxa"/>
            <w:vMerge w:val="continue"/>
            <w:vAlign w:val="center"/>
          </w:tcPr>
          <w:p>
            <w:pPr>
              <w:snapToGrid w:val="0"/>
              <w:jc w:val="center"/>
              <w:rPr>
                <w:rFonts w:cs="宋体" w:asciiTheme="minorEastAsia" w:hAnsiTheme="minorEastAsia" w:eastAsiaTheme="minorEastAsia"/>
                <w:sz w:val="18"/>
                <w:szCs w:val="18"/>
              </w:rPr>
            </w:pPr>
          </w:p>
        </w:tc>
        <w:tc>
          <w:tcPr>
            <w:tcW w:w="1079" w:type="dxa"/>
            <w:vMerge w:val="restart"/>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石方爆破</w:t>
            </w:r>
          </w:p>
        </w:tc>
        <w:tc>
          <w:tcPr>
            <w:tcW w:w="2100" w:type="dxa"/>
            <w:vAlign w:val="center"/>
          </w:tcPr>
          <w:p>
            <w:pPr>
              <w:snapToGrid w:val="0"/>
              <w:jc w:val="left"/>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石方明挖的爆破作业</w:t>
            </w:r>
          </w:p>
        </w:tc>
        <w:tc>
          <w:tcPr>
            <w:tcW w:w="4169" w:type="dxa"/>
            <w:vAlign w:val="center"/>
          </w:tcPr>
          <w:p>
            <w:pPr>
              <w:snapToGrid w:val="0"/>
              <w:jc w:val="left"/>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一次装药量小于200kg的爆破</w:t>
            </w:r>
          </w:p>
        </w:tc>
        <w:tc>
          <w:tcPr>
            <w:tcW w:w="962"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1～6</w:t>
            </w:r>
          </w:p>
        </w:tc>
        <w:tc>
          <w:tcPr>
            <w:tcW w:w="1035"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2～6</w:t>
            </w:r>
          </w:p>
        </w:tc>
        <w:tc>
          <w:tcPr>
            <w:tcW w:w="1140"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7～15</w:t>
            </w:r>
          </w:p>
        </w:tc>
        <w:tc>
          <w:tcPr>
            <w:tcW w:w="1035"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14～540</w:t>
            </w:r>
          </w:p>
        </w:tc>
        <w:tc>
          <w:tcPr>
            <w:tcW w:w="1335"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低～重大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0" w:hRule="atLeast"/>
          <w:jc w:val="center"/>
        </w:trPr>
        <w:tc>
          <w:tcPr>
            <w:tcW w:w="569"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7</w:t>
            </w:r>
          </w:p>
        </w:tc>
        <w:tc>
          <w:tcPr>
            <w:tcW w:w="734" w:type="dxa"/>
            <w:vMerge w:val="continue"/>
            <w:vAlign w:val="center"/>
          </w:tcPr>
          <w:p>
            <w:pPr>
              <w:snapToGrid w:val="0"/>
              <w:jc w:val="center"/>
              <w:rPr>
                <w:rFonts w:cs="宋体" w:asciiTheme="minorEastAsia" w:hAnsiTheme="minorEastAsia" w:eastAsiaTheme="minorEastAsia"/>
                <w:sz w:val="18"/>
                <w:szCs w:val="18"/>
              </w:rPr>
            </w:pPr>
          </w:p>
        </w:tc>
        <w:tc>
          <w:tcPr>
            <w:tcW w:w="1079" w:type="dxa"/>
            <w:vMerge w:val="continue"/>
            <w:vAlign w:val="center"/>
          </w:tcPr>
          <w:p>
            <w:pPr>
              <w:snapToGrid w:val="0"/>
              <w:jc w:val="center"/>
              <w:rPr>
                <w:rFonts w:cs="宋体" w:asciiTheme="minorEastAsia" w:hAnsiTheme="minorEastAsia" w:eastAsiaTheme="minorEastAsia"/>
                <w:sz w:val="18"/>
                <w:szCs w:val="18"/>
              </w:rPr>
            </w:pPr>
          </w:p>
        </w:tc>
        <w:tc>
          <w:tcPr>
            <w:tcW w:w="2100" w:type="dxa"/>
            <w:vAlign w:val="center"/>
          </w:tcPr>
          <w:p>
            <w:pPr>
              <w:snapToGrid w:val="0"/>
              <w:jc w:val="left"/>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石方洞挖的爆破作业</w:t>
            </w:r>
          </w:p>
        </w:tc>
        <w:tc>
          <w:tcPr>
            <w:tcW w:w="4169" w:type="dxa"/>
            <w:vAlign w:val="center"/>
          </w:tcPr>
          <w:p>
            <w:pPr>
              <w:snapToGrid w:val="0"/>
              <w:jc w:val="left"/>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一次装药量小于50kg的地下爆破；</w:t>
            </w:r>
            <w:r>
              <w:rPr>
                <w:rFonts w:hint="eastAsia" w:cs="宋体" w:asciiTheme="minorEastAsia" w:hAnsiTheme="minorEastAsia" w:eastAsiaTheme="minorEastAsia"/>
                <w:sz w:val="18"/>
                <w:szCs w:val="18"/>
                <w:lang w:bidi="ar"/>
              </w:rPr>
              <w:t>非重大风险源所列内容的普通</w:t>
            </w:r>
            <w:r>
              <w:rPr>
                <w:rFonts w:hint="eastAsia" w:cs="宋体" w:asciiTheme="minorEastAsia" w:hAnsiTheme="minorEastAsia" w:eastAsiaTheme="minorEastAsia"/>
                <w:sz w:val="18"/>
                <w:szCs w:val="18"/>
              </w:rPr>
              <w:t>爆破</w:t>
            </w:r>
          </w:p>
        </w:tc>
        <w:tc>
          <w:tcPr>
            <w:tcW w:w="962"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1～6</w:t>
            </w:r>
          </w:p>
        </w:tc>
        <w:tc>
          <w:tcPr>
            <w:tcW w:w="1035"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2～6</w:t>
            </w:r>
          </w:p>
        </w:tc>
        <w:tc>
          <w:tcPr>
            <w:tcW w:w="1140"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7～40</w:t>
            </w:r>
          </w:p>
        </w:tc>
        <w:tc>
          <w:tcPr>
            <w:tcW w:w="1035"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14～1440</w:t>
            </w:r>
          </w:p>
        </w:tc>
        <w:tc>
          <w:tcPr>
            <w:tcW w:w="1335"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低～重大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0" w:hRule="atLeast"/>
          <w:jc w:val="center"/>
        </w:trPr>
        <w:tc>
          <w:tcPr>
            <w:tcW w:w="569"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8</w:t>
            </w:r>
          </w:p>
        </w:tc>
        <w:tc>
          <w:tcPr>
            <w:tcW w:w="734" w:type="dxa"/>
            <w:vMerge w:val="continue"/>
            <w:vAlign w:val="center"/>
          </w:tcPr>
          <w:p>
            <w:pPr>
              <w:snapToGrid w:val="0"/>
              <w:jc w:val="center"/>
              <w:rPr>
                <w:rFonts w:cs="宋体" w:asciiTheme="minorEastAsia" w:hAnsiTheme="minorEastAsia" w:eastAsiaTheme="minorEastAsia"/>
                <w:sz w:val="18"/>
                <w:szCs w:val="18"/>
              </w:rPr>
            </w:pPr>
          </w:p>
        </w:tc>
        <w:tc>
          <w:tcPr>
            <w:tcW w:w="1079" w:type="dxa"/>
            <w:vMerge w:val="restart"/>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填筑工程</w:t>
            </w:r>
          </w:p>
        </w:tc>
        <w:tc>
          <w:tcPr>
            <w:tcW w:w="2100" w:type="dxa"/>
            <w:vAlign w:val="center"/>
          </w:tcPr>
          <w:p>
            <w:pPr>
              <w:snapToGrid w:val="0"/>
              <w:jc w:val="left"/>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截流工程</w:t>
            </w:r>
          </w:p>
        </w:tc>
        <w:tc>
          <w:tcPr>
            <w:tcW w:w="4169" w:type="dxa"/>
            <w:vAlign w:val="center"/>
          </w:tcPr>
          <w:p>
            <w:pPr>
              <w:snapToGrid w:val="0"/>
              <w:jc w:val="left"/>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截流工程</w:t>
            </w:r>
          </w:p>
        </w:tc>
        <w:tc>
          <w:tcPr>
            <w:tcW w:w="962"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6～10</w:t>
            </w:r>
          </w:p>
        </w:tc>
        <w:tc>
          <w:tcPr>
            <w:tcW w:w="1035"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3～6</w:t>
            </w:r>
          </w:p>
        </w:tc>
        <w:tc>
          <w:tcPr>
            <w:tcW w:w="1140"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7～15</w:t>
            </w:r>
          </w:p>
        </w:tc>
        <w:tc>
          <w:tcPr>
            <w:tcW w:w="1035"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126～900</w:t>
            </w:r>
          </w:p>
        </w:tc>
        <w:tc>
          <w:tcPr>
            <w:tcW w:w="1335"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一般～重大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0" w:hRule="atLeast"/>
          <w:jc w:val="center"/>
        </w:trPr>
        <w:tc>
          <w:tcPr>
            <w:tcW w:w="569"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9</w:t>
            </w:r>
          </w:p>
        </w:tc>
        <w:tc>
          <w:tcPr>
            <w:tcW w:w="734" w:type="dxa"/>
            <w:vMerge w:val="continue"/>
            <w:vAlign w:val="center"/>
          </w:tcPr>
          <w:p>
            <w:pPr>
              <w:snapToGrid w:val="0"/>
              <w:jc w:val="center"/>
              <w:rPr>
                <w:rFonts w:cs="宋体" w:asciiTheme="minorEastAsia" w:hAnsiTheme="minorEastAsia" w:eastAsiaTheme="minorEastAsia"/>
                <w:sz w:val="18"/>
                <w:szCs w:val="18"/>
              </w:rPr>
            </w:pPr>
          </w:p>
        </w:tc>
        <w:tc>
          <w:tcPr>
            <w:tcW w:w="1079" w:type="dxa"/>
            <w:vMerge w:val="continue"/>
            <w:vAlign w:val="center"/>
          </w:tcPr>
          <w:p>
            <w:pPr>
              <w:snapToGrid w:val="0"/>
              <w:jc w:val="center"/>
              <w:textAlignment w:val="center"/>
              <w:rPr>
                <w:rFonts w:cs="宋体" w:asciiTheme="minorEastAsia" w:hAnsiTheme="minorEastAsia" w:eastAsiaTheme="minorEastAsia"/>
                <w:sz w:val="18"/>
                <w:szCs w:val="18"/>
              </w:rPr>
            </w:pPr>
          </w:p>
        </w:tc>
        <w:tc>
          <w:tcPr>
            <w:tcW w:w="2100" w:type="dxa"/>
            <w:vAlign w:val="center"/>
          </w:tcPr>
          <w:p>
            <w:pPr>
              <w:snapToGrid w:val="0"/>
              <w:jc w:val="left"/>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堤防工程</w:t>
            </w:r>
          </w:p>
        </w:tc>
        <w:tc>
          <w:tcPr>
            <w:tcW w:w="4169" w:type="dxa"/>
            <w:vAlign w:val="center"/>
          </w:tcPr>
          <w:p>
            <w:pPr>
              <w:snapToGrid w:val="0"/>
              <w:jc w:val="left"/>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堤防工程</w:t>
            </w:r>
          </w:p>
        </w:tc>
        <w:tc>
          <w:tcPr>
            <w:tcW w:w="962"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0.2～3</w:t>
            </w:r>
          </w:p>
        </w:tc>
        <w:tc>
          <w:tcPr>
            <w:tcW w:w="1035"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2～6</w:t>
            </w:r>
          </w:p>
        </w:tc>
        <w:tc>
          <w:tcPr>
            <w:tcW w:w="1140"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3～15</w:t>
            </w:r>
          </w:p>
        </w:tc>
        <w:tc>
          <w:tcPr>
            <w:tcW w:w="1035"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1.2～270</w:t>
            </w:r>
          </w:p>
        </w:tc>
        <w:tc>
          <w:tcPr>
            <w:tcW w:w="1335"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低～较大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0" w:hRule="atLeast"/>
          <w:jc w:val="center"/>
        </w:trPr>
        <w:tc>
          <w:tcPr>
            <w:tcW w:w="569"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10</w:t>
            </w:r>
          </w:p>
        </w:tc>
        <w:tc>
          <w:tcPr>
            <w:tcW w:w="734" w:type="dxa"/>
            <w:vMerge w:val="continue"/>
            <w:vAlign w:val="center"/>
          </w:tcPr>
          <w:p>
            <w:pPr>
              <w:snapToGrid w:val="0"/>
              <w:jc w:val="center"/>
              <w:rPr>
                <w:rFonts w:cs="宋体" w:asciiTheme="minorEastAsia" w:hAnsiTheme="minorEastAsia" w:eastAsiaTheme="minorEastAsia"/>
                <w:sz w:val="18"/>
                <w:szCs w:val="18"/>
              </w:rPr>
            </w:pPr>
          </w:p>
        </w:tc>
        <w:tc>
          <w:tcPr>
            <w:tcW w:w="1079" w:type="dxa"/>
            <w:vMerge w:val="continue"/>
            <w:vAlign w:val="center"/>
          </w:tcPr>
          <w:p>
            <w:pPr>
              <w:snapToGrid w:val="0"/>
              <w:jc w:val="center"/>
              <w:rPr>
                <w:rFonts w:cs="宋体" w:asciiTheme="minorEastAsia" w:hAnsiTheme="minorEastAsia" w:eastAsiaTheme="minorEastAsia"/>
                <w:sz w:val="18"/>
                <w:szCs w:val="18"/>
              </w:rPr>
            </w:pPr>
          </w:p>
        </w:tc>
        <w:tc>
          <w:tcPr>
            <w:tcW w:w="2100" w:type="dxa"/>
            <w:vAlign w:val="center"/>
          </w:tcPr>
          <w:p>
            <w:pPr>
              <w:snapToGrid w:val="0"/>
              <w:jc w:val="left"/>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大坝工程</w:t>
            </w:r>
          </w:p>
        </w:tc>
        <w:tc>
          <w:tcPr>
            <w:tcW w:w="4169" w:type="dxa"/>
            <w:vAlign w:val="center"/>
          </w:tcPr>
          <w:p>
            <w:pPr>
              <w:snapToGrid w:val="0"/>
              <w:jc w:val="left"/>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大坝工程</w:t>
            </w:r>
          </w:p>
        </w:tc>
        <w:tc>
          <w:tcPr>
            <w:tcW w:w="962"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1～6</w:t>
            </w:r>
          </w:p>
        </w:tc>
        <w:tc>
          <w:tcPr>
            <w:tcW w:w="1035"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2～6</w:t>
            </w:r>
          </w:p>
        </w:tc>
        <w:tc>
          <w:tcPr>
            <w:tcW w:w="1140"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7～100</w:t>
            </w:r>
          </w:p>
        </w:tc>
        <w:tc>
          <w:tcPr>
            <w:tcW w:w="1035"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14～3600</w:t>
            </w:r>
          </w:p>
        </w:tc>
        <w:tc>
          <w:tcPr>
            <w:tcW w:w="1335"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低～重大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0" w:hRule="atLeast"/>
          <w:jc w:val="center"/>
        </w:trPr>
        <w:tc>
          <w:tcPr>
            <w:tcW w:w="569"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11</w:t>
            </w:r>
          </w:p>
        </w:tc>
        <w:tc>
          <w:tcPr>
            <w:tcW w:w="734" w:type="dxa"/>
            <w:vMerge w:val="continue"/>
            <w:vAlign w:val="center"/>
          </w:tcPr>
          <w:p>
            <w:pPr>
              <w:snapToGrid w:val="0"/>
              <w:jc w:val="center"/>
              <w:rPr>
                <w:rFonts w:cs="宋体" w:asciiTheme="minorEastAsia" w:hAnsiTheme="minorEastAsia" w:eastAsiaTheme="minorEastAsia"/>
                <w:sz w:val="18"/>
                <w:szCs w:val="18"/>
              </w:rPr>
            </w:pPr>
          </w:p>
        </w:tc>
        <w:tc>
          <w:tcPr>
            <w:tcW w:w="1079" w:type="dxa"/>
            <w:vMerge w:val="restart"/>
            <w:vAlign w:val="center"/>
          </w:tcPr>
          <w:p>
            <w:pPr>
              <w:snapToGrid w:val="0"/>
              <w:jc w:val="center"/>
              <w:textAlignment w:val="center"/>
              <w:rPr>
                <w:rFonts w:cs="宋体" w:asciiTheme="minorEastAsia" w:hAnsiTheme="minorEastAsia" w:eastAsiaTheme="minorEastAsia"/>
                <w:sz w:val="18"/>
                <w:szCs w:val="18"/>
              </w:rPr>
            </w:pPr>
          </w:p>
          <w:p>
            <w:pPr>
              <w:snapToGrid w:val="0"/>
              <w:jc w:val="center"/>
              <w:textAlignment w:val="center"/>
              <w:rPr>
                <w:rFonts w:cs="宋体" w:asciiTheme="minorEastAsia" w:hAnsiTheme="minorEastAsia" w:eastAsiaTheme="minorEastAsia"/>
                <w:sz w:val="18"/>
                <w:szCs w:val="18"/>
              </w:rPr>
            </w:pPr>
          </w:p>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灌浆工程</w:t>
            </w:r>
          </w:p>
        </w:tc>
        <w:tc>
          <w:tcPr>
            <w:tcW w:w="2100" w:type="dxa"/>
            <w:vAlign w:val="center"/>
          </w:tcPr>
          <w:p>
            <w:pPr>
              <w:snapToGrid w:val="0"/>
              <w:jc w:val="left"/>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采用危险化学品进行化学灌浆；廊道内灌浆</w:t>
            </w:r>
          </w:p>
        </w:tc>
        <w:tc>
          <w:tcPr>
            <w:tcW w:w="4169" w:type="dxa"/>
            <w:vAlign w:val="center"/>
          </w:tcPr>
          <w:p>
            <w:pPr>
              <w:snapToGrid w:val="0"/>
              <w:jc w:val="left"/>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非采用危险化学品进行化学灌浆，廊道内灌浆</w:t>
            </w:r>
          </w:p>
        </w:tc>
        <w:tc>
          <w:tcPr>
            <w:tcW w:w="962"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3～6</w:t>
            </w:r>
          </w:p>
        </w:tc>
        <w:tc>
          <w:tcPr>
            <w:tcW w:w="1035"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3～6</w:t>
            </w:r>
          </w:p>
        </w:tc>
        <w:tc>
          <w:tcPr>
            <w:tcW w:w="1140"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7～15</w:t>
            </w:r>
          </w:p>
        </w:tc>
        <w:tc>
          <w:tcPr>
            <w:tcW w:w="1035"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63～540</w:t>
            </w:r>
          </w:p>
        </w:tc>
        <w:tc>
          <w:tcPr>
            <w:tcW w:w="1335"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低～重大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0" w:hRule="atLeast"/>
          <w:jc w:val="center"/>
        </w:trPr>
        <w:tc>
          <w:tcPr>
            <w:tcW w:w="569"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12</w:t>
            </w:r>
          </w:p>
        </w:tc>
        <w:tc>
          <w:tcPr>
            <w:tcW w:w="734" w:type="dxa"/>
            <w:vMerge w:val="continue"/>
            <w:vAlign w:val="center"/>
          </w:tcPr>
          <w:p>
            <w:pPr>
              <w:snapToGrid w:val="0"/>
              <w:jc w:val="center"/>
              <w:rPr>
                <w:rFonts w:cs="宋体" w:asciiTheme="minorEastAsia" w:hAnsiTheme="minorEastAsia" w:eastAsiaTheme="minorEastAsia"/>
                <w:sz w:val="18"/>
                <w:szCs w:val="18"/>
              </w:rPr>
            </w:pPr>
          </w:p>
        </w:tc>
        <w:tc>
          <w:tcPr>
            <w:tcW w:w="1079" w:type="dxa"/>
            <w:vMerge w:val="continue"/>
            <w:vAlign w:val="center"/>
          </w:tcPr>
          <w:p>
            <w:pPr>
              <w:snapToGrid w:val="0"/>
              <w:jc w:val="center"/>
              <w:rPr>
                <w:rFonts w:cs="宋体" w:asciiTheme="minorEastAsia" w:hAnsiTheme="minorEastAsia" w:eastAsiaTheme="minorEastAsia"/>
                <w:sz w:val="18"/>
                <w:szCs w:val="18"/>
              </w:rPr>
            </w:pPr>
          </w:p>
        </w:tc>
        <w:tc>
          <w:tcPr>
            <w:tcW w:w="2100" w:type="dxa"/>
            <w:vAlign w:val="center"/>
          </w:tcPr>
          <w:p>
            <w:pPr>
              <w:snapToGrid w:val="0"/>
              <w:jc w:val="left"/>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灌注桩施工，旋挖桩施工，防渗墙施工</w:t>
            </w:r>
          </w:p>
        </w:tc>
        <w:tc>
          <w:tcPr>
            <w:tcW w:w="4169" w:type="dxa"/>
            <w:vAlign w:val="center"/>
          </w:tcPr>
          <w:p>
            <w:pPr>
              <w:snapToGrid w:val="0"/>
              <w:jc w:val="left"/>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灌注桩施工，旋挖桩施工，防渗墙施工</w:t>
            </w:r>
          </w:p>
        </w:tc>
        <w:tc>
          <w:tcPr>
            <w:tcW w:w="962"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1～6</w:t>
            </w:r>
          </w:p>
        </w:tc>
        <w:tc>
          <w:tcPr>
            <w:tcW w:w="1035"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3～6</w:t>
            </w:r>
          </w:p>
        </w:tc>
        <w:tc>
          <w:tcPr>
            <w:tcW w:w="1140"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1～3</w:t>
            </w:r>
          </w:p>
        </w:tc>
        <w:tc>
          <w:tcPr>
            <w:tcW w:w="1035"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3～108</w:t>
            </w:r>
          </w:p>
        </w:tc>
        <w:tc>
          <w:tcPr>
            <w:tcW w:w="1335"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低～一般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0" w:hRule="atLeast"/>
          <w:jc w:val="center"/>
        </w:trPr>
        <w:tc>
          <w:tcPr>
            <w:tcW w:w="569"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13</w:t>
            </w:r>
          </w:p>
        </w:tc>
        <w:tc>
          <w:tcPr>
            <w:tcW w:w="734" w:type="dxa"/>
            <w:vMerge w:val="continue"/>
            <w:vAlign w:val="center"/>
          </w:tcPr>
          <w:p>
            <w:pPr>
              <w:snapToGrid w:val="0"/>
              <w:jc w:val="center"/>
              <w:rPr>
                <w:rFonts w:cs="宋体" w:asciiTheme="minorEastAsia" w:hAnsiTheme="minorEastAsia" w:eastAsiaTheme="minorEastAsia"/>
                <w:sz w:val="18"/>
                <w:szCs w:val="18"/>
              </w:rPr>
            </w:pPr>
          </w:p>
        </w:tc>
        <w:tc>
          <w:tcPr>
            <w:tcW w:w="1079" w:type="dxa"/>
            <w:vMerge w:val="restart"/>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斜井、竖井开挖</w:t>
            </w:r>
          </w:p>
        </w:tc>
        <w:tc>
          <w:tcPr>
            <w:tcW w:w="2100" w:type="dxa"/>
            <w:vAlign w:val="center"/>
          </w:tcPr>
          <w:p>
            <w:pPr>
              <w:snapToGrid w:val="0"/>
              <w:jc w:val="left"/>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井筒衬砌部分</w:t>
            </w:r>
          </w:p>
        </w:tc>
        <w:tc>
          <w:tcPr>
            <w:tcW w:w="4169" w:type="dxa"/>
            <w:vAlign w:val="center"/>
          </w:tcPr>
          <w:p>
            <w:pPr>
              <w:snapToGrid w:val="0"/>
              <w:jc w:val="left"/>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井筒衬砌</w:t>
            </w:r>
          </w:p>
        </w:tc>
        <w:tc>
          <w:tcPr>
            <w:tcW w:w="962"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1～3</w:t>
            </w:r>
          </w:p>
        </w:tc>
        <w:tc>
          <w:tcPr>
            <w:tcW w:w="1035"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3～6</w:t>
            </w:r>
          </w:p>
        </w:tc>
        <w:tc>
          <w:tcPr>
            <w:tcW w:w="1140"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3～7</w:t>
            </w:r>
          </w:p>
        </w:tc>
        <w:tc>
          <w:tcPr>
            <w:tcW w:w="1035"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9～126</w:t>
            </w:r>
          </w:p>
        </w:tc>
        <w:tc>
          <w:tcPr>
            <w:tcW w:w="1335"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低～一般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0" w:hRule="atLeast"/>
          <w:jc w:val="center"/>
        </w:trPr>
        <w:tc>
          <w:tcPr>
            <w:tcW w:w="569"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14</w:t>
            </w:r>
          </w:p>
        </w:tc>
        <w:tc>
          <w:tcPr>
            <w:tcW w:w="734" w:type="dxa"/>
            <w:vMerge w:val="continue"/>
            <w:vAlign w:val="center"/>
          </w:tcPr>
          <w:p>
            <w:pPr>
              <w:snapToGrid w:val="0"/>
              <w:jc w:val="center"/>
              <w:rPr>
                <w:rFonts w:cs="宋体" w:asciiTheme="minorEastAsia" w:hAnsiTheme="minorEastAsia" w:eastAsiaTheme="minorEastAsia"/>
                <w:sz w:val="18"/>
                <w:szCs w:val="18"/>
              </w:rPr>
            </w:pPr>
          </w:p>
        </w:tc>
        <w:tc>
          <w:tcPr>
            <w:tcW w:w="1079" w:type="dxa"/>
            <w:vMerge w:val="continue"/>
            <w:vAlign w:val="center"/>
          </w:tcPr>
          <w:p>
            <w:pPr>
              <w:snapToGrid w:val="0"/>
              <w:jc w:val="center"/>
              <w:rPr>
                <w:rFonts w:cs="宋体" w:asciiTheme="minorEastAsia" w:hAnsiTheme="minorEastAsia" w:eastAsiaTheme="minorEastAsia"/>
                <w:sz w:val="18"/>
                <w:szCs w:val="18"/>
              </w:rPr>
            </w:pPr>
          </w:p>
        </w:tc>
        <w:tc>
          <w:tcPr>
            <w:tcW w:w="2100" w:type="dxa"/>
            <w:vAlign w:val="center"/>
          </w:tcPr>
          <w:p>
            <w:pPr>
              <w:snapToGrid w:val="0"/>
              <w:jc w:val="left"/>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竖井提升设施</w:t>
            </w:r>
          </w:p>
        </w:tc>
        <w:tc>
          <w:tcPr>
            <w:tcW w:w="4169" w:type="dxa"/>
            <w:vAlign w:val="center"/>
          </w:tcPr>
          <w:p>
            <w:pPr>
              <w:snapToGrid w:val="0"/>
              <w:jc w:val="left"/>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提升系统行程小于20m</w:t>
            </w:r>
          </w:p>
        </w:tc>
        <w:tc>
          <w:tcPr>
            <w:tcW w:w="962"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1～3</w:t>
            </w:r>
          </w:p>
        </w:tc>
        <w:tc>
          <w:tcPr>
            <w:tcW w:w="1035"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3～6</w:t>
            </w:r>
          </w:p>
        </w:tc>
        <w:tc>
          <w:tcPr>
            <w:tcW w:w="1140"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7～40</w:t>
            </w:r>
          </w:p>
        </w:tc>
        <w:tc>
          <w:tcPr>
            <w:tcW w:w="1035"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21～720</w:t>
            </w:r>
          </w:p>
        </w:tc>
        <w:tc>
          <w:tcPr>
            <w:tcW w:w="1335"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低～重大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0" w:hRule="atLeast"/>
          <w:jc w:val="center"/>
        </w:trPr>
        <w:tc>
          <w:tcPr>
            <w:tcW w:w="569"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15</w:t>
            </w:r>
          </w:p>
        </w:tc>
        <w:tc>
          <w:tcPr>
            <w:tcW w:w="734" w:type="dxa"/>
            <w:vMerge w:val="continue"/>
            <w:vAlign w:val="center"/>
          </w:tcPr>
          <w:p>
            <w:pPr>
              <w:snapToGrid w:val="0"/>
              <w:jc w:val="center"/>
              <w:rPr>
                <w:rFonts w:cs="宋体" w:asciiTheme="minorEastAsia" w:hAnsiTheme="minorEastAsia" w:eastAsiaTheme="minorEastAsia"/>
                <w:sz w:val="18"/>
                <w:szCs w:val="18"/>
              </w:rPr>
            </w:pPr>
          </w:p>
        </w:tc>
        <w:tc>
          <w:tcPr>
            <w:tcW w:w="1079" w:type="dxa"/>
            <w:vMerge w:val="continue"/>
            <w:vAlign w:val="center"/>
          </w:tcPr>
          <w:p>
            <w:pPr>
              <w:snapToGrid w:val="0"/>
              <w:jc w:val="center"/>
              <w:rPr>
                <w:rFonts w:cs="宋体" w:asciiTheme="minorEastAsia" w:hAnsiTheme="minorEastAsia" w:eastAsiaTheme="minorEastAsia"/>
                <w:sz w:val="18"/>
                <w:szCs w:val="18"/>
              </w:rPr>
            </w:pPr>
          </w:p>
        </w:tc>
        <w:tc>
          <w:tcPr>
            <w:tcW w:w="2100" w:type="dxa"/>
            <w:vAlign w:val="center"/>
          </w:tcPr>
          <w:p>
            <w:pPr>
              <w:snapToGrid w:val="0"/>
              <w:jc w:val="left"/>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斜井开挖</w:t>
            </w:r>
          </w:p>
        </w:tc>
        <w:tc>
          <w:tcPr>
            <w:tcW w:w="4169" w:type="dxa"/>
            <w:vAlign w:val="center"/>
          </w:tcPr>
          <w:p>
            <w:pPr>
              <w:snapToGrid w:val="0"/>
              <w:jc w:val="left"/>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斜井开挖</w:t>
            </w:r>
          </w:p>
        </w:tc>
        <w:tc>
          <w:tcPr>
            <w:tcW w:w="962"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1～3</w:t>
            </w:r>
          </w:p>
        </w:tc>
        <w:tc>
          <w:tcPr>
            <w:tcW w:w="1035"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3～6</w:t>
            </w:r>
          </w:p>
        </w:tc>
        <w:tc>
          <w:tcPr>
            <w:tcW w:w="1140"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7～15</w:t>
            </w:r>
          </w:p>
        </w:tc>
        <w:tc>
          <w:tcPr>
            <w:tcW w:w="1035"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21～270</w:t>
            </w:r>
          </w:p>
        </w:tc>
        <w:tc>
          <w:tcPr>
            <w:tcW w:w="1335"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低～较大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0" w:hRule="atLeast"/>
          <w:jc w:val="center"/>
        </w:trPr>
        <w:tc>
          <w:tcPr>
            <w:tcW w:w="569"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16</w:t>
            </w:r>
          </w:p>
        </w:tc>
        <w:tc>
          <w:tcPr>
            <w:tcW w:w="734" w:type="dxa"/>
            <w:vMerge w:val="continue"/>
            <w:vAlign w:val="center"/>
          </w:tcPr>
          <w:p>
            <w:pPr>
              <w:snapToGrid w:val="0"/>
              <w:jc w:val="center"/>
              <w:rPr>
                <w:rFonts w:cs="宋体" w:asciiTheme="minorEastAsia" w:hAnsiTheme="minorEastAsia" w:eastAsiaTheme="minorEastAsia"/>
                <w:sz w:val="18"/>
                <w:szCs w:val="18"/>
              </w:rPr>
            </w:pPr>
          </w:p>
        </w:tc>
        <w:tc>
          <w:tcPr>
            <w:tcW w:w="1079" w:type="dxa"/>
            <w:vMerge w:val="continue"/>
            <w:vAlign w:val="center"/>
          </w:tcPr>
          <w:p>
            <w:pPr>
              <w:snapToGrid w:val="0"/>
              <w:jc w:val="center"/>
              <w:rPr>
                <w:rFonts w:cs="宋体" w:asciiTheme="minorEastAsia" w:hAnsiTheme="minorEastAsia" w:eastAsiaTheme="minorEastAsia"/>
                <w:sz w:val="18"/>
                <w:szCs w:val="18"/>
              </w:rPr>
            </w:pPr>
          </w:p>
        </w:tc>
        <w:tc>
          <w:tcPr>
            <w:tcW w:w="2100" w:type="dxa"/>
            <w:vAlign w:val="center"/>
          </w:tcPr>
          <w:p>
            <w:pPr>
              <w:snapToGrid w:val="0"/>
              <w:jc w:val="left"/>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竖井开挖</w:t>
            </w:r>
          </w:p>
        </w:tc>
        <w:tc>
          <w:tcPr>
            <w:tcW w:w="4169" w:type="dxa"/>
            <w:vAlign w:val="center"/>
          </w:tcPr>
          <w:p>
            <w:pPr>
              <w:snapToGrid w:val="0"/>
              <w:jc w:val="left"/>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竖井开挖</w:t>
            </w:r>
          </w:p>
        </w:tc>
        <w:tc>
          <w:tcPr>
            <w:tcW w:w="962"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0.5～3</w:t>
            </w:r>
          </w:p>
        </w:tc>
        <w:tc>
          <w:tcPr>
            <w:tcW w:w="1035"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3～6</w:t>
            </w:r>
          </w:p>
        </w:tc>
        <w:tc>
          <w:tcPr>
            <w:tcW w:w="1140"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3～7</w:t>
            </w:r>
          </w:p>
        </w:tc>
        <w:tc>
          <w:tcPr>
            <w:tcW w:w="1035"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5～126</w:t>
            </w:r>
          </w:p>
        </w:tc>
        <w:tc>
          <w:tcPr>
            <w:tcW w:w="1335"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低～一般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0" w:hRule="atLeast"/>
          <w:jc w:val="center"/>
        </w:trPr>
        <w:tc>
          <w:tcPr>
            <w:tcW w:w="569"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17</w:t>
            </w:r>
          </w:p>
        </w:tc>
        <w:tc>
          <w:tcPr>
            <w:tcW w:w="734" w:type="dxa"/>
            <w:vMerge w:val="continue"/>
            <w:vAlign w:val="center"/>
          </w:tcPr>
          <w:p>
            <w:pPr>
              <w:snapToGrid w:val="0"/>
              <w:jc w:val="center"/>
              <w:rPr>
                <w:rFonts w:cs="宋体" w:asciiTheme="minorEastAsia" w:hAnsiTheme="minorEastAsia" w:eastAsiaTheme="minorEastAsia"/>
                <w:sz w:val="18"/>
                <w:szCs w:val="18"/>
              </w:rPr>
            </w:pPr>
          </w:p>
        </w:tc>
        <w:tc>
          <w:tcPr>
            <w:tcW w:w="1079" w:type="dxa"/>
            <w:vMerge w:val="continue"/>
            <w:vAlign w:val="center"/>
          </w:tcPr>
          <w:p>
            <w:pPr>
              <w:snapToGrid w:val="0"/>
              <w:jc w:val="center"/>
              <w:textAlignment w:val="center"/>
              <w:rPr>
                <w:rFonts w:cs="宋体" w:asciiTheme="minorEastAsia" w:hAnsiTheme="minorEastAsia" w:eastAsiaTheme="minorEastAsia"/>
                <w:sz w:val="18"/>
                <w:szCs w:val="18"/>
              </w:rPr>
            </w:pPr>
          </w:p>
        </w:tc>
        <w:tc>
          <w:tcPr>
            <w:tcW w:w="2100" w:type="dxa"/>
            <w:vAlign w:val="center"/>
          </w:tcPr>
          <w:p>
            <w:pPr>
              <w:snapToGrid w:val="0"/>
              <w:jc w:val="left"/>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沉井工程</w:t>
            </w:r>
          </w:p>
        </w:tc>
        <w:tc>
          <w:tcPr>
            <w:tcW w:w="4169" w:type="dxa"/>
            <w:vAlign w:val="center"/>
          </w:tcPr>
          <w:p>
            <w:pPr>
              <w:snapToGrid w:val="0"/>
              <w:jc w:val="left"/>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小于20m的沉井工程</w:t>
            </w:r>
          </w:p>
        </w:tc>
        <w:tc>
          <w:tcPr>
            <w:tcW w:w="962"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0.5～6</w:t>
            </w:r>
          </w:p>
        </w:tc>
        <w:tc>
          <w:tcPr>
            <w:tcW w:w="1035"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3～6</w:t>
            </w:r>
          </w:p>
        </w:tc>
        <w:tc>
          <w:tcPr>
            <w:tcW w:w="1140"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7～15</w:t>
            </w:r>
          </w:p>
        </w:tc>
        <w:tc>
          <w:tcPr>
            <w:tcW w:w="1035"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10.5～540</w:t>
            </w:r>
          </w:p>
        </w:tc>
        <w:tc>
          <w:tcPr>
            <w:tcW w:w="1335"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低～重大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0" w:hRule="atLeast"/>
          <w:jc w:val="center"/>
        </w:trPr>
        <w:tc>
          <w:tcPr>
            <w:tcW w:w="569"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18</w:t>
            </w:r>
          </w:p>
        </w:tc>
        <w:tc>
          <w:tcPr>
            <w:tcW w:w="734" w:type="dxa"/>
            <w:vMerge w:val="continue"/>
            <w:vAlign w:val="center"/>
          </w:tcPr>
          <w:p>
            <w:pPr>
              <w:snapToGrid w:val="0"/>
              <w:jc w:val="center"/>
              <w:rPr>
                <w:rFonts w:cs="宋体" w:asciiTheme="minorEastAsia" w:hAnsiTheme="minorEastAsia" w:eastAsiaTheme="minorEastAsia"/>
                <w:sz w:val="18"/>
                <w:szCs w:val="18"/>
              </w:rPr>
            </w:pPr>
          </w:p>
        </w:tc>
        <w:tc>
          <w:tcPr>
            <w:tcW w:w="1079" w:type="dxa"/>
            <w:vMerge w:val="continue"/>
            <w:vAlign w:val="center"/>
          </w:tcPr>
          <w:p>
            <w:pPr>
              <w:snapToGrid w:val="0"/>
              <w:jc w:val="center"/>
              <w:rPr>
                <w:rFonts w:cs="宋体" w:asciiTheme="minorEastAsia" w:hAnsiTheme="minorEastAsia" w:eastAsiaTheme="minorEastAsia"/>
                <w:sz w:val="18"/>
                <w:szCs w:val="18"/>
              </w:rPr>
            </w:pPr>
          </w:p>
        </w:tc>
        <w:tc>
          <w:tcPr>
            <w:tcW w:w="2100" w:type="dxa"/>
            <w:vAlign w:val="center"/>
          </w:tcPr>
          <w:p>
            <w:pPr>
              <w:snapToGrid w:val="0"/>
              <w:jc w:val="left"/>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天锚或地锚</w:t>
            </w:r>
          </w:p>
        </w:tc>
        <w:tc>
          <w:tcPr>
            <w:tcW w:w="4169" w:type="dxa"/>
            <w:vAlign w:val="center"/>
          </w:tcPr>
          <w:p>
            <w:pPr>
              <w:snapToGrid w:val="0"/>
              <w:jc w:val="left"/>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天锚或地锚</w:t>
            </w:r>
          </w:p>
        </w:tc>
        <w:tc>
          <w:tcPr>
            <w:tcW w:w="962"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6～10</w:t>
            </w:r>
          </w:p>
        </w:tc>
        <w:tc>
          <w:tcPr>
            <w:tcW w:w="1035"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3～10</w:t>
            </w:r>
          </w:p>
        </w:tc>
        <w:tc>
          <w:tcPr>
            <w:tcW w:w="1140"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7～15</w:t>
            </w:r>
          </w:p>
        </w:tc>
        <w:tc>
          <w:tcPr>
            <w:tcW w:w="1035"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126～1500</w:t>
            </w:r>
          </w:p>
        </w:tc>
        <w:tc>
          <w:tcPr>
            <w:tcW w:w="1335"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一般～重大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0" w:hRule="atLeast"/>
          <w:jc w:val="center"/>
        </w:trPr>
        <w:tc>
          <w:tcPr>
            <w:tcW w:w="569"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19</w:t>
            </w:r>
          </w:p>
        </w:tc>
        <w:tc>
          <w:tcPr>
            <w:tcW w:w="734" w:type="dxa"/>
            <w:vMerge w:val="continue"/>
            <w:vAlign w:val="center"/>
          </w:tcPr>
          <w:p>
            <w:pPr>
              <w:snapToGrid w:val="0"/>
              <w:jc w:val="center"/>
              <w:rPr>
                <w:rFonts w:cs="宋体" w:asciiTheme="minorEastAsia" w:hAnsiTheme="minorEastAsia" w:eastAsiaTheme="minorEastAsia"/>
                <w:sz w:val="18"/>
                <w:szCs w:val="18"/>
              </w:rPr>
            </w:pPr>
          </w:p>
        </w:tc>
        <w:tc>
          <w:tcPr>
            <w:tcW w:w="1079"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砂石料生产</w:t>
            </w:r>
          </w:p>
        </w:tc>
        <w:tc>
          <w:tcPr>
            <w:tcW w:w="2100" w:type="dxa"/>
            <w:vAlign w:val="center"/>
          </w:tcPr>
          <w:p>
            <w:pPr>
              <w:snapToGrid w:val="0"/>
              <w:jc w:val="left"/>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砂石料破碎机</w:t>
            </w:r>
          </w:p>
        </w:tc>
        <w:tc>
          <w:tcPr>
            <w:tcW w:w="4169" w:type="dxa"/>
            <w:vAlign w:val="center"/>
          </w:tcPr>
          <w:p>
            <w:pPr>
              <w:snapToGrid w:val="0"/>
              <w:jc w:val="left"/>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砂石料破碎机</w:t>
            </w:r>
          </w:p>
        </w:tc>
        <w:tc>
          <w:tcPr>
            <w:tcW w:w="962"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0.2～1</w:t>
            </w:r>
          </w:p>
        </w:tc>
        <w:tc>
          <w:tcPr>
            <w:tcW w:w="1035"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1～6</w:t>
            </w:r>
          </w:p>
        </w:tc>
        <w:tc>
          <w:tcPr>
            <w:tcW w:w="1140"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1～3</w:t>
            </w:r>
          </w:p>
        </w:tc>
        <w:tc>
          <w:tcPr>
            <w:tcW w:w="1035"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0.2～18</w:t>
            </w:r>
          </w:p>
        </w:tc>
        <w:tc>
          <w:tcPr>
            <w:tcW w:w="1335"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0" w:hRule="atLeast"/>
          <w:jc w:val="center"/>
        </w:trPr>
        <w:tc>
          <w:tcPr>
            <w:tcW w:w="569"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20</w:t>
            </w:r>
          </w:p>
        </w:tc>
        <w:tc>
          <w:tcPr>
            <w:tcW w:w="734" w:type="dxa"/>
            <w:vMerge w:val="continue"/>
            <w:vAlign w:val="center"/>
          </w:tcPr>
          <w:p>
            <w:pPr>
              <w:snapToGrid w:val="0"/>
              <w:jc w:val="center"/>
              <w:rPr>
                <w:rFonts w:cs="宋体" w:asciiTheme="minorEastAsia" w:hAnsiTheme="minorEastAsia" w:eastAsiaTheme="minorEastAsia"/>
                <w:sz w:val="18"/>
                <w:szCs w:val="18"/>
              </w:rPr>
            </w:pPr>
          </w:p>
        </w:tc>
        <w:tc>
          <w:tcPr>
            <w:tcW w:w="1079"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混凝土生产</w:t>
            </w:r>
          </w:p>
        </w:tc>
        <w:tc>
          <w:tcPr>
            <w:tcW w:w="2100" w:type="dxa"/>
            <w:vAlign w:val="center"/>
          </w:tcPr>
          <w:p>
            <w:pPr>
              <w:snapToGrid w:val="0"/>
              <w:jc w:val="left"/>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混凝土拌合楼（系统）</w:t>
            </w:r>
          </w:p>
        </w:tc>
        <w:tc>
          <w:tcPr>
            <w:tcW w:w="4169" w:type="dxa"/>
            <w:vAlign w:val="center"/>
          </w:tcPr>
          <w:p>
            <w:pPr>
              <w:snapToGrid w:val="0"/>
              <w:jc w:val="left"/>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混凝土拌合楼（系统）</w:t>
            </w:r>
          </w:p>
        </w:tc>
        <w:tc>
          <w:tcPr>
            <w:tcW w:w="962"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1～6</w:t>
            </w:r>
          </w:p>
        </w:tc>
        <w:tc>
          <w:tcPr>
            <w:tcW w:w="1035"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3～6</w:t>
            </w:r>
          </w:p>
        </w:tc>
        <w:tc>
          <w:tcPr>
            <w:tcW w:w="1140"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3～15</w:t>
            </w:r>
          </w:p>
        </w:tc>
        <w:tc>
          <w:tcPr>
            <w:tcW w:w="1035"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9～540</w:t>
            </w:r>
          </w:p>
        </w:tc>
        <w:tc>
          <w:tcPr>
            <w:tcW w:w="1335"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低～重大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0" w:hRule="atLeast"/>
          <w:jc w:val="center"/>
        </w:trPr>
        <w:tc>
          <w:tcPr>
            <w:tcW w:w="569"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21</w:t>
            </w:r>
          </w:p>
        </w:tc>
        <w:tc>
          <w:tcPr>
            <w:tcW w:w="734" w:type="dxa"/>
            <w:vMerge w:val="continue"/>
            <w:vAlign w:val="center"/>
          </w:tcPr>
          <w:p>
            <w:pPr>
              <w:snapToGrid w:val="0"/>
              <w:jc w:val="center"/>
              <w:rPr>
                <w:rFonts w:cs="宋体" w:asciiTheme="minorEastAsia" w:hAnsiTheme="minorEastAsia" w:eastAsiaTheme="minorEastAsia"/>
                <w:sz w:val="18"/>
                <w:szCs w:val="18"/>
              </w:rPr>
            </w:pPr>
          </w:p>
        </w:tc>
        <w:tc>
          <w:tcPr>
            <w:tcW w:w="1079" w:type="dxa"/>
            <w:vMerge w:val="restart"/>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混凝土浇筑</w:t>
            </w:r>
          </w:p>
        </w:tc>
        <w:tc>
          <w:tcPr>
            <w:tcW w:w="2100" w:type="dxa"/>
            <w:vAlign w:val="center"/>
          </w:tcPr>
          <w:p>
            <w:pPr>
              <w:snapToGrid w:val="0"/>
              <w:jc w:val="left"/>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利用缆机、塔带机或门机浇筑</w:t>
            </w:r>
          </w:p>
        </w:tc>
        <w:tc>
          <w:tcPr>
            <w:tcW w:w="4169" w:type="dxa"/>
            <w:vAlign w:val="center"/>
          </w:tcPr>
          <w:p>
            <w:pPr>
              <w:snapToGrid w:val="0"/>
              <w:jc w:val="left"/>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利用缆机、塔带机或门机浇筑</w:t>
            </w:r>
          </w:p>
        </w:tc>
        <w:tc>
          <w:tcPr>
            <w:tcW w:w="962"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3～6</w:t>
            </w:r>
          </w:p>
        </w:tc>
        <w:tc>
          <w:tcPr>
            <w:tcW w:w="1035"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6～10</w:t>
            </w:r>
          </w:p>
        </w:tc>
        <w:tc>
          <w:tcPr>
            <w:tcW w:w="1140"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7～15</w:t>
            </w:r>
          </w:p>
        </w:tc>
        <w:tc>
          <w:tcPr>
            <w:tcW w:w="1035"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126～900</w:t>
            </w:r>
          </w:p>
        </w:tc>
        <w:tc>
          <w:tcPr>
            <w:tcW w:w="1335"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一般～重大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0" w:hRule="atLeast"/>
          <w:jc w:val="center"/>
        </w:trPr>
        <w:tc>
          <w:tcPr>
            <w:tcW w:w="569"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22</w:t>
            </w:r>
          </w:p>
        </w:tc>
        <w:tc>
          <w:tcPr>
            <w:tcW w:w="734" w:type="dxa"/>
            <w:vMerge w:val="continue"/>
            <w:vAlign w:val="center"/>
          </w:tcPr>
          <w:p>
            <w:pPr>
              <w:snapToGrid w:val="0"/>
              <w:jc w:val="center"/>
              <w:rPr>
                <w:rFonts w:cs="宋体" w:asciiTheme="minorEastAsia" w:hAnsiTheme="minorEastAsia" w:eastAsiaTheme="minorEastAsia"/>
                <w:sz w:val="18"/>
                <w:szCs w:val="18"/>
              </w:rPr>
            </w:pPr>
          </w:p>
        </w:tc>
        <w:tc>
          <w:tcPr>
            <w:tcW w:w="1079" w:type="dxa"/>
            <w:vMerge w:val="continue"/>
            <w:vAlign w:val="center"/>
          </w:tcPr>
          <w:p>
            <w:pPr>
              <w:snapToGrid w:val="0"/>
              <w:jc w:val="center"/>
              <w:rPr>
                <w:rFonts w:cs="宋体" w:asciiTheme="minorEastAsia" w:hAnsiTheme="minorEastAsia" w:eastAsiaTheme="minorEastAsia"/>
                <w:sz w:val="18"/>
                <w:szCs w:val="18"/>
              </w:rPr>
            </w:pPr>
          </w:p>
        </w:tc>
        <w:tc>
          <w:tcPr>
            <w:tcW w:w="2100" w:type="dxa"/>
            <w:vAlign w:val="center"/>
          </w:tcPr>
          <w:p>
            <w:pPr>
              <w:snapToGrid w:val="0"/>
              <w:jc w:val="left"/>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浇筑</w:t>
            </w:r>
          </w:p>
        </w:tc>
        <w:tc>
          <w:tcPr>
            <w:tcW w:w="4169" w:type="dxa"/>
            <w:vAlign w:val="center"/>
          </w:tcPr>
          <w:p>
            <w:pPr>
              <w:snapToGrid w:val="0"/>
              <w:jc w:val="left"/>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浇筑</w:t>
            </w:r>
          </w:p>
        </w:tc>
        <w:tc>
          <w:tcPr>
            <w:tcW w:w="962"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0.5～6</w:t>
            </w:r>
          </w:p>
        </w:tc>
        <w:tc>
          <w:tcPr>
            <w:tcW w:w="1035"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2～10</w:t>
            </w:r>
          </w:p>
        </w:tc>
        <w:tc>
          <w:tcPr>
            <w:tcW w:w="1140"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3～15</w:t>
            </w:r>
          </w:p>
        </w:tc>
        <w:tc>
          <w:tcPr>
            <w:tcW w:w="1035"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3～900</w:t>
            </w:r>
          </w:p>
        </w:tc>
        <w:tc>
          <w:tcPr>
            <w:tcW w:w="1335"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低～重大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0" w:hRule="atLeast"/>
          <w:jc w:val="center"/>
        </w:trPr>
        <w:tc>
          <w:tcPr>
            <w:tcW w:w="569"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23</w:t>
            </w:r>
          </w:p>
        </w:tc>
        <w:tc>
          <w:tcPr>
            <w:tcW w:w="734" w:type="dxa"/>
            <w:vMerge w:val="continue"/>
            <w:vAlign w:val="center"/>
          </w:tcPr>
          <w:p>
            <w:pPr>
              <w:snapToGrid w:val="0"/>
              <w:jc w:val="center"/>
              <w:rPr>
                <w:rFonts w:cs="宋体" w:asciiTheme="minorEastAsia" w:hAnsiTheme="minorEastAsia" w:eastAsiaTheme="minorEastAsia"/>
                <w:sz w:val="18"/>
                <w:szCs w:val="18"/>
              </w:rPr>
            </w:pPr>
          </w:p>
        </w:tc>
        <w:tc>
          <w:tcPr>
            <w:tcW w:w="1079" w:type="dxa"/>
            <w:vMerge w:val="restart"/>
            <w:vAlign w:val="center"/>
          </w:tcPr>
          <w:p>
            <w:pPr>
              <w:snapToGrid w:val="0"/>
              <w:jc w:val="center"/>
              <w:textAlignment w:val="center"/>
              <w:rPr>
                <w:rFonts w:cs="宋体" w:asciiTheme="minorEastAsia" w:hAnsiTheme="minorEastAsia" w:eastAsiaTheme="minorEastAsia"/>
                <w:sz w:val="18"/>
                <w:szCs w:val="18"/>
              </w:rPr>
            </w:pPr>
          </w:p>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脚手架工程</w:t>
            </w:r>
          </w:p>
        </w:tc>
        <w:tc>
          <w:tcPr>
            <w:tcW w:w="2100" w:type="dxa"/>
            <w:vAlign w:val="center"/>
          </w:tcPr>
          <w:p>
            <w:pPr>
              <w:snapToGrid w:val="0"/>
              <w:jc w:val="left"/>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脚手架工程</w:t>
            </w:r>
          </w:p>
        </w:tc>
        <w:tc>
          <w:tcPr>
            <w:tcW w:w="4169" w:type="dxa"/>
            <w:vAlign w:val="center"/>
          </w:tcPr>
          <w:p>
            <w:pPr>
              <w:snapToGrid w:val="0"/>
              <w:jc w:val="left"/>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搭设高度24m以下的落地式钢管脚手架工程</w:t>
            </w:r>
          </w:p>
        </w:tc>
        <w:tc>
          <w:tcPr>
            <w:tcW w:w="962"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1～6</w:t>
            </w:r>
          </w:p>
        </w:tc>
        <w:tc>
          <w:tcPr>
            <w:tcW w:w="1035"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3～6</w:t>
            </w:r>
          </w:p>
        </w:tc>
        <w:tc>
          <w:tcPr>
            <w:tcW w:w="1140"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3～40</w:t>
            </w:r>
          </w:p>
        </w:tc>
        <w:tc>
          <w:tcPr>
            <w:tcW w:w="1035"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9～1440</w:t>
            </w:r>
          </w:p>
        </w:tc>
        <w:tc>
          <w:tcPr>
            <w:tcW w:w="1335"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低～较大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0" w:hRule="atLeast"/>
          <w:jc w:val="center"/>
        </w:trPr>
        <w:tc>
          <w:tcPr>
            <w:tcW w:w="569"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24</w:t>
            </w:r>
          </w:p>
        </w:tc>
        <w:tc>
          <w:tcPr>
            <w:tcW w:w="734" w:type="dxa"/>
            <w:vMerge w:val="continue"/>
            <w:vAlign w:val="center"/>
          </w:tcPr>
          <w:p>
            <w:pPr>
              <w:snapToGrid w:val="0"/>
              <w:jc w:val="center"/>
              <w:rPr>
                <w:rFonts w:cs="宋体" w:asciiTheme="minorEastAsia" w:hAnsiTheme="minorEastAsia" w:eastAsiaTheme="minorEastAsia"/>
                <w:sz w:val="18"/>
                <w:szCs w:val="18"/>
              </w:rPr>
            </w:pPr>
          </w:p>
        </w:tc>
        <w:tc>
          <w:tcPr>
            <w:tcW w:w="1079" w:type="dxa"/>
            <w:vMerge w:val="continue"/>
            <w:vAlign w:val="center"/>
          </w:tcPr>
          <w:p>
            <w:pPr>
              <w:snapToGrid w:val="0"/>
              <w:jc w:val="center"/>
              <w:rPr>
                <w:rFonts w:cs="宋体" w:asciiTheme="minorEastAsia" w:hAnsiTheme="minorEastAsia" w:eastAsiaTheme="minorEastAsia"/>
                <w:sz w:val="18"/>
                <w:szCs w:val="18"/>
              </w:rPr>
            </w:pPr>
          </w:p>
        </w:tc>
        <w:tc>
          <w:tcPr>
            <w:tcW w:w="2100" w:type="dxa"/>
            <w:vAlign w:val="center"/>
          </w:tcPr>
          <w:p>
            <w:pPr>
              <w:snapToGrid w:val="0"/>
              <w:jc w:val="left"/>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自制卸料平台、移动操作平台工程</w:t>
            </w:r>
          </w:p>
        </w:tc>
        <w:tc>
          <w:tcPr>
            <w:tcW w:w="4169" w:type="dxa"/>
            <w:vAlign w:val="center"/>
          </w:tcPr>
          <w:p>
            <w:pPr>
              <w:snapToGrid w:val="0"/>
              <w:jc w:val="left"/>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自制卸料平台、移动操作平台工程</w:t>
            </w:r>
          </w:p>
        </w:tc>
        <w:tc>
          <w:tcPr>
            <w:tcW w:w="962"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3～6</w:t>
            </w:r>
          </w:p>
        </w:tc>
        <w:tc>
          <w:tcPr>
            <w:tcW w:w="1035"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3～6</w:t>
            </w:r>
          </w:p>
        </w:tc>
        <w:tc>
          <w:tcPr>
            <w:tcW w:w="1140"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7～40</w:t>
            </w:r>
          </w:p>
        </w:tc>
        <w:tc>
          <w:tcPr>
            <w:tcW w:w="1035"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63～1440</w:t>
            </w:r>
          </w:p>
        </w:tc>
        <w:tc>
          <w:tcPr>
            <w:tcW w:w="1335"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低～重大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24" w:hRule="atLeast"/>
          <w:jc w:val="center"/>
        </w:trPr>
        <w:tc>
          <w:tcPr>
            <w:tcW w:w="569"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25</w:t>
            </w:r>
          </w:p>
          <w:tbl>
            <w:tblPr>
              <w:tblStyle w:val="34"/>
              <w:tblW w:w="700" w:type="dxa"/>
              <w:tblInd w:w="64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700" w:type="dxa"/>
                </w:tcPr>
                <w:p>
                  <w:pPr>
                    <w:snapToGrid w:val="0"/>
                    <w:jc w:val="center"/>
                    <w:textAlignment w:val="center"/>
                    <w:rPr>
                      <w:rFonts w:cs="宋体" w:asciiTheme="minorEastAsia" w:hAnsiTheme="minorEastAsia" w:eastAsiaTheme="minorEastAsia"/>
                      <w:sz w:val="18"/>
                      <w:szCs w:val="18"/>
                    </w:rPr>
                  </w:pPr>
                </w:p>
              </w:tc>
            </w:tr>
          </w:tbl>
          <w:p>
            <w:pPr>
              <w:snapToGrid w:val="0"/>
              <w:jc w:val="center"/>
              <w:textAlignment w:val="center"/>
              <w:rPr>
                <w:rFonts w:cs="宋体" w:asciiTheme="minorEastAsia" w:hAnsiTheme="minorEastAsia" w:eastAsiaTheme="minorEastAsia"/>
                <w:sz w:val="18"/>
                <w:szCs w:val="18"/>
              </w:rPr>
            </w:pPr>
          </w:p>
        </w:tc>
        <w:tc>
          <w:tcPr>
            <w:tcW w:w="734" w:type="dxa"/>
            <w:vMerge w:val="continue"/>
            <w:vAlign w:val="center"/>
          </w:tcPr>
          <w:p>
            <w:pPr>
              <w:snapToGrid w:val="0"/>
              <w:jc w:val="center"/>
              <w:rPr>
                <w:rFonts w:cs="宋体" w:asciiTheme="minorEastAsia" w:hAnsiTheme="minorEastAsia" w:eastAsiaTheme="minorEastAsia"/>
                <w:sz w:val="18"/>
                <w:szCs w:val="18"/>
              </w:rPr>
            </w:pPr>
          </w:p>
        </w:tc>
        <w:tc>
          <w:tcPr>
            <w:tcW w:w="1079" w:type="dxa"/>
            <w:vMerge w:val="restart"/>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模板工程</w:t>
            </w:r>
          </w:p>
        </w:tc>
        <w:tc>
          <w:tcPr>
            <w:tcW w:w="2100" w:type="dxa"/>
            <w:vAlign w:val="center"/>
          </w:tcPr>
          <w:p>
            <w:pPr>
              <w:snapToGrid w:val="0"/>
              <w:jc w:val="left"/>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模板拆除</w:t>
            </w:r>
          </w:p>
        </w:tc>
        <w:tc>
          <w:tcPr>
            <w:tcW w:w="4169" w:type="dxa"/>
            <w:vAlign w:val="center"/>
          </w:tcPr>
          <w:p>
            <w:pPr>
              <w:snapToGrid w:val="0"/>
              <w:jc w:val="left"/>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模板拆除</w:t>
            </w:r>
          </w:p>
        </w:tc>
        <w:tc>
          <w:tcPr>
            <w:tcW w:w="962"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0.2～3</w:t>
            </w:r>
          </w:p>
        </w:tc>
        <w:tc>
          <w:tcPr>
            <w:tcW w:w="1035"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6～10</w:t>
            </w:r>
          </w:p>
        </w:tc>
        <w:tc>
          <w:tcPr>
            <w:tcW w:w="1140"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3～7</w:t>
            </w:r>
          </w:p>
        </w:tc>
        <w:tc>
          <w:tcPr>
            <w:tcW w:w="1035"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3.6～210</w:t>
            </w:r>
          </w:p>
        </w:tc>
        <w:tc>
          <w:tcPr>
            <w:tcW w:w="1335"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低～较大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0" w:hRule="atLeast"/>
          <w:jc w:val="center"/>
        </w:trPr>
        <w:tc>
          <w:tcPr>
            <w:tcW w:w="569"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26</w:t>
            </w:r>
          </w:p>
        </w:tc>
        <w:tc>
          <w:tcPr>
            <w:tcW w:w="734" w:type="dxa"/>
            <w:vMerge w:val="continue"/>
            <w:vAlign w:val="center"/>
          </w:tcPr>
          <w:p>
            <w:pPr>
              <w:snapToGrid w:val="0"/>
              <w:jc w:val="center"/>
              <w:rPr>
                <w:rFonts w:cs="宋体" w:asciiTheme="minorEastAsia" w:hAnsiTheme="minorEastAsia" w:eastAsiaTheme="minorEastAsia"/>
                <w:sz w:val="18"/>
                <w:szCs w:val="18"/>
              </w:rPr>
            </w:pPr>
          </w:p>
        </w:tc>
        <w:tc>
          <w:tcPr>
            <w:tcW w:w="1079" w:type="dxa"/>
            <w:vMerge w:val="continue"/>
            <w:vAlign w:val="center"/>
          </w:tcPr>
          <w:p>
            <w:pPr>
              <w:snapToGrid w:val="0"/>
              <w:jc w:val="center"/>
              <w:rPr>
                <w:rFonts w:cs="宋体" w:asciiTheme="minorEastAsia" w:hAnsiTheme="minorEastAsia" w:eastAsiaTheme="minorEastAsia"/>
                <w:sz w:val="18"/>
                <w:szCs w:val="18"/>
              </w:rPr>
            </w:pPr>
          </w:p>
        </w:tc>
        <w:tc>
          <w:tcPr>
            <w:tcW w:w="2100" w:type="dxa"/>
            <w:vAlign w:val="center"/>
          </w:tcPr>
          <w:p>
            <w:pPr>
              <w:snapToGrid w:val="0"/>
              <w:jc w:val="left"/>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模板支撑工程</w:t>
            </w:r>
          </w:p>
        </w:tc>
        <w:tc>
          <w:tcPr>
            <w:tcW w:w="4169" w:type="dxa"/>
            <w:vAlign w:val="center"/>
          </w:tcPr>
          <w:p>
            <w:pPr>
              <w:snapToGrid w:val="0"/>
              <w:jc w:val="left"/>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搭设高度5m以下；搭设跨度10m以下；施工总荷载10kN/m以下；集中线荷载15kN/m以下；其他</w:t>
            </w:r>
            <w:r>
              <w:rPr>
                <w:rFonts w:hint="eastAsia" w:cs="宋体" w:asciiTheme="minorEastAsia" w:hAnsiTheme="minorEastAsia" w:eastAsiaTheme="minorEastAsia"/>
                <w:sz w:val="18"/>
                <w:szCs w:val="18"/>
                <w:lang w:bidi="ar"/>
              </w:rPr>
              <w:t>非重大风险源所列内容的普通模板</w:t>
            </w:r>
          </w:p>
        </w:tc>
        <w:tc>
          <w:tcPr>
            <w:tcW w:w="962"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1～6</w:t>
            </w:r>
          </w:p>
        </w:tc>
        <w:tc>
          <w:tcPr>
            <w:tcW w:w="1035"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6～10</w:t>
            </w:r>
          </w:p>
        </w:tc>
        <w:tc>
          <w:tcPr>
            <w:tcW w:w="1140"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3～15</w:t>
            </w:r>
          </w:p>
        </w:tc>
        <w:tc>
          <w:tcPr>
            <w:tcW w:w="1035"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18～900</w:t>
            </w:r>
          </w:p>
        </w:tc>
        <w:tc>
          <w:tcPr>
            <w:tcW w:w="1335"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低～重大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0" w:hRule="atLeast"/>
          <w:jc w:val="center"/>
        </w:trPr>
        <w:tc>
          <w:tcPr>
            <w:tcW w:w="569"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27</w:t>
            </w:r>
          </w:p>
        </w:tc>
        <w:tc>
          <w:tcPr>
            <w:tcW w:w="734" w:type="dxa"/>
            <w:vMerge w:val="continue"/>
            <w:vAlign w:val="center"/>
          </w:tcPr>
          <w:p>
            <w:pPr>
              <w:snapToGrid w:val="0"/>
              <w:jc w:val="center"/>
              <w:rPr>
                <w:rFonts w:cs="宋体" w:asciiTheme="minorEastAsia" w:hAnsiTheme="minorEastAsia" w:eastAsiaTheme="minorEastAsia"/>
                <w:sz w:val="18"/>
                <w:szCs w:val="18"/>
              </w:rPr>
            </w:pPr>
          </w:p>
        </w:tc>
        <w:tc>
          <w:tcPr>
            <w:tcW w:w="1079" w:type="dxa"/>
            <w:vMerge w:val="restart"/>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钢筋工程</w:t>
            </w:r>
          </w:p>
        </w:tc>
        <w:tc>
          <w:tcPr>
            <w:tcW w:w="2100" w:type="dxa"/>
            <w:vAlign w:val="center"/>
          </w:tcPr>
          <w:p>
            <w:pPr>
              <w:snapToGrid w:val="0"/>
              <w:jc w:val="left"/>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运输</w:t>
            </w:r>
          </w:p>
        </w:tc>
        <w:tc>
          <w:tcPr>
            <w:tcW w:w="4169" w:type="dxa"/>
            <w:vAlign w:val="center"/>
          </w:tcPr>
          <w:p>
            <w:pPr>
              <w:snapToGrid w:val="0"/>
              <w:jc w:val="left"/>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运输</w:t>
            </w:r>
          </w:p>
        </w:tc>
        <w:tc>
          <w:tcPr>
            <w:tcW w:w="962"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1～6</w:t>
            </w:r>
          </w:p>
        </w:tc>
        <w:tc>
          <w:tcPr>
            <w:tcW w:w="1035"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3～6</w:t>
            </w:r>
          </w:p>
        </w:tc>
        <w:tc>
          <w:tcPr>
            <w:tcW w:w="1140"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3～7</w:t>
            </w:r>
          </w:p>
        </w:tc>
        <w:tc>
          <w:tcPr>
            <w:tcW w:w="1035"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9～252</w:t>
            </w:r>
          </w:p>
        </w:tc>
        <w:tc>
          <w:tcPr>
            <w:tcW w:w="1335"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低～较大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0" w:hRule="atLeast"/>
          <w:jc w:val="center"/>
        </w:trPr>
        <w:tc>
          <w:tcPr>
            <w:tcW w:w="569"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28</w:t>
            </w:r>
          </w:p>
        </w:tc>
        <w:tc>
          <w:tcPr>
            <w:tcW w:w="734" w:type="dxa"/>
            <w:vMerge w:val="continue"/>
            <w:vAlign w:val="center"/>
          </w:tcPr>
          <w:p>
            <w:pPr>
              <w:snapToGrid w:val="0"/>
              <w:jc w:val="center"/>
              <w:rPr>
                <w:rFonts w:cs="宋体" w:asciiTheme="minorEastAsia" w:hAnsiTheme="minorEastAsia" w:eastAsiaTheme="minorEastAsia"/>
                <w:sz w:val="18"/>
                <w:szCs w:val="18"/>
              </w:rPr>
            </w:pPr>
          </w:p>
        </w:tc>
        <w:tc>
          <w:tcPr>
            <w:tcW w:w="1079" w:type="dxa"/>
            <w:vMerge w:val="continue"/>
            <w:vAlign w:val="center"/>
          </w:tcPr>
          <w:p>
            <w:pPr>
              <w:snapToGrid w:val="0"/>
              <w:jc w:val="center"/>
              <w:textAlignment w:val="center"/>
              <w:rPr>
                <w:rFonts w:cs="宋体" w:asciiTheme="minorEastAsia" w:hAnsiTheme="minorEastAsia" w:eastAsiaTheme="minorEastAsia"/>
                <w:sz w:val="18"/>
                <w:szCs w:val="18"/>
              </w:rPr>
            </w:pPr>
          </w:p>
        </w:tc>
        <w:tc>
          <w:tcPr>
            <w:tcW w:w="2100" w:type="dxa"/>
            <w:vAlign w:val="center"/>
          </w:tcPr>
          <w:p>
            <w:pPr>
              <w:snapToGrid w:val="0"/>
              <w:jc w:val="left"/>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焊接</w:t>
            </w:r>
          </w:p>
        </w:tc>
        <w:tc>
          <w:tcPr>
            <w:tcW w:w="4169" w:type="dxa"/>
            <w:vAlign w:val="center"/>
          </w:tcPr>
          <w:p>
            <w:pPr>
              <w:snapToGrid w:val="0"/>
              <w:jc w:val="left"/>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焊接</w:t>
            </w:r>
          </w:p>
        </w:tc>
        <w:tc>
          <w:tcPr>
            <w:tcW w:w="962"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0.2～3</w:t>
            </w:r>
          </w:p>
        </w:tc>
        <w:tc>
          <w:tcPr>
            <w:tcW w:w="1035"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3～6</w:t>
            </w:r>
          </w:p>
        </w:tc>
        <w:tc>
          <w:tcPr>
            <w:tcW w:w="1140"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3～7</w:t>
            </w:r>
          </w:p>
        </w:tc>
        <w:tc>
          <w:tcPr>
            <w:tcW w:w="1035"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1.8～126</w:t>
            </w:r>
          </w:p>
        </w:tc>
        <w:tc>
          <w:tcPr>
            <w:tcW w:w="1335"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低～一般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0" w:hRule="atLeast"/>
          <w:jc w:val="center"/>
        </w:trPr>
        <w:tc>
          <w:tcPr>
            <w:tcW w:w="569"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29</w:t>
            </w:r>
          </w:p>
        </w:tc>
        <w:tc>
          <w:tcPr>
            <w:tcW w:w="734" w:type="dxa"/>
            <w:vMerge w:val="continue"/>
            <w:vAlign w:val="center"/>
          </w:tcPr>
          <w:p>
            <w:pPr>
              <w:snapToGrid w:val="0"/>
              <w:jc w:val="center"/>
              <w:rPr>
                <w:rFonts w:cs="宋体" w:asciiTheme="minorEastAsia" w:hAnsiTheme="minorEastAsia" w:eastAsiaTheme="minorEastAsia"/>
                <w:sz w:val="18"/>
                <w:szCs w:val="18"/>
              </w:rPr>
            </w:pPr>
          </w:p>
        </w:tc>
        <w:tc>
          <w:tcPr>
            <w:tcW w:w="1079" w:type="dxa"/>
            <w:vMerge w:val="restart"/>
            <w:vAlign w:val="center"/>
          </w:tcPr>
          <w:p>
            <w:pPr>
              <w:snapToGrid w:val="0"/>
              <w:jc w:val="center"/>
              <w:textAlignment w:val="center"/>
              <w:rPr>
                <w:rFonts w:cs="宋体" w:asciiTheme="minorEastAsia" w:hAnsiTheme="minorEastAsia" w:eastAsiaTheme="minorEastAsia"/>
                <w:sz w:val="18"/>
                <w:szCs w:val="18"/>
              </w:rPr>
            </w:pPr>
          </w:p>
          <w:p>
            <w:pPr>
              <w:snapToGrid w:val="0"/>
              <w:jc w:val="center"/>
              <w:textAlignment w:val="center"/>
              <w:rPr>
                <w:rFonts w:cs="宋体" w:asciiTheme="minorEastAsia" w:hAnsiTheme="minorEastAsia" w:eastAsiaTheme="minorEastAsia"/>
                <w:sz w:val="18"/>
                <w:szCs w:val="18"/>
              </w:rPr>
            </w:pPr>
          </w:p>
          <w:p>
            <w:pPr>
              <w:snapToGrid w:val="0"/>
              <w:jc w:val="center"/>
              <w:textAlignment w:val="center"/>
              <w:rPr>
                <w:rFonts w:cs="宋体" w:asciiTheme="minorEastAsia" w:hAnsiTheme="minorEastAsia" w:eastAsiaTheme="minorEastAsia"/>
                <w:sz w:val="18"/>
                <w:szCs w:val="18"/>
              </w:rPr>
            </w:pPr>
          </w:p>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金属结构制作、安装及机电设备</w:t>
            </w:r>
          </w:p>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安装</w:t>
            </w:r>
          </w:p>
        </w:tc>
        <w:tc>
          <w:tcPr>
            <w:tcW w:w="2100" w:type="dxa"/>
            <w:vAlign w:val="center"/>
          </w:tcPr>
          <w:p>
            <w:pPr>
              <w:snapToGrid w:val="0"/>
              <w:jc w:val="left"/>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金属结构制造</w:t>
            </w:r>
          </w:p>
        </w:tc>
        <w:tc>
          <w:tcPr>
            <w:tcW w:w="4169" w:type="dxa"/>
            <w:vAlign w:val="center"/>
          </w:tcPr>
          <w:p>
            <w:pPr>
              <w:snapToGrid w:val="0"/>
              <w:jc w:val="left"/>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金属结构制造</w:t>
            </w:r>
          </w:p>
        </w:tc>
        <w:tc>
          <w:tcPr>
            <w:tcW w:w="962"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1～6</w:t>
            </w:r>
          </w:p>
        </w:tc>
        <w:tc>
          <w:tcPr>
            <w:tcW w:w="1035"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6～10</w:t>
            </w:r>
          </w:p>
        </w:tc>
        <w:tc>
          <w:tcPr>
            <w:tcW w:w="1140"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3～7</w:t>
            </w:r>
          </w:p>
        </w:tc>
        <w:tc>
          <w:tcPr>
            <w:tcW w:w="1035"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18～420</w:t>
            </w:r>
          </w:p>
        </w:tc>
        <w:tc>
          <w:tcPr>
            <w:tcW w:w="1335"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低～重大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0" w:hRule="atLeast"/>
          <w:jc w:val="center"/>
        </w:trPr>
        <w:tc>
          <w:tcPr>
            <w:tcW w:w="569"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30</w:t>
            </w:r>
          </w:p>
        </w:tc>
        <w:tc>
          <w:tcPr>
            <w:tcW w:w="734" w:type="dxa"/>
            <w:vMerge w:val="continue"/>
            <w:vAlign w:val="center"/>
          </w:tcPr>
          <w:p>
            <w:pPr>
              <w:snapToGrid w:val="0"/>
              <w:jc w:val="center"/>
              <w:rPr>
                <w:rFonts w:cs="宋体" w:asciiTheme="minorEastAsia" w:hAnsiTheme="minorEastAsia" w:eastAsiaTheme="minorEastAsia"/>
                <w:sz w:val="18"/>
                <w:szCs w:val="18"/>
              </w:rPr>
            </w:pPr>
          </w:p>
        </w:tc>
        <w:tc>
          <w:tcPr>
            <w:tcW w:w="1079" w:type="dxa"/>
            <w:vMerge w:val="continue"/>
            <w:vAlign w:val="center"/>
          </w:tcPr>
          <w:p>
            <w:pPr>
              <w:snapToGrid w:val="0"/>
              <w:jc w:val="center"/>
              <w:rPr>
                <w:rFonts w:cs="宋体" w:asciiTheme="minorEastAsia" w:hAnsiTheme="minorEastAsia" w:eastAsiaTheme="minorEastAsia"/>
                <w:sz w:val="18"/>
                <w:szCs w:val="18"/>
              </w:rPr>
            </w:pPr>
          </w:p>
        </w:tc>
        <w:tc>
          <w:tcPr>
            <w:tcW w:w="2100" w:type="dxa"/>
            <w:vAlign w:val="center"/>
          </w:tcPr>
          <w:p>
            <w:pPr>
              <w:snapToGrid w:val="0"/>
              <w:jc w:val="left"/>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金属结构安装</w:t>
            </w:r>
          </w:p>
        </w:tc>
        <w:tc>
          <w:tcPr>
            <w:tcW w:w="4169" w:type="dxa"/>
            <w:vAlign w:val="center"/>
          </w:tcPr>
          <w:p>
            <w:pPr>
              <w:snapToGrid w:val="0"/>
              <w:jc w:val="left"/>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采用常规起重设备、方法，或单件起吊重量在10kN以下的起重吊装工程</w:t>
            </w:r>
          </w:p>
        </w:tc>
        <w:tc>
          <w:tcPr>
            <w:tcW w:w="962"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1～6</w:t>
            </w:r>
          </w:p>
        </w:tc>
        <w:tc>
          <w:tcPr>
            <w:tcW w:w="1035"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3～6</w:t>
            </w:r>
          </w:p>
        </w:tc>
        <w:tc>
          <w:tcPr>
            <w:tcW w:w="1140"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3～7</w:t>
            </w:r>
          </w:p>
        </w:tc>
        <w:tc>
          <w:tcPr>
            <w:tcW w:w="1035"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9～252</w:t>
            </w:r>
          </w:p>
        </w:tc>
        <w:tc>
          <w:tcPr>
            <w:tcW w:w="1335"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低～较大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0" w:hRule="atLeast"/>
          <w:jc w:val="center"/>
        </w:trPr>
        <w:tc>
          <w:tcPr>
            <w:tcW w:w="569"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31</w:t>
            </w:r>
          </w:p>
        </w:tc>
        <w:tc>
          <w:tcPr>
            <w:tcW w:w="734" w:type="dxa"/>
            <w:vMerge w:val="continue"/>
            <w:vAlign w:val="center"/>
          </w:tcPr>
          <w:p>
            <w:pPr>
              <w:snapToGrid w:val="0"/>
              <w:jc w:val="center"/>
              <w:rPr>
                <w:rFonts w:cs="宋体" w:asciiTheme="minorEastAsia" w:hAnsiTheme="minorEastAsia" w:eastAsiaTheme="minorEastAsia"/>
                <w:sz w:val="18"/>
                <w:szCs w:val="18"/>
              </w:rPr>
            </w:pPr>
          </w:p>
        </w:tc>
        <w:tc>
          <w:tcPr>
            <w:tcW w:w="1079" w:type="dxa"/>
            <w:vMerge w:val="continue"/>
            <w:vAlign w:val="center"/>
          </w:tcPr>
          <w:p>
            <w:pPr>
              <w:snapToGrid w:val="0"/>
              <w:jc w:val="center"/>
              <w:rPr>
                <w:rFonts w:cs="宋体" w:asciiTheme="minorEastAsia" w:hAnsiTheme="minorEastAsia" w:eastAsiaTheme="minorEastAsia"/>
                <w:sz w:val="18"/>
                <w:szCs w:val="18"/>
              </w:rPr>
            </w:pPr>
          </w:p>
        </w:tc>
        <w:tc>
          <w:tcPr>
            <w:tcW w:w="2100" w:type="dxa"/>
            <w:vAlign w:val="center"/>
          </w:tcPr>
          <w:p>
            <w:pPr>
              <w:snapToGrid w:val="0"/>
              <w:jc w:val="left"/>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水轮机及发电机安装</w:t>
            </w:r>
          </w:p>
        </w:tc>
        <w:tc>
          <w:tcPr>
            <w:tcW w:w="4169" w:type="dxa"/>
            <w:vAlign w:val="center"/>
          </w:tcPr>
          <w:p>
            <w:pPr>
              <w:snapToGrid w:val="0"/>
              <w:jc w:val="left"/>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采用常规起重设备、方法，或单件起吊重量在10kN以下的起重吊装工程</w:t>
            </w:r>
          </w:p>
        </w:tc>
        <w:tc>
          <w:tcPr>
            <w:tcW w:w="962"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1～3</w:t>
            </w:r>
          </w:p>
        </w:tc>
        <w:tc>
          <w:tcPr>
            <w:tcW w:w="1035"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3～6</w:t>
            </w:r>
          </w:p>
        </w:tc>
        <w:tc>
          <w:tcPr>
            <w:tcW w:w="1140"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3～7</w:t>
            </w:r>
          </w:p>
        </w:tc>
        <w:tc>
          <w:tcPr>
            <w:tcW w:w="1035"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9～126</w:t>
            </w:r>
          </w:p>
        </w:tc>
        <w:tc>
          <w:tcPr>
            <w:tcW w:w="1335"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低～一般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0" w:hRule="atLeast"/>
          <w:jc w:val="center"/>
        </w:trPr>
        <w:tc>
          <w:tcPr>
            <w:tcW w:w="569"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32</w:t>
            </w:r>
          </w:p>
        </w:tc>
        <w:tc>
          <w:tcPr>
            <w:tcW w:w="734" w:type="dxa"/>
            <w:vMerge w:val="continue"/>
            <w:vAlign w:val="center"/>
          </w:tcPr>
          <w:p>
            <w:pPr>
              <w:snapToGrid w:val="0"/>
              <w:jc w:val="center"/>
              <w:rPr>
                <w:rFonts w:cs="宋体" w:asciiTheme="minorEastAsia" w:hAnsiTheme="minorEastAsia" w:eastAsiaTheme="minorEastAsia"/>
                <w:sz w:val="18"/>
                <w:szCs w:val="18"/>
              </w:rPr>
            </w:pPr>
          </w:p>
        </w:tc>
        <w:tc>
          <w:tcPr>
            <w:tcW w:w="1079" w:type="dxa"/>
            <w:vMerge w:val="continue"/>
            <w:vAlign w:val="center"/>
          </w:tcPr>
          <w:p>
            <w:pPr>
              <w:snapToGrid w:val="0"/>
              <w:jc w:val="center"/>
              <w:rPr>
                <w:rFonts w:cs="宋体" w:asciiTheme="minorEastAsia" w:hAnsiTheme="minorEastAsia" w:eastAsiaTheme="minorEastAsia"/>
                <w:sz w:val="18"/>
                <w:szCs w:val="18"/>
              </w:rPr>
            </w:pPr>
          </w:p>
        </w:tc>
        <w:tc>
          <w:tcPr>
            <w:tcW w:w="2100" w:type="dxa"/>
            <w:vAlign w:val="center"/>
          </w:tcPr>
          <w:p>
            <w:pPr>
              <w:snapToGrid w:val="0"/>
              <w:jc w:val="left"/>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高空作业及上下交叉作业</w:t>
            </w:r>
          </w:p>
        </w:tc>
        <w:tc>
          <w:tcPr>
            <w:tcW w:w="4169" w:type="dxa"/>
            <w:vAlign w:val="center"/>
          </w:tcPr>
          <w:p>
            <w:pPr>
              <w:snapToGrid w:val="0"/>
              <w:jc w:val="left"/>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高空作业及上下交叉作业</w:t>
            </w:r>
          </w:p>
        </w:tc>
        <w:tc>
          <w:tcPr>
            <w:tcW w:w="962"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3～6</w:t>
            </w:r>
          </w:p>
        </w:tc>
        <w:tc>
          <w:tcPr>
            <w:tcW w:w="1035"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6～10</w:t>
            </w:r>
          </w:p>
        </w:tc>
        <w:tc>
          <w:tcPr>
            <w:tcW w:w="1140"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7～40</w:t>
            </w:r>
          </w:p>
        </w:tc>
        <w:tc>
          <w:tcPr>
            <w:tcW w:w="1035"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126～2400</w:t>
            </w:r>
          </w:p>
        </w:tc>
        <w:tc>
          <w:tcPr>
            <w:tcW w:w="1335"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一般～重大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0" w:hRule="atLeast"/>
          <w:jc w:val="center"/>
        </w:trPr>
        <w:tc>
          <w:tcPr>
            <w:tcW w:w="569"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33</w:t>
            </w:r>
          </w:p>
        </w:tc>
        <w:tc>
          <w:tcPr>
            <w:tcW w:w="734" w:type="dxa"/>
            <w:vMerge w:val="continue"/>
            <w:vAlign w:val="center"/>
          </w:tcPr>
          <w:p>
            <w:pPr>
              <w:snapToGrid w:val="0"/>
              <w:jc w:val="center"/>
              <w:textAlignment w:val="center"/>
              <w:rPr>
                <w:rFonts w:cs="宋体" w:asciiTheme="minorEastAsia" w:hAnsiTheme="minorEastAsia" w:eastAsiaTheme="minorEastAsia"/>
                <w:sz w:val="18"/>
                <w:szCs w:val="18"/>
              </w:rPr>
            </w:pPr>
          </w:p>
        </w:tc>
        <w:tc>
          <w:tcPr>
            <w:tcW w:w="1079"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建筑物拆除</w:t>
            </w:r>
          </w:p>
        </w:tc>
        <w:tc>
          <w:tcPr>
            <w:tcW w:w="2100" w:type="dxa"/>
            <w:vAlign w:val="center"/>
          </w:tcPr>
          <w:p>
            <w:pPr>
              <w:snapToGrid w:val="0"/>
              <w:jc w:val="left"/>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一般建筑物拆除</w:t>
            </w:r>
          </w:p>
        </w:tc>
        <w:tc>
          <w:tcPr>
            <w:tcW w:w="4169" w:type="dxa"/>
            <w:vAlign w:val="center"/>
          </w:tcPr>
          <w:p>
            <w:pPr>
              <w:snapToGrid w:val="0"/>
              <w:jc w:val="left"/>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采取机械拆除，拆除高度小于10m；其他</w:t>
            </w:r>
            <w:r>
              <w:rPr>
                <w:rFonts w:hint="eastAsia" w:cs="宋体" w:asciiTheme="minorEastAsia" w:hAnsiTheme="minorEastAsia" w:eastAsiaTheme="minorEastAsia"/>
                <w:sz w:val="18"/>
                <w:szCs w:val="18"/>
                <w:lang w:bidi="ar"/>
              </w:rPr>
              <w:t>非重大风险源所列内容的</w:t>
            </w:r>
            <w:r>
              <w:rPr>
                <w:rFonts w:hint="eastAsia" w:cs="宋体" w:asciiTheme="minorEastAsia" w:hAnsiTheme="minorEastAsia" w:eastAsiaTheme="minorEastAsia"/>
                <w:sz w:val="18"/>
                <w:szCs w:val="18"/>
              </w:rPr>
              <w:t>一般建筑物拆除</w:t>
            </w:r>
          </w:p>
        </w:tc>
        <w:tc>
          <w:tcPr>
            <w:tcW w:w="962"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0.5～6</w:t>
            </w:r>
          </w:p>
        </w:tc>
        <w:tc>
          <w:tcPr>
            <w:tcW w:w="1035"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3～6</w:t>
            </w:r>
          </w:p>
        </w:tc>
        <w:tc>
          <w:tcPr>
            <w:tcW w:w="1140"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3～15</w:t>
            </w:r>
          </w:p>
        </w:tc>
        <w:tc>
          <w:tcPr>
            <w:tcW w:w="1035"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4.5～540</w:t>
            </w:r>
          </w:p>
        </w:tc>
        <w:tc>
          <w:tcPr>
            <w:tcW w:w="1335"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低～重大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0" w:hRule="atLeast"/>
          <w:jc w:val="center"/>
        </w:trPr>
        <w:tc>
          <w:tcPr>
            <w:tcW w:w="569"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34</w:t>
            </w:r>
          </w:p>
        </w:tc>
        <w:tc>
          <w:tcPr>
            <w:tcW w:w="734" w:type="dxa"/>
            <w:vMerge w:val="continue"/>
            <w:vAlign w:val="center"/>
          </w:tcPr>
          <w:p>
            <w:pPr>
              <w:snapToGrid w:val="0"/>
              <w:jc w:val="center"/>
              <w:rPr>
                <w:rFonts w:cs="宋体" w:asciiTheme="minorEastAsia" w:hAnsiTheme="minorEastAsia" w:eastAsiaTheme="minorEastAsia"/>
                <w:sz w:val="18"/>
                <w:szCs w:val="18"/>
              </w:rPr>
            </w:pPr>
          </w:p>
        </w:tc>
        <w:tc>
          <w:tcPr>
            <w:tcW w:w="1079" w:type="dxa"/>
            <w:vMerge w:val="restart"/>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配套电网</w:t>
            </w:r>
          </w:p>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工程</w:t>
            </w:r>
          </w:p>
        </w:tc>
        <w:tc>
          <w:tcPr>
            <w:tcW w:w="2100" w:type="dxa"/>
            <w:vAlign w:val="center"/>
          </w:tcPr>
          <w:p>
            <w:pPr>
              <w:snapToGrid w:val="0"/>
              <w:jc w:val="left"/>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组立或整修杆塔</w:t>
            </w:r>
          </w:p>
        </w:tc>
        <w:tc>
          <w:tcPr>
            <w:tcW w:w="4169" w:type="dxa"/>
            <w:vAlign w:val="center"/>
          </w:tcPr>
          <w:p>
            <w:pPr>
              <w:snapToGrid w:val="0"/>
              <w:jc w:val="left"/>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组立或整修杆塔</w:t>
            </w:r>
          </w:p>
        </w:tc>
        <w:tc>
          <w:tcPr>
            <w:tcW w:w="962"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0.5～3</w:t>
            </w:r>
          </w:p>
        </w:tc>
        <w:tc>
          <w:tcPr>
            <w:tcW w:w="1035"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0.5～6</w:t>
            </w:r>
          </w:p>
        </w:tc>
        <w:tc>
          <w:tcPr>
            <w:tcW w:w="1140"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3～7</w:t>
            </w:r>
          </w:p>
        </w:tc>
        <w:tc>
          <w:tcPr>
            <w:tcW w:w="1035"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0.75～126</w:t>
            </w:r>
          </w:p>
        </w:tc>
        <w:tc>
          <w:tcPr>
            <w:tcW w:w="1335"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低～一般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0" w:hRule="atLeast"/>
          <w:jc w:val="center"/>
        </w:trPr>
        <w:tc>
          <w:tcPr>
            <w:tcW w:w="569"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35</w:t>
            </w:r>
          </w:p>
        </w:tc>
        <w:tc>
          <w:tcPr>
            <w:tcW w:w="734" w:type="dxa"/>
            <w:vMerge w:val="continue"/>
            <w:vAlign w:val="center"/>
          </w:tcPr>
          <w:p>
            <w:pPr>
              <w:snapToGrid w:val="0"/>
              <w:jc w:val="center"/>
              <w:rPr>
                <w:rFonts w:cs="宋体" w:asciiTheme="minorEastAsia" w:hAnsiTheme="minorEastAsia" w:eastAsiaTheme="minorEastAsia"/>
                <w:sz w:val="18"/>
                <w:szCs w:val="18"/>
              </w:rPr>
            </w:pPr>
          </w:p>
        </w:tc>
        <w:tc>
          <w:tcPr>
            <w:tcW w:w="1079" w:type="dxa"/>
            <w:vMerge w:val="continue"/>
            <w:vAlign w:val="center"/>
          </w:tcPr>
          <w:p>
            <w:pPr>
              <w:snapToGrid w:val="0"/>
              <w:jc w:val="center"/>
              <w:rPr>
                <w:rFonts w:cs="宋体" w:asciiTheme="minorEastAsia" w:hAnsiTheme="minorEastAsia" w:eastAsiaTheme="minorEastAsia"/>
                <w:sz w:val="18"/>
                <w:szCs w:val="18"/>
              </w:rPr>
            </w:pPr>
          </w:p>
        </w:tc>
        <w:tc>
          <w:tcPr>
            <w:tcW w:w="2100" w:type="dxa"/>
            <w:vAlign w:val="center"/>
          </w:tcPr>
          <w:p>
            <w:pPr>
              <w:snapToGrid w:val="0"/>
              <w:jc w:val="left"/>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电线杆</w:t>
            </w:r>
          </w:p>
        </w:tc>
        <w:tc>
          <w:tcPr>
            <w:tcW w:w="4169" w:type="dxa"/>
            <w:vAlign w:val="center"/>
          </w:tcPr>
          <w:p>
            <w:pPr>
              <w:snapToGrid w:val="0"/>
              <w:jc w:val="left"/>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电线杆</w:t>
            </w:r>
          </w:p>
        </w:tc>
        <w:tc>
          <w:tcPr>
            <w:tcW w:w="962"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0.5～3</w:t>
            </w:r>
          </w:p>
        </w:tc>
        <w:tc>
          <w:tcPr>
            <w:tcW w:w="1035"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0.5～6</w:t>
            </w:r>
          </w:p>
        </w:tc>
        <w:tc>
          <w:tcPr>
            <w:tcW w:w="1140"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3～7</w:t>
            </w:r>
          </w:p>
        </w:tc>
        <w:tc>
          <w:tcPr>
            <w:tcW w:w="1035"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0.75～126</w:t>
            </w:r>
          </w:p>
        </w:tc>
        <w:tc>
          <w:tcPr>
            <w:tcW w:w="1335"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低～一般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0" w:hRule="atLeast"/>
          <w:jc w:val="center"/>
        </w:trPr>
        <w:tc>
          <w:tcPr>
            <w:tcW w:w="569"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36</w:t>
            </w:r>
          </w:p>
        </w:tc>
        <w:tc>
          <w:tcPr>
            <w:tcW w:w="734" w:type="dxa"/>
            <w:vMerge w:val="continue"/>
            <w:vAlign w:val="center"/>
          </w:tcPr>
          <w:p>
            <w:pPr>
              <w:snapToGrid w:val="0"/>
              <w:jc w:val="center"/>
              <w:rPr>
                <w:rFonts w:cs="宋体" w:asciiTheme="minorEastAsia" w:hAnsiTheme="minorEastAsia" w:eastAsiaTheme="minorEastAsia"/>
                <w:sz w:val="18"/>
                <w:szCs w:val="18"/>
              </w:rPr>
            </w:pPr>
          </w:p>
        </w:tc>
        <w:tc>
          <w:tcPr>
            <w:tcW w:w="1079" w:type="dxa"/>
            <w:vMerge w:val="restart"/>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降排水</w:t>
            </w:r>
          </w:p>
        </w:tc>
        <w:tc>
          <w:tcPr>
            <w:tcW w:w="2100" w:type="dxa"/>
            <w:vAlign w:val="center"/>
          </w:tcPr>
          <w:p>
            <w:pPr>
              <w:snapToGrid w:val="0"/>
              <w:jc w:val="left"/>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降排水期间影响范围内的建筑物</w:t>
            </w:r>
          </w:p>
        </w:tc>
        <w:tc>
          <w:tcPr>
            <w:tcW w:w="4169" w:type="dxa"/>
            <w:vAlign w:val="center"/>
          </w:tcPr>
          <w:p>
            <w:pPr>
              <w:snapToGrid w:val="0"/>
              <w:jc w:val="left"/>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降排水期间影响范围内的建筑物</w:t>
            </w:r>
          </w:p>
        </w:tc>
        <w:tc>
          <w:tcPr>
            <w:tcW w:w="962"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0.5～3</w:t>
            </w:r>
          </w:p>
        </w:tc>
        <w:tc>
          <w:tcPr>
            <w:tcW w:w="1035"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3～6</w:t>
            </w:r>
          </w:p>
        </w:tc>
        <w:tc>
          <w:tcPr>
            <w:tcW w:w="1140"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1～7</w:t>
            </w:r>
          </w:p>
        </w:tc>
        <w:tc>
          <w:tcPr>
            <w:tcW w:w="1035"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1.5～126</w:t>
            </w:r>
          </w:p>
        </w:tc>
        <w:tc>
          <w:tcPr>
            <w:tcW w:w="1335"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低～一般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0" w:hRule="atLeast"/>
          <w:jc w:val="center"/>
        </w:trPr>
        <w:tc>
          <w:tcPr>
            <w:tcW w:w="569"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37</w:t>
            </w:r>
          </w:p>
        </w:tc>
        <w:tc>
          <w:tcPr>
            <w:tcW w:w="734" w:type="dxa"/>
            <w:vMerge w:val="continue"/>
            <w:vAlign w:val="center"/>
          </w:tcPr>
          <w:p>
            <w:pPr>
              <w:snapToGrid w:val="0"/>
              <w:jc w:val="center"/>
              <w:rPr>
                <w:rFonts w:cs="宋体" w:asciiTheme="minorEastAsia" w:hAnsiTheme="minorEastAsia" w:eastAsiaTheme="minorEastAsia"/>
                <w:sz w:val="18"/>
                <w:szCs w:val="18"/>
              </w:rPr>
            </w:pPr>
          </w:p>
        </w:tc>
        <w:tc>
          <w:tcPr>
            <w:tcW w:w="1079" w:type="dxa"/>
            <w:vMerge w:val="continue"/>
            <w:vAlign w:val="center"/>
          </w:tcPr>
          <w:p>
            <w:pPr>
              <w:snapToGrid w:val="0"/>
              <w:jc w:val="center"/>
              <w:rPr>
                <w:rFonts w:cs="宋体" w:asciiTheme="minorEastAsia" w:hAnsiTheme="minorEastAsia" w:eastAsiaTheme="minorEastAsia"/>
                <w:sz w:val="18"/>
                <w:szCs w:val="18"/>
              </w:rPr>
            </w:pPr>
          </w:p>
        </w:tc>
        <w:tc>
          <w:tcPr>
            <w:tcW w:w="2100" w:type="dxa"/>
            <w:vAlign w:val="center"/>
          </w:tcPr>
          <w:p>
            <w:pPr>
              <w:snapToGrid w:val="0"/>
              <w:jc w:val="left"/>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降水井</w:t>
            </w:r>
          </w:p>
        </w:tc>
        <w:tc>
          <w:tcPr>
            <w:tcW w:w="4169" w:type="dxa"/>
            <w:vAlign w:val="center"/>
          </w:tcPr>
          <w:p>
            <w:pPr>
              <w:snapToGrid w:val="0"/>
              <w:jc w:val="left"/>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降水井</w:t>
            </w:r>
          </w:p>
        </w:tc>
        <w:tc>
          <w:tcPr>
            <w:tcW w:w="962"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0.5～3</w:t>
            </w:r>
          </w:p>
        </w:tc>
        <w:tc>
          <w:tcPr>
            <w:tcW w:w="1035"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3～6</w:t>
            </w:r>
          </w:p>
        </w:tc>
        <w:tc>
          <w:tcPr>
            <w:tcW w:w="1140"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1～3</w:t>
            </w:r>
          </w:p>
        </w:tc>
        <w:tc>
          <w:tcPr>
            <w:tcW w:w="1035"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1.5～54</w:t>
            </w:r>
          </w:p>
        </w:tc>
        <w:tc>
          <w:tcPr>
            <w:tcW w:w="1335"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0" w:hRule="atLeast"/>
          <w:jc w:val="center"/>
        </w:trPr>
        <w:tc>
          <w:tcPr>
            <w:tcW w:w="569"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38</w:t>
            </w:r>
          </w:p>
        </w:tc>
        <w:tc>
          <w:tcPr>
            <w:tcW w:w="734" w:type="dxa"/>
            <w:vMerge w:val="continue"/>
            <w:vAlign w:val="center"/>
          </w:tcPr>
          <w:p>
            <w:pPr>
              <w:snapToGrid w:val="0"/>
              <w:jc w:val="center"/>
              <w:textAlignment w:val="center"/>
              <w:rPr>
                <w:rFonts w:cs="宋体" w:asciiTheme="minorEastAsia" w:hAnsiTheme="minorEastAsia" w:eastAsiaTheme="minorEastAsia"/>
                <w:sz w:val="18"/>
                <w:szCs w:val="18"/>
              </w:rPr>
            </w:pPr>
          </w:p>
        </w:tc>
        <w:tc>
          <w:tcPr>
            <w:tcW w:w="1079" w:type="dxa"/>
            <w:vMerge w:val="restart"/>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水上（下）作业</w:t>
            </w:r>
          </w:p>
        </w:tc>
        <w:tc>
          <w:tcPr>
            <w:tcW w:w="2100" w:type="dxa"/>
            <w:vAlign w:val="center"/>
          </w:tcPr>
          <w:p>
            <w:pPr>
              <w:snapToGrid w:val="0"/>
              <w:jc w:val="left"/>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工程船舶改造、船舶与陆用设备组合作业</w:t>
            </w:r>
          </w:p>
        </w:tc>
        <w:tc>
          <w:tcPr>
            <w:tcW w:w="4169" w:type="dxa"/>
            <w:vAlign w:val="center"/>
          </w:tcPr>
          <w:p>
            <w:pPr>
              <w:snapToGrid w:val="0"/>
              <w:jc w:val="left"/>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工程船舶改造、船舶与陆用设备组合作业</w:t>
            </w:r>
          </w:p>
        </w:tc>
        <w:tc>
          <w:tcPr>
            <w:tcW w:w="962"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0.5～3</w:t>
            </w:r>
          </w:p>
        </w:tc>
        <w:tc>
          <w:tcPr>
            <w:tcW w:w="1035"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3～6</w:t>
            </w:r>
          </w:p>
        </w:tc>
        <w:tc>
          <w:tcPr>
            <w:tcW w:w="1140"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3～7</w:t>
            </w:r>
          </w:p>
        </w:tc>
        <w:tc>
          <w:tcPr>
            <w:tcW w:w="1035"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4.5～126</w:t>
            </w:r>
          </w:p>
        </w:tc>
        <w:tc>
          <w:tcPr>
            <w:tcW w:w="1335"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低～一般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0" w:hRule="atLeast"/>
          <w:jc w:val="center"/>
        </w:trPr>
        <w:tc>
          <w:tcPr>
            <w:tcW w:w="569"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39</w:t>
            </w:r>
          </w:p>
        </w:tc>
        <w:tc>
          <w:tcPr>
            <w:tcW w:w="734" w:type="dxa"/>
            <w:vMerge w:val="continue"/>
            <w:vAlign w:val="center"/>
          </w:tcPr>
          <w:p>
            <w:pPr>
              <w:snapToGrid w:val="0"/>
              <w:jc w:val="center"/>
              <w:rPr>
                <w:rFonts w:cs="宋体" w:asciiTheme="minorEastAsia" w:hAnsiTheme="minorEastAsia" w:eastAsiaTheme="minorEastAsia"/>
                <w:sz w:val="18"/>
                <w:szCs w:val="18"/>
              </w:rPr>
            </w:pPr>
          </w:p>
        </w:tc>
        <w:tc>
          <w:tcPr>
            <w:tcW w:w="1079" w:type="dxa"/>
            <w:vMerge w:val="continue"/>
            <w:vAlign w:val="center"/>
          </w:tcPr>
          <w:p>
            <w:pPr>
              <w:snapToGrid w:val="0"/>
              <w:jc w:val="center"/>
              <w:rPr>
                <w:rFonts w:cs="宋体" w:asciiTheme="minorEastAsia" w:hAnsiTheme="minorEastAsia" w:eastAsiaTheme="minorEastAsia"/>
                <w:sz w:val="18"/>
                <w:szCs w:val="18"/>
              </w:rPr>
            </w:pPr>
          </w:p>
        </w:tc>
        <w:tc>
          <w:tcPr>
            <w:tcW w:w="2100" w:type="dxa"/>
            <w:vAlign w:val="center"/>
          </w:tcPr>
          <w:p>
            <w:pPr>
              <w:snapToGrid w:val="0"/>
              <w:jc w:val="left"/>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水下焊接、爆破</w:t>
            </w:r>
          </w:p>
        </w:tc>
        <w:tc>
          <w:tcPr>
            <w:tcW w:w="4169" w:type="dxa"/>
            <w:vAlign w:val="center"/>
          </w:tcPr>
          <w:p>
            <w:pPr>
              <w:snapToGrid w:val="0"/>
              <w:jc w:val="left"/>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水下焊接、爆破</w:t>
            </w:r>
          </w:p>
        </w:tc>
        <w:tc>
          <w:tcPr>
            <w:tcW w:w="962"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3～6</w:t>
            </w:r>
          </w:p>
        </w:tc>
        <w:tc>
          <w:tcPr>
            <w:tcW w:w="1035"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3～6</w:t>
            </w:r>
          </w:p>
        </w:tc>
        <w:tc>
          <w:tcPr>
            <w:tcW w:w="1140"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7～15</w:t>
            </w:r>
          </w:p>
        </w:tc>
        <w:tc>
          <w:tcPr>
            <w:tcW w:w="1035"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63～540</w:t>
            </w:r>
          </w:p>
        </w:tc>
        <w:tc>
          <w:tcPr>
            <w:tcW w:w="1335"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低～重大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0" w:hRule="atLeast"/>
          <w:jc w:val="center"/>
        </w:trPr>
        <w:tc>
          <w:tcPr>
            <w:tcW w:w="569"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40</w:t>
            </w:r>
          </w:p>
        </w:tc>
        <w:tc>
          <w:tcPr>
            <w:tcW w:w="734" w:type="dxa"/>
            <w:vMerge w:val="continue"/>
            <w:vAlign w:val="center"/>
          </w:tcPr>
          <w:p>
            <w:pPr>
              <w:snapToGrid w:val="0"/>
              <w:jc w:val="center"/>
              <w:rPr>
                <w:rFonts w:cs="宋体" w:asciiTheme="minorEastAsia" w:hAnsiTheme="minorEastAsia" w:eastAsiaTheme="minorEastAsia"/>
                <w:sz w:val="18"/>
                <w:szCs w:val="18"/>
              </w:rPr>
            </w:pPr>
          </w:p>
        </w:tc>
        <w:tc>
          <w:tcPr>
            <w:tcW w:w="1079" w:type="dxa"/>
            <w:vMerge w:val="continue"/>
            <w:vAlign w:val="center"/>
          </w:tcPr>
          <w:p>
            <w:pPr>
              <w:snapToGrid w:val="0"/>
              <w:jc w:val="center"/>
              <w:rPr>
                <w:rFonts w:cs="宋体" w:asciiTheme="minorEastAsia" w:hAnsiTheme="minorEastAsia" w:eastAsiaTheme="minorEastAsia"/>
                <w:sz w:val="18"/>
                <w:szCs w:val="18"/>
              </w:rPr>
            </w:pPr>
          </w:p>
        </w:tc>
        <w:tc>
          <w:tcPr>
            <w:tcW w:w="2100" w:type="dxa"/>
            <w:vAlign w:val="center"/>
          </w:tcPr>
          <w:p>
            <w:pPr>
              <w:snapToGrid w:val="0"/>
              <w:jc w:val="left"/>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潜水作业</w:t>
            </w:r>
          </w:p>
        </w:tc>
        <w:tc>
          <w:tcPr>
            <w:tcW w:w="4169" w:type="dxa"/>
            <w:vAlign w:val="center"/>
          </w:tcPr>
          <w:p>
            <w:pPr>
              <w:snapToGrid w:val="0"/>
              <w:jc w:val="left"/>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潜水作业</w:t>
            </w:r>
          </w:p>
        </w:tc>
        <w:tc>
          <w:tcPr>
            <w:tcW w:w="962"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3～6</w:t>
            </w:r>
          </w:p>
        </w:tc>
        <w:tc>
          <w:tcPr>
            <w:tcW w:w="1035"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3～6</w:t>
            </w:r>
          </w:p>
        </w:tc>
        <w:tc>
          <w:tcPr>
            <w:tcW w:w="1140"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3～7</w:t>
            </w:r>
          </w:p>
        </w:tc>
        <w:tc>
          <w:tcPr>
            <w:tcW w:w="1035"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27～252</w:t>
            </w:r>
          </w:p>
        </w:tc>
        <w:tc>
          <w:tcPr>
            <w:tcW w:w="1335"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低～较大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0" w:hRule="atLeast"/>
          <w:jc w:val="center"/>
        </w:trPr>
        <w:tc>
          <w:tcPr>
            <w:tcW w:w="569"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41</w:t>
            </w:r>
          </w:p>
        </w:tc>
        <w:tc>
          <w:tcPr>
            <w:tcW w:w="734" w:type="dxa"/>
            <w:vMerge w:val="continue"/>
            <w:vAlign w:val="center"/>
          </w:tcPr>
          <w:p>
            <w:pPr>
              <w:snapToGrid w:val="0"/>
              <w:jc w:val="center"/>
              <w:rPr>
                <w:rFonts w:cs="宋体" w:asciiTheme="minorEastAsia" w:hAnsiTheme="minorEastAsia" w:eastAsiaTheme="minorEastAsia"/>
                <w:sz w:val="18"/>
                <w:szCs w:val="18"/>
              </w:rPr>
            </w:pPr>
          </w:p>
        </w:tc>
        <w:tc>
          <w:tcPr>
            <w:tcW w:w="1079" w:type="dxa"/>
            <w:vMerge w:val="restart"/>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有限空间</w:t>
            </w:r>
          </w:p>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作业</w:t>
            </w:r>
          </w:p>
        </w:tc>
        <w:tc>
          <w:tcPr>
            <w:tcW w:w="2100" w:type="dxa"/>
            <w:vAlign w:val="center"/>
          </w:tcPr>
          <w:p>
            <w:pPr>
              <w:snapToGrid w:val="0"/>
              <w:jc w:val="left"/>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顶管作业</w:t>
            </w:r>
          </w:p>
        </w:tc>
        <w:tc>
          <w:tcPr>
            <w:tcW w:w="4169" w:type="dxa"/>
            <w:vAlign w:val="center"/>
          </w:tcPr>
          <w:p>
            <w:pPr>
              <w:snapToGrid w:val="0"/>
              <w:jc w:val="left"/>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顶管作业</w:t>
            </w:r>
          </w:p>
        </w:tc>
        <w:tc>
          <w:tcPr>
            <w:tcW w:w="962"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3～6</w:t>
            </w:r>
          </w:p>
        </w:tc>
        <w:tc>
          <w:tcPr>
            <w:tcW w:w="1035"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6～10</w:t>
            </w:r>
          </w:p>
        </w:tc>
        <w:tc>
          <w:tcPr>
            <w:tcW w:w="1140"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3～7</w:t>
            </w:r>
          </w:p>
        </w:tc>
        <w:tc>
          <w:tcPr>
            <w:tcW w:w="1035"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54～420</w:t>
            </w:r>
          </w:p>
        </w:tc>
        <w:tc>
          <w:tcPr>
            <w:tcW w:w="1335"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低～重大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0" w:hRule="atLeast"/>
          <w:jc w:val="center"/>
        </w:trPr>
        <w:tc>
          <w:tcPr>
            <w:tcW w:w="569"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42</w:t>
            </w:r>
          </w:p>
        </w:tc>
        <w:tc>
          <w:tcPr>
            <w:tcW w:w="734" w:type="dxa"/>
            <w:vMerge w:val="continue"/>
            <w:vAlign w:val="center"/>
          </w:tcPr>
          <w:p>
            <w:pPr>
              <w:snapToGrid w:val="0"/>
              <w:jc w:val="center"/>
              <w:rPr>
                <w:rFonts w:cs="宋体" w:asciiTheme="minorEastAsia" w:hAnsiTheme="minorEastAsia" w:eastAsiaTheme="minorEastAsia"/>
                <w:sz w:val="18"/>
                <w:szCs w:val="18"/>
              </w:rPr>
            </w:pPr>
          </w:p>
        </w:tc>
        <w:tc>
          <w:tcPr>
            <w:tcW w:w="1079" w:type="dxa"/>
            <w:vMerge w:val="continue"/>
            <w:vAlign w:val="center"/>
          </w:tcPr>
          <w:p>
            <w:pPr>
              <w:snapToGrid w:val="0"/>
              <w:jc w:val="center"/>
              <w:rPr>
                <w:rFonts w:cs="宋体" w:asciiTheme="minorEastAsia" w:hAnsiTheme="minorEastAsia" w:eastAsiaTheme="minorEastAsia"/>
                <w:sz w:val="18"/>
                <w:szCs w:val="18"/>
              </w:rPr>
            </w:pPr>
          </w:p>
        </w:tc>
        <w:tc>
          <w:tcPr>
            <w:tcW w:w="2100" w:type="dxa"/>
            <w:vAlign w:val="center"/>
          </w:tcPr>
          <w:p>
            <w:pPr>
              <w:snapToGrid w:val="0"/>
              <w:jc w:val="left"/>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人工挖孔桩</w:t>
            </w:r>
          </w:p>
        </w:tc>
        <w:tc>
          <w:tcPr>
            <w:tcW w:w="4169" w:type="dxa"/>
            <w:vAlign w:val="center"/>
          </w:tcPr>
          <w:p>
            <w:pPr>
              <w:snapToGrid w:val="0"/>
              <w:jc w:val="left"/>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人工挖孔桩</w:t>
            </w:r>
          </w:p>
        </w:tc>
        <w:tc>
          <w:tcPr>
            <w:tcW w:w="962"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3～6</w:t>
            </w:r>
          </w:p>
        </w:tc>
        <w:tc>
          <w:tcPr>
            <w:tcW w:w="1035"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3～6</w:t>
            </w:r>
          </w:p>
        </w:tc>
        <w:tc>
          <w:tcPr>
            <w:tcW w:w="1140"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3～7</w:t>
            </w:r>
          </w:p>
        </w:tc>
        <w:tc>
          <w:tcPr>
            <w:tcW w:w="1035"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27～252</w:t>
            </w:r>
          </w:p>
        </w:tc>
        <w:tc>
          <w:tcPr>
            <w:tcW w:w="1335"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低～较大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0" w:hRule="atLeast"/>
          <w:jc w:val="center"/>
        </w:trPr>
        <w:tc>
          <w:tcPr>
            <w:tcW w:w="569"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43</w:t>
            </w:r>
          </w:p>
        </w:tc>
        <w:tc>
          <w:tcPr>
            <w:tcW w:w="734" w:type="dxa"/>
            <w:vMerge w:val="continue"/>
            <w:vAlign w:val="center"/>
          </w:tcPr>
          <w:p>
            <w:pPr>
              <w:snapToGrid w:val="0"/>
              <w:jc w:val="center"/>
              <w:rPr>
                <w:rFonts w:cs="宋体" w:asciiTheme="minorEastAsia" w:hAnsiTheme="minorEastAsia" w:eastAsiaTheme="minorEastAsia"/>
                <w:sz w:val="18"/>
                <w:szCs w:val="18"/>
              </w:rPr>
            </w:pPr>
          </w:p>
        </w:tc>
        <w:tc>
          <w:tcPr>
            <w:tcW w:w="1079"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管道安装</w:t>
            </w:r>
          </w:p>
        </w:tc>
        <w:tc>
          <w:tcPr>
            <w:tcW w:w="2100" w:type="dxa"/>
            <w:vAlign w:val="center"/>
          </w:tcPr>
          <w:p>
            <w:pPr>
              <w:snapToGrid w:val="0"/>
              <w:jc w:val="left"/>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管道</w:t>
            </w:r>
          </w:p>
        </w:tc>
        <w:tc>
          <w:tcPr>
            <w:tcW w:w="4169" w:type="dxa"/>
            <w:vAlign w:val="center"/>
          </w:tcPr>
          <w:p>
            <w:pPr>
              <w:snapToGrid w:val="0"/>
              <w:jc w:val="left"/>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管道</w:t>
            </w:r>
          </w:p>
        </w:tc>
        <w:tc>
          <w:tcPr>
            <w:tcW w:w="962"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3～6</w:t>
            </w:r>
          </w:p>
        </w:tc>
        <w:tc>
          <w:tcPr>
            <w:tcW w:w="1035"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3～6</w:t>
            </w:r>
          </w:p>
        </w:tc>
        <w:tc>
          <w:tcPr>
            <w:tcW w:w="1140"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3～15</w:t>
            </w:r>
          </w:p>
        </w:tc>
        <w:tc>
          <w:tcPr>
            <w:tcW w:w="1035"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27～540</w:t>
            </w:r>
          </w:p>
        </w:tc>
        <w:tc>
          <w:tcPr>
            <w:tcW w:w="1335"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低～重大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0" w:hRule="atLeast"/>
          <w:jc w:val="center"/>
        </w:trPr>
        <w:tc>
          <w:tcPr>
            <w:tcW w:w="569"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44</w:t>
            </w:r>
          </w:p>
        </w:tc>
        <w:tc>
          <w:tcPr>
            <w:tcW w:w="734" w:type="dxa"/>
            <w:vMerge w:val="restart"/>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机械</w:t>
            </w:r>
          </w:p>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设备类</w:t>
            </w:r>
          </w:p>
        </w:tc>
        <w:tc>
          <w:tcPr>
            <w:tcW w:w="1079" w:type="dxa"/>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运输车辆</w:t>
            </w:r>
          </w:p>
        </w:tc>
        <w:tc>
          <w:tcPr>
            <w:tcW w:w="2100" w:type="dxa"/>
            <w:vAlign w:val="center"/>
          </w:tcPr>
          <w:p>
            <w:pPr>
              <w:snapToGrid w:val="0"/>
              <w:jc w:val="left"/>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运输车辆</w:t>
            </w:r>
          </w:p>
        </w:tc>
        <w:tc>
          <w:tcPr>
            <w:tcW w:w="4169" w:type="dxa"/>
            <w:vAlign w:val="center"/>
          </w:tcPr>
          <w:p>
            <w:pPr>
              <w:snapToGrid w:val="0"/>
              <w:jc w:val="left"/>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运输车辆</w:t>
            </w:r>
          </w:p>
        </w:tc>
        <w:tc>
          <w:tcPr>
            <w:tcW w:w="962"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3～6</w:t>
            </w:r>
          </w:p>
        </w:tc>
        <w:tc>
          <w:tcPr>
            <w:tcW w:w="1035"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3～6</w:t>
            </w:r>
          </w:p>
        </w:tc>
        <w:tc>
          <w:tcPr>
            <w:tcW w:w="1140"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3～7</w:t>
            </w:r>
          </w:p>
        </w:tc>
        <w:tc>
          <w:tcPr>
            <w:tcW w:w="1035"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27～252</w:t>
            </w:r>
          </w:p>
        </w:tc>
        <w:tc>
          <w:tcPr>
            <w:tcW w:w="1335"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低～较大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0" w:hRule="atLeast"/>
          <w:jc w:val="center"/>
        </w:trPr>
        <w:tc>
          <w:tcPr>
            <w:tcW w:w="569"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45</w:t>
            </w:r>
          </w:p>
        </w:tc>
        <w:tc>
          <w:tcPr>
            <w:tcW w:w="734" w:type="dxa"/>
            <w:vMerge w:val="continue"/>
            <w:vAlign w:val="center"/>
          </w:tcPr>
          <w:p>
            <w:pPr>
              <w:snapToGrid w:val="0"/>
              <w:jc w:val="center"/>
              <w:rPr>
                <w:rFonts w:cs="宋体" w:asciiTheme="minorEastAsia" w:hAnsiTheme="minorEastAsia" w:eastAsiaTheme="minorEastAsia"/>
                <w:sz w:val="18"/>
                <w:szCs w:val="18"/>
              </w:rPr>
            </w:pPr>
          </w:p>
        </w:tc>
        <w:tc>
          <w:tcPr>
            <w:tcW w:w="1079" w:type="dxa"/>
            <w:vMerge w:val="restart"/>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特种设备</w:t>
            </w:r>
          </w:p>
        </w:tc>
        <w:tc>
          <w:tcPr>
            <w:tcW w:w="2100" w:type="dxa"/>
            <w:vAlign w:val="center"/>
          </w:tcPr>
          <w:p>
            <w:pPr>
              <w:snapToGrid w:val="0"/>
              <w:jc w:val="left"/>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大型施工机械的安装、运行及拆卸</w:t>
            </w:r>
          </w:p>
        </w:tc>
        <w:tc>
          <w:tcPr>
            <w:tcW w:w="4169" w:type="dxa"/>
            <w:vAlign w:val="center"/>
          </w:tcPr>
          <w:p>
            <w:pPr>
              <w:snapToGrid w:val="0"/>
              <w:jc w:val="left"/>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大型施工机械的安装、运行及拆卸</w:t>
            </w:r>
          </w:p>
        </w:tc>
        <w:tc>
          <w:tcPr>
            <w:tcW w:w="962"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6～10</w:t>
            </w:r>
          </w:p>
        </w:tc>
        <w:tc>
          <w:tcPr>
            <w:tcW w:w="1035"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3～6</w:t>
            </w:r>
          </w:p>
        </w:tc>
        <w:tc>
          <w:tcPr>
            <w:tcW w:w="1140"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7～15</w:t>
            </w:r>
          </w:p>
        </w:tc>
        <w:tc>
          <w:tcPr>
            <w:tcW w:w="1035"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126～900</w:t>
            </w:r>
          </w:p>
        </w:tc>
        <w:tc>
          <w:tcPr>
            <w:tcW w:w="1335"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一般～重大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0" w:hRule="atLeast"/>
          <w:jc w:val="center"/>
        </w:trPr>
        <w:tc>
          <w:tcPr>
            <w:tcW w:w="569"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46</w:t>
            </w:r>
          </w:p>
        </w:tc>
        <w:tc>
          <w:tcPr>
            <w:tcW w:w="734" w:type="dxa"/>
            <w:vMerge w:val="continue"/>
            <w:vAlign w:val="center"/>
          </w:tcPr>
          <w:p>
            <w:pPr>
              <w:snapToGrid w:val="0"/>
              <w:jc w:val="center"/>
              <w:rPr>
                <w:rFonts w:cs="宋体" w:asciiTheme="minorEastAsia" w:hAnsiTheme="minorEastAsia" w:eastAsiaTheme="minorEastAsia"/>
                <w:sz w:val="18"/>
                <w:szCs w:val="18"/>
              </w:rPr>
            </w:pPr>
          </w:p>
        </w:tc>
        <w:tc>
          <w:tcPr>
            <w:tcW w:w="1079" w:type="dxa"/>
            <w:vMerge w:val="continue"/>
            <w:vAlign w:val="center"/>
          </w:tcPr>
          <w:p>
            <w:pPr>
              <w:snapToGrid w:val="0"/>
              <w:jc w:val="center"/>
              <w:rPr>
                <w:rFonts w:cs="宋体" w:asciiTheme="minorEastAsia" w:hAnsiTheme="minorEastAsia" w:eastAsiaTheme="minorEastAsia"/>
                <w:sz w:val="18"/>
                <w:szCs w:val="18"/>
              </w:rPr>
            </w:pPr>
          </w:p>
        </w:tc>
        <w:tc>
          <w:tcPr>
            <w:tcW w:w="2100" w:type="dxa"/>
            <w:vAlign w:val="center"/>
          </w:tcPr>
          <w:p>
            <w:pPr>
              <w:snapToGrid w:val="0"/>
              <w:jc w:val="left"/>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压力容器</w:t>
            </w:r>
          </w:p>
        </w:tc>
        <w:tc>
          <w:tcPr>
            <w:tcW w:w="4169" w:type="dxa"/>
            <w:vAlign w:val="center"/>
          </w:tcPr>
          <w:p>
            <w:pPr>
              <w:snapToGrid w:val="0"/>
              <w:jc w:val="left"/>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压力容器</w:t>
            </w:r>
          </w:p>
        </w:tc>
        <w:tc>
          <w:tcPr>
            <w:tcW w:w="962"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3～6</w:t>
            </w:r>
          </w:p>
        </w:tc>
        <w:tc>
          <w:tcPr>
            <w:tcW w:w="1035"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3～6</w:t>
            </w:r>
          </w:p>
        </w:tc>
        <w:tc>
          <w:tcPr>
            <w:tcW w:w="1140"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3～15</w:t>
            </w:r>
          </w:p>
        </w:tc>
        <w:tc>
          <w:tcPr>
            <w:tcW w:w="1035"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27～540</w:t>
            </w:r>
          </w:p>
        </w:tc>
        <w:tc>
          <w:tcPr>
            <w:tcW w:w="1335"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低～重大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0" w:hRule="atLeast"/>
          <w:jc w:val="center"/>
        </w:trPr>
        <w:tc>
          <w:tcPr>
            <w:tcW w:w="569"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47</w:t>
            </w:r>
          </w:p>
        </w:tc>
        <w:tc>
          <w:tcPr>
            <w:tcW w:w="734" w:type="dxa"/>
            <w:vMerge w:val="continue"/>
            <w:vAlign w:val="center"/>
          </w:tcPr>
          <w:p>
            <w:pPr>
              <w:snapToGrid w:val="0"/>
              <w:jc w:val="center"/>
              <w:rPr>
                <w:rFonts w:cs="宋体" w:asciiTheme="minorEastAsia" w:hAnsiTheme="minorEastAsia" w:eastAsiaTheme="minorEastAsia"/>
                <w:sz w:val="18"/>
                <w:szCs w:val="18"/>
              </w:rPr>
            </w:pPr>
          </w:p>
        </w:tc>
        <w:tc>
          <w:tcPr>
            <w:tcW w:w="1079" w:type="dxa"/>
            <w:vMerge w:val="continue"/>
            <w:vAlign w:val="center"/>
          </w:tcPr>
          <w:p>
            <w:pPr>
              <w:snapToGrid w:val="0"/>
              <w:jc w:val="center"/>
              <w:rPr>
                <w:rFonts w:cs="宋体" w:asciiTheme="minorEastAsia" w:hAnsiTheme="minorEastAsia" w:eastAsiaTheme="minorEastAsia"/>
                <w:sz w:val="18"/>
                <w:szCs w:val="18"/>
              </w:rPr>
            </w:pPr>
          </w:p>
        </w:tc>
        <w:tc>
          <w:tcPr>
            <w:tcW w:w="2100" w:type="dxa"/>
            <w:vAlign w:val="center"/>
          </w:tcPr>
          <w:p>
            <w:pPr>
              <w:snapToGrid w:val="0"/>
              <w:jc w:val="left"/>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锅炉</w:t>
            </w:r>
          </w:p>
        </w:tc>
        <w:tc>
          <w:tcPr>
            <w:tcW w:w="4169" w:type="dxa"/>
            <w:vAlign w:val="center"/>
          </w:tcPr>
          <w:p>
            <w:pPr>
              <w:snapToGrid w:val="0"/>
              <w:jc w:val="left"/>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锅炉</w:t>
            </w:r>
          </w:p>
        </w:tc>
        <w:tc>
          <w:tcPr>
            <w:tcW w:w="962"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6～10</w:t>
            </w:r>
          </w:p>
        </w:tc>
        <w:tc>
          <w:tcPr>
            <w:tcW w:w="1035"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6～10</w:t>
            </w:r>
          </w:p>
        </w:tc>
        <w:tc>
          <w:tcPr>
            <w:tcW w:w="1140"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3～15</w:t>
            </w:r>
          </w:p>
        </w:tc>
        <w:tc>
          <w:tcPr>
            <w:tcW w:w="1035"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108～1500</w:t>
            </w:r>
          </w:p>
        </w:tc>
        <w:tc>
          <w:tcPr>
            <w:tcW w:w="1335"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一般～重大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0" w:hRule="atLeast"/>
          <w:jc w:val="center"/>
        </w:trPr>
        <w:tc>
          <w:tcPr>
            <w:tcW w:w="569"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48</w:t>
            </w:r>
          </w:p>
        </w:tc>
        <w:tc>
          <w:tcPr>
            <w:tcW w:w="734" w:type="dxa"/>
            <w:vMerge w:val="continue"/>
            <w:vAlign w:val="center"/>
          </w:tcPr>
          <w:p>
            <w:pPr>
              <w:snapToGrid w:val="0"/>
              <w:jc w:val="center"/>
              <w:rPr>
                <w:rFonts w:cs="宋体" w:asciiTheme="minorEastAsia" w:hAnsiTheme="minorEastAsia" w:eastAsiaTheme="minorEastAsia"/>
                <w:sz w:val="18"/>
                <w:szCs w:val="18"/>
              </w:rPr>
            </w:pPr>
          </w:p>
        </w:tc>
        <w:tc>
          <w:tcPr>
            <w:tcW w:w="1079"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起重设备安装、拆卸及吊装作业</w:t>
            </w:r>
          </w:p>
        </w:tc>
        <w:tc>
          <w:tcPr>
            <w:tcW w:w="2100" w:type="dxa"/>
            <w:vAlign w:val="center"/>
          </w:tcPr>
          <w:p>
            <w:pPr>
              <w:snapToGrid w:val="0"/>
              <w:jc w:val="left"/>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起重机械设备自身的安装、拆卸作业</w:t>
            </w:r>
          </w:p>
        </w:tc>
        <w:tc>
          <w:tcPr>
            <w:tcW w:w="4169" w:type="dxa"/>
            <w:vAlign w:val="center"/>
          </w:tcPr>
          <w:p>
            <w:pPr>
              <w:snapToGrid w:val="0"/>
              <w:jc w:val="left"/>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采用常规起重设备、方法，且单件起吊重量在10kN以下的起重吊装工程</w:t>
            </w:r>
          </w:p>
        </w:tc>
        <w:tc>
          <w:tcPr>
            <w:tcW w:w="962"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6～10</w:t>
            </w:r>
          </w:p>
        </w:tc>
        <w:tc>
          <w:tcPr>
            <w:tcW w:w="1035"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3～6</w:t>
            </w:r>
          </w:p>
        </w:tc>
        <w:tc>
          <w:tcPr>
            <w:tcW w:w="1140"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7～15</w:t>
            </w:r>
          </w:p>
        </w:tc>
        <w:tc>
          <w:tcPr>
            <w:tcW w:w="1035"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126～900</w:t>
            </w:r>
          </w:p>
        </w:tc>
        <w:tc>
          <w:tcPr>
            <w:tcW w:w="1335"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一般～重大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0" w:hRule="atLeast"/>
          <w:jc w:val="center"/>
        </w:trPr>
        <w:tc>
          <w:tcPr>
            <w:tcW w:w="569"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49</w:t>
            </w:r>
          </w:p>
        </w:tc>
        <w:tc>
          <w:tcPr>
            <w:tcW w:w="734" w:type="dxa"/>
            <w:vMerge w:val="restart"/>
            <w:vAlign w:val="center"/>
          </w:tcPr>
          <w:p>
            <w:pPr>
              <w:snapToGrid w:val="0"/>
              <w:jc w:val="center"/>
              <w:textAlignment w:val="center"/>
              <w:rPr>
                <w:rFonts w:cs="宋体" w:asciiTheme="minorEastAsia" w:hAnsiTheme="minorEastAsia" w:eastAsiaTheme="minorEastAsia"/>
                <w:sz w:val="18"/>
                <w:szCs w:val="18"/>
              </w:rPr>
            </w:pPr>
          </w:p>
          <w:p>
            <w:pPr>
              <w:snapToGrid w:val="0"/>
              <w:jc w:val="center"/>
              <w:textAlignment w:val="center"/>
              <w:rPr>
                <w:rFonts w:cs="宋体" w:asciiTheme="minorEastAsia" w:hAnsiTheme="minorEastAsia" w:eastAsiaTheme="minorEastAsia"/>
                <w:sz w:val="18"/>
                <w:szCs w:val="18"/>
              </w:rPr>
            </w:pPr>
          </w:p>
          <w:p>
            <w:pPr>
              <w:snapToGrid w:val="0"/>
              <w:jc w:val="center"/>
              <w:textAlignment w:val="center"/>
              <w:rPr>
                <w:rFonts w:cs="宋体" w:asciiTheme="minorEastAsia" w:hAnsiTheme="minorEastAsia" w:eastAsiaTheme="minorEastAsia"/>
                <w:sz w:val="18"/>
                <w:szCs w:val="18"/>
              </w:rPr>
            </w:pPr>
          </w:p>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设施</w:t>
            </w:r>
          </w:p>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场所类</w:t>
            </w:r>
          </w:p>
          <w:p>
            <w:pPr>
              <w:widowControl w:val="0"/>
              <w:spacing w:line="400" w:lineRule="exact"/>
              <w:ind w:firstLine="360" w:firstLineChars="200"/>
              <w:jc w:val="center"/>
              <w:rPr>
                <w:rFonts w:cs="宋体" w:asciiTheme="minorEastAsia" w:hAnsiTheme="minorEastAsia" w:eastAsiaTheme="minorEastAsia"/>
                <w:sz w:val="18"/>
                <w:szCs w:val="18"/>
              </w:rPr>
            </w:pPr>
          </w:p>
          <w:p>
            <w:pPr>
              <w:widowControl w:val="0"/>
              <w:spacing w:line="400" w:lineRule="exact"/>
              <w:ind w:firstLine="360" w:firstLineChars="200"/>
              <w:jc w:val="center"/>
              <w:rPr>
                <w:rFonts w:cs="宋体" w:asciiTheme="minorEastAsia" w:hAnsiTheme="minorEastAsia" w:eastAsiaTheme="minorEastAsia"/>
                <w:sz w:val="18"/>
                <w:szCs w:val="18"/>
              </w:rPr>
            </w:pPr>
          </w:p>
          <w:p>
            <w:pPr>
              <w:widowControl w:val="0"/>
              <w:spacing w:line="400" w:lineRule="exact"/>
              <w:jc w:val="center"/>
              <w:rPr>
                <w:rFonts w:cs="宋体" w:asciiTheme="minorEastAsia" w:hAnsiTheme="minorEastAsia" w:eastAsiaTheme="minorEastAsia"/>
                <w:kern w:val="2"/>
                <w:sz w:val="18"/>
                <w:szCs w:val="18"/>
              </w:rPr>
            </w:pPr>
          </w:p>
          <w:p>
            <w:pPr>
              <w:widowControl w:val="0"/>
              <w:spacing w:line="400" w:lineRule="exact"/>
              <w:jc w:val="center"/>
              <w:rPr>
                <w:rFonts w:cs="宋体" w:asciiTheme="minorEastAsia" w:hAnsiTheme="minorEastAsia" w:eastAsiaTheme="minorEastAsia"/>
                <w:kern w:val="2"/>
                <w:sz w:val="18"/>
                <w:szCs w:val="18"/>
              </w:rPr>
            </w:pPr>
          </w:p>
          <w:p>
            <w:pPr>
              <w:widowControl w:val="0"/>
              <w:spacing w:line="400" w:lineRule="exact"/>
              <w:jc w:val="center"/>
              <w:rPr>
                <w:rFonts w:cs="宋体" w:asciiTheme="minorEastAsia" w:hAnsiTheme="minorEastAsia" w:eastAsiaTheme="minorEastAsia"/>
                <w:kern w:val="2"/>
                <w:sz w:val="18"/>
                <w:szCs w:val="18"/>
              </w:rPr>
            </w:pPr>
          </w:p>
          <w:p>
            <w:pPr>
              <w:widowControl w:val="0"/>
              <w:spacing w:line="400" w:lineRule="exact"/>
              <w:jc w:val="center"/>
              <w:rPr>
                <w:rFonts w:cs="宋体" w:asciiTheme="minorEastAsia" w:hAnsiTheme="minorEastAsia" w:eastAsiaTheme="minorEastAsia"/>
                <w:kern w:val="2"/>
                <w:sz w:val="18"/>
                <w:szCs w:val="18"/>
              </w:rPr>
            </w:pPr>
          </w:p>
          <w:p>
            <w:pPr>
              <w:widowControl w:val="0"/>
              <w:spacing w:line="400" w:lineRule="exact"/>
              <w:jc w:val="center"/>
              <w:rPr>
                <w:rFonts w:cs="宋体" w:asciiTheme="minorEastAsia" w:hAnsiTheme="minorEastAsia" w:eastAsiaTheme="minorEastAsia"/>
                <w:kern w:val="2"/>
                <w:sz w:val="18"/>
                <w:szCs w:val="18"/>
              </w:rPr>
            </w:pPr>
            <w:r>
              <w:rPr>
                <w:rFonts w:hint="eastAsia" w:cs="宋体" w:asciiTheme="minorEastAsia" w:hAnsiTheme="minorEastAsia" w:eastAsiaTheme="minorEastAsia"/>
                <w:kern w:val="2"/>
                <w:sz w:val="18"/>
                <w:szCs w:val="18"/>
              </w:rPr>
              <w:t>设施</w:t>
            </w:r>
          </w:p>
          <w:p>
            <w:pPr>
              <w:widowControl w:val="0"/>
              <w:spacing w:line="400" w:lineRule="exact"/>
              <w:jc w:val="center"/>
              <w:rPr>
                <w:rFonts w:cs="宋体" w:asciiTheme="minorEastAsia" w:hAnsiTheme="minorEastAsia" w:eastAsiaTheme="minorEastAsia"/>
                <w:sz w:val="18"/>
                <w:szCs w:val="18"/>
              </w:rPr>
            </w:pPr>
            <w:r>
              <w:rPr>
                <w:rFonts w:hint="eastAsia" w:cs="宋体" w:asciiTheme="minorEastAsia" w:hAnsiTheme="minorEastAsia" w:eastAsiaTheme="minorEastAsia"/>
                <w:kern w:val="2"/>
                <w:sz w:val="18"/>
                <w:szCs w:val="18"/>
              </w:rPr>
              <w:t>场所类</w:t>
            </w:r>
          </w:p>
        </w:tc>
        <w:tc>
          <w:tcPr>
            <w:tcW w:w="1079"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存弃渣场</w:t>
            </w:r>
          </w:p>
        </w:tc>
        <w:tc>
          <w:tcPr>
            <w:tcW w:w="2100" w:type="dxa"/>
            <w:vAlign w:val="center"/>
          </w:tcPr>
          <w:p>
            <w:pPr>
              <w:snapToGrid w:val="0"/>
              <w:jc w:val="left"/>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弃渣堆</w:t>
            </w:r>
          </w:p>
        </w:tc>
        <w:tc>
          <w:tcPr>
            <w:tcW w:w="4169" w:type="dxa"/>
            <w:vAlign w:val="center"/>
          </w:tcPr>
          <w:p>
            <w:pPr>
              <w:snapToGrid w:val="0"/>
              <w:jc w:val="left"/>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普通弃渣堆，下方无人作业</w:t>
            </w:r>
          </w:p>
        </w:tc>
        <w:tc>
          <w:tcPr>
            <w:tcW w:w="962"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3～6</w:t>
            </w:r>
          </w:p>
        </w:tc>
        <w:tc>
          <w:tcPr>
            <w:tcW w:w="1035"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6～10</w:t>
            </w:r>
          </w:p>
        </w:tc>
        <w:tc>
          <w:tcPr>
            <w:tcW w:w="1140"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7～100</w:t>
            </w:r>
          </w:p>
        </w:tc>
        <w:tc>
          <w:tcPr>
            <w:tcW w:w="1035"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126～6000</w:t>
            </w:r>
          </w:p>
        </w:tc>
        <w:tc>
          <w:tcPr>
            <w:tcW w:w="1335"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一般～重大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0" w:hRule="atLeast"/>
          <w:jc w:val="center"/>
        </w:trPr>
        <w:tc>
          <w:tcPr>
            <w:tcW w:w="569"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50</w:t>
            </w:r>
          </w:p>
        </w:tc>
        <w:tc>
          <w:tcPr>
            <w:tcW w:w="734" w:type="dxa"/>
            <w:vMerge w:val="continue"/>
            <w:vAlign w:val="center"/>
          </w:tcPr>
          <w:p>
            <w:pPr>
              <w:snapToGrid w:val="0"/>
              <w:jc w:val="center"/>
              <w:rPr>
                <w:rFonts w:cs="宋体" w:asciiTheme="minorEastAsia" w:hAnsiTheme="minorEastAsia" w:eastAsiaTheme="minorEastAsia"/>
                <w:sz w:val="18"/>
                <w:szCs w:val="18"/>
              </w:rPr>
            </w:pPr>
          </w:p>
        </w:tc>
        <w:tc>
          <w:tcPr>
            <w:tcW w:w="1079"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基坑</w:t>
            </w:r>
          </w:p>
        </w:tc>
        <w:tc>
          <w:tcPr>
            <w:tcW w:w="2100" w:type="dxa"/>
            <w:vAlign w:val="center"/>
          </w:tcPr>
          <w:p>
            <w:pPr>
              <w:snapToGrid w:val="0"/>
              <w:jc w:val="left"/>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基坑</w:t>
            </w:r>
          </w:p>
        </w:tc>
        <w:tc>
          <w:tcPr>
            <w:tcW w:w="4169" w:type="dxa"/>
            <w:vAlign w:val="center"/>
          </w:tcPr>
          <w:p>
            <w:pPr>
              <w:snapToGrid w:val="0"/>
              <w:jc w:val="left"/>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开挖深度未超过5m的普通作业</w:t>
            </w:r>
          </w:p>
        </w:tc>
        <w:tc>
          <w:tcPr>
            <w:tcW w:w="962"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1～3</w:t>
            </w:r>
          </w:p>
        </w:tc>
        <w:tc>
          <w:tcPr>
            <w:tcW w:w="1035"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3～6</w:t>
            </w:r>
          </w:p>
        </w:tc>
        <w:tc>
          <w:tcPr>
            <w:tcW w:w="1140"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7～40</w:t>
            </w:r>
          </w:p>
        </w:tc>
        <w:tc>
          <w:tcPr>
            <w:tcW w:w="1035"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21～720</w:t>
            </w:r>
          </w:p>
        </w:tc>
        <w:tc>
          <w:tcPr>
            <w:tcW w:w="1335"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低～重大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0" w:hRule="atLeast"/>
          <w:jc w:val="center"/>
        </w:trPr>
        <w:tc>
          <w:tcPr>
            <w:tcW w:w="569"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51</w:t>
            </w:r>
          </w:p>
        </w:tc>
        <w:tc>
          <w:tcPr>
            <w:tcW w:w="734" w:type="dxa"/>
            <w:vMerge w:val="continue"/>
            <w:vAlign w:val="center"/>
          </w:tcPr>
          <w:p>
            <w:pPr>
              <w:snapToGrid w:val="0"/>
              <w:jc w:val="center"/>
              <w:rPr>
                <w:rFonts w:cs="宋体" w:asciiTheme="minorEastAsia" w:hAnsiTheme="minorEastAsia" w:eastAsiaTheme="minorEastAsia"/>
                <w:sz w:val="18"/>
                <w:szCs w:val="18"/>
              </w:rPr>
            </w:pPr>
          </w:p>
        </w:tc>
        <w:tc>
          <w:tcPr>
            <w:tcW w:w="1079"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油库、油罐</w:t>
            </w:r>
          </w:p>
        </w:tc>
        <w:tc>
          <w:tcPr>
            <w:tcW w:w="2100" w:type="dxa"/>
            <w:vAlign w:val="center"/>
          </w:tcPr>
          <w:p>
            <w:pPr>
              <w:snapToGrid w:val="0"/>
              <w:jc w:val="left"/>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汽油、柴油等油品储存区</w:t>
            </w:r>
          </w:p>
        </w:tc>
        <w:tc>
          <w:tcPr>
            <w:tcW w:w="4169" w:type="dxa"/>
            <w:vAlign w:val="center"/>
          </w:tcPr>
          <w:p>
            <w:pPr>
              <w:snapToGrid w:val="0"/>
              <w:jc w:val="left"/>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储存量低于临界量的汽油、柴油等</w:t>
            </w:r>
          </w:p>
        </w:tc>
        <w:tc>
          <w:tcPr>
            <w:tcW w:w="5507" w:type="dxa"/>
            <w:gridSpan w:val="5"/>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参照《危险化学品重大危险源辨识》(GB18218-20</w:t>
            </w:r>
            <w:r>
              <w:rPr>
                <w:rFonts w:cs="宋体" w:asciiTheme="minorEastAsia" w:hAnsiTheme="minorEastAsia" w:eastAsiaTheme="minorEastAsia"/>
                <w:sz w:val="18"/>
                <w:szCs w:val="18"/>
              </w:rPr>
              <w:t>18</w:t>
            </w:r>
            <w:r>
              <w:rPr>
                <w:rFonts w:hint="eastAsia" w:cs="宋体" w:asciiTheme="minorEastAsia" w:hAnsiTheme="minorEastAsia" w:eastAsiaTheme="minorEastAsia"/>
                <w:sz w:val="18"/>
                <w:szCs w:val="18"/>
              </w:rPr>
              <w:t>)标准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0" w:hRule="atLeast"/>
          <w:jc w:val="center"/>
        </w:trPr>
        <w:tc>
          <w:tcPr>
            <w:tcW w:w="569"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52</w:t>
            </w:r>
          </w:p>
        </w:tc>
        <w:tc>
          <w:tcPr>
            <w:tcW w:w="734" w:type="dxa"/>
            <w:vMerge w:val="continue"/>
            <w:vAlign w:val="center"/>
          </w:tcPr>
          <w:p>
            <w:pPr>
              <w:snapToGrid w:val="0"/>
              <w:jc w:val="center"/>
              <w:rPr>
                <w:rFonts w:cs="宋体" w:asciiTheme="minorEastAsia" w:hAnsiTheme="minorEastAsia" w:eastAsiaTheme="minorEastAsia"/>
                <w:sz w:val="18"/>
                <w:szCs w:val="18"/>
              </w:rPr>
            </w:pPr>
          </w:p>
        </w:tc>
        <w:tc>
          <w:tcPr>
            <w:tcW w:w="1079"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危险化学品仓库</w:t>
            </w:r>
          </w:p>
        </w:tc>
        <w:tc>
          <w:tcPr>
            <w:tcW w:w="2100" w:type="dxa"/>
            <w:vAlign w:val="center"/>
          </w:tcPr>
          <w:p>
            <w:pPr>
              <w:snapToGrid w:val="0"/>
              <w:jc w:val="left"/>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乙炔等危险化学品储存区</w:t>
            </w:r>
          </w:p>
        </w:tc>
        <w:tc>
          <w:tcPr>
            <w:tcW w:w="4169" w:type="dxa"/>
            <w:vAlign w:val="center"/>
          </w:tcPr>
          <w:p>
            <w:pPr>
              <w:snapToGrid w:val="0"/>
              <w:jc w:val="left"/>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储存量低于临界量的乙炔等危险化学品</w:t>
            </w:r>
          </w:p>
        </w:tc>
        <w:tc>
          <w:tcPr>
            <w:tcW w:w="5507" w:type="dxa"/>
            <w:gridSpan w:val="5"/>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参照《危险化学品重大危险源辨识》(GB18218-20</w:t>
            </w:r>
            <w:r>
              <w:rPr>
                <w:rFonts w:cs="宋体" w:asciiTheme="minorEastAsia" w:hAnsiTheme="minorEastAsia" w:eastAsiaTheme="minorEastAsia"/>
                <w:sz w:val="18"/>
                <w:szCs w:val="18"/>
              </w:rPr>
              <w:t>18</w:t>
            </w:r>
            <w:r>
              <w:rPr>
                <w:rFonts w:hint="eastAsia" w:cs="宋体" w:asciiTheme="minorEastAsia" w:hAnsiTheme="minorEastAsia" w:eastAsiaTheme="minorEastAsia"/>
                <w:sz w:val="18"/>
                <w:szCs w:val="18"/>
              </w:rPr>
              <w:t>)标准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0" w:hRule="atLeast"/>
          <w:jc w:val="center"/>
        </w:trPr>
        <w:tc>
          <w:tcPr>
            <w:tcW w:w="569"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53</w:t>
            </w:r>
          </w:p>
        </w:tc>
        <w:tc>
          <w:tcPr>
            <w:tcW w:w="734" w:type="dxa"/>
            <w:vMerge w:val="continue"/>
            <w:vAlign w:val="center"/>
          </w:tcPr>
          <w:p>
            <w:pPr>
              <w:snapToGrid w:val="0"/>
              <w:jc w:val="center"/>
              <w:textAlignment w:val="center"/>
              <w:rPr>
                <w:rFonts w:cs="宋体" w:asciiTheme="minorEastAsia" w:hAnsiTheme="minorEastAsia" w:eastAsiaTheme="minorEastAsia"/>
                <w:sz w:val="18"/>
                <w:szCs w:val="18"/>
              </w:rPr>
            </w:pPr>
          </w:p>
        </w:tc>
        <w:tc>
          <w:tcPr>
            <w:tcW w:w="1079" w:type="dxa"/>
            <w:vMerge w:val="restart"/>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供水系统</w:t>
            </w:r>
          </w:p>
        </w:tc>
        <w:tc>
          <w:tcPr>
            <w:tcW w:w="2100" w:type="dxa"/>
            <w:vAlign w:val="center"/>
          </w:tcPr>
          <w:p>
            <w:pPr>
              <w:snapToGrid w:val="0"/>
              <w:jc w:val="left"/>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输水主干管</w:t>
            </w:r>
          </w:p>
        </w:tc>
        <w:tc>
          <w:tcPr>
            <w:tcW w:w="4169" w:type="dxa"/>
            <w:vAlign w:val="center"/>
          </w:tcPr>
          <w:p>
            <w:pPr>
              <w:snapToGrid w:val="0"/>
              <w:jc w:val="left"/>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输水管道</w:t>
            </w:r>
          </w:p>
        </w:tc>
        <w:tc>
          <w:tcPr>
            <w:tcW w:w="962"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3～6</w:t>
            </w:r>
          </w:p>
        </w:tc>
        <w:tc>
          <w:tcPr>
            <w:tcW w:w="1035"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3～6</w:t>
            </w:r>
          </w:p>
        </w:tc>
        <w:tc>
          <w:tcPr>
            <w:tcW w:w="1140"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3～7</w:t>
            </w:r>
          </w:p>
        </w:tc>
        <w:tc>
          <w:tcPr>
            <w:tcW w:w="1035"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27～252</w:t>
            </w:r>
          </w:p>
        </w:tc>
        <w:tc>
          <w:tcPr>
            <w:tcW w:w="1335"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低～较大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0" w:hRule="atLeast"/>
          <w:jc w:val="center"/>
        </w:trPr>
        <w:tc>
          <w:tcPr>
            <w:tcW w:w="569"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54</w:t>
            </w:r>
          </w:p>
        </w:tc>
        <w:tc>
          <w:tcPr>
            <w:tcW w:w="734" w:type="dxa"/>
            <w:vMerge w:val="continue"/>
            <w:vAlign w:val="center"/>
          </w:tcPr>
          <w:p>
            <w:pPr>
              <w:snapToGrid w:val="0"/>
              <w:jc w:val="center"/>
              <w:rPr>
                <w:rFonts w:cs="宋体" w:asciiTheme="minorEastAsia" w:hAnsiTheme="minorEastAsia" w:eastAsiaTheme="minorEastAsia"/>
                <w:sz w:val="18"/>
                <w:szCs w:val="18"/>
              </w:rPr>
            </w:pPr>
          </w:p>
        </w:tc>
        <w:tc>
          <w:tcPr>
            <w:tcW w:w="1079" w:type="dxa"/>
            <w:vMerge w:val="continue"/>
            <w:vAlign w:val="center"/>
          </w:tcPr>
          <w:p>
            <w:pPr>
              <w:snapToGrid w:val="0"/>
              <w:jc w:val="center"/>
              <w:rPr>
                <w:rFonts w:cs="宋体" w:asciiTheme="minorEastAsia" w:hAnsiTheme="minorEastAsia" w:eastAsiaTheme="minorEastAsia"/>
                <w:sz w:val="18"/>
                <w:szCs w:val="18"/>
              </w:rPr>
            </w:pPr>
          </w:p>
        </w:tc>
        <w:tc>
          <w:tcPr>
            <w:tcW w:w="2100" w:type="dxa"/>
            <w:vAlign w:val="center"/>
          </w:tcPr>
          <w:p>
            <w:pPr>
              <w:snapToGrid w:val="0"/>
              <w:jc w:val="left"/>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利用液氯进行消毒和用盐酸进行污水处理</w:t>
            </w:r>
          </w:p>
        </w:tc>
        <w:tc>
          <w:tcPr>
            <w:tcW w:w="4169" w:type="dxa"/>
            <w:vAlign w:val="center"/>
          </w:tcPr>
          <w:p>
            <w:pPr>
              <w:snapToGrid w:val="0"/>
              <w:jc w:val="left"/>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利用液氯进行消毒和用盐酸进行污水处理</w:t>
            </w:r>
          </w:p>
        </w:tc>
        <w:tc>
          <w:tcPr>
            <w:tcW w:w="962"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3～6</w:t>
            </w:r>
          </w:p>
        </w:tc>
        <w:tc>
          <w:tcPr>
            <w:tcW w:w="1035"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6～10</w:t>
            </w:r>
          </w:p>
        </w:tc>
        <w:tc>
          <w:tcPr>
            <w:tcW w:w="1140"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7～15</w:t>
            </w:r>
          </w:p>
        </w:tc>
        <w:tc>
          <w:tcPr>
            <w:tcW w:w="1035"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126～900</w:t>
            </w:r>
          </w:p>
        </w:tc>
        <w:tc>
          <w:tcPr>
            <w:tcW w:w="1335"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一般～重大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0" w:hRule="atLeast"/>
          <w:jc w:val="center"/>
        </w:trPr>
        <w:tc>
          <w:tcPr>
            <w:tcW w:w="569"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55</w:t>
            </w:r>
          </w:p>
        </w:tc>
        <w:tc>
          <w:tcPr>
            <w:tcW w:w="734" w:type="dxa"/>
            <w:vMerge w:val="continue"/>
            <w:vAlign w:val="center"/>
          </w:tcPr>
          <w:p>
            <w:pPr>
              <w:snapToGrid w:val="0"/>
              <w:jc w:val="center"/>
              <w:rPr>
                <w:rFonts w:cs="宋体" w:asciiTheme="minorEastAsia" w:hAnsiTheme="minorEastAsia" w:eastAsiaTheme="minorEastAsia"/>
                <w:sz w:val="18"/>
                <w:szCs w:val="18"/>
              </w:rPr>
            </w:pPr>
          </w:p>
        </w:tc>
        <w:tc>
          <w:tcPr>
            <w:tcW w:w="1079" w:type="dxa"/>
            <w:vMerge w:val="continue"/>
            <w:vAlign w:val="center"/>
          </w:tcPr>
          <w:p>
            <w:pPr>
              <w:snapToGrid w:val="0"/>
              <w:jc w:val="center"/>
              <w:rPr>
                <w:rFonts w:cs="宋体" w:asciiTheme="minorEastAsia" w:hAnsiTheme="minorEastAsia" w:eastAsiaTheme="minorEastAsia"/>
                <w:sz w:val="18"/>
                <w:szCs w:val="18"/>
              </w:rPr>
            </w:pPr>
          </w:p>
        </w:tc>
        <w:tc>
          <w:tcPr>
            <w:tcW w:w="2100" w:type="dxa"/>
            <w:vAlign w:val="center"/>
          </w:tcPr>
          <w:p>
            <w:pPr>
              <w:snapToGrid w:val="0"/>
              <w:jc w:val="left"/>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高位水池</w:t>
            </w:r>
          </w:p>
        </w:tc>
        <w:tc>
          <w:tcPr>
            <w:tcW w:w="4169" w:type="dxa"/>
            <w:vAlign w:val="center"/>
          </w:tcPr>
          <w:p>
            <w:pPr>
              <w:snapToGrid w:val="0"/>
              <w:jc w:val="left"/>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高位水池</w:t>
            </w:r>
          </w:p>
        </w:tc>
        <w:tc>
          <w:tcPr>
            <w:tcW w:w="962"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3～6</w:t>
            </w:r>
          </w:p>
        </w:tc>
        <w:tc>
          <w:tcPr>
            <w:tcW w:w="1035"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6～10</w:t>
            </w:r>
          </w:p>
        </w:tc>
        <w:tc>
          <w:tcPr>
            <w:tcW w:w="1140"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7～15</w:t>
            </w:r>
          </w:p>
        </w:tc>
        <w:tc>
          <w:tcPr>
            <w:tcW w:w="1035"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126～900</w:t>
            </w:r>
          </w:p>
        </w:tc>
        <w:tc>
          <w:tcPr>
            <w:tcW w:w="1335"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一般～重大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0" w:hRule="atLeast"/>
          <w:jc w:val="center"/>
        </w:trPr>
        <w:tc>
          <w:tcPr>
            <w:tcW w:w="569"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56</w:t>
            </w:r>
          </w:p>
        </w:tc>
        <w:tc>
          <w:tcPr>
            <w:tcW w:w="734" w:type="dxa"/>
            <w:vMerge w:val="continue"/>
            <w:vAlign w:val="center"/>
          </w:tcPr>
          <w:p>
            <w:pPr>
              <w:snapToGrid w:val="0"/>
              <w:jc w:val="center"/>
              <w:rPr>
                <w:rFonts w:cs="宋体" w:asciiTheme="minorEastAsia" w:hAnsiTheme="minorEastAsia" w:eastAsiaTheme="minorEastAsia"/>
                <w:sz w:val="18"/>
                <w:szCs w:val="18"/>
              </w:rPr>
            </w:pPr>
          </w:p>
        </w:tc>
        <w:tc>
          <w:tcPr>
            <w:tcW w:w="1079" w:type="dxa"/>
            <w:vMerge w:val="restart"/>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通风系统</w:t>
            </w:r>
          </w:p>
        </w:tc>
        <w:tc>
          <w:tcPr>
            <w:tcW w:w="2100" w:type="dxa"/>
            <w:vAlign w:val="center"/>
          </w:tcPr>
          <w:p>
            <w:pPr>
              <w:snapToGrid w:val="0"/>
              <w:jc w:val="left"/>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空压机房、供风管路等设施</w:t>
            </w:r>
          </w:p>
        </w:tc>
        <w:tc>
          <w:tcPr>
            <w:tcW w:w="4169" w:type="dxa"/>
            <w:vAlign w:val="center"/>
          </w:tcPr>
          <w:p>
            <w:pPr>
              <w:snapToGrid w:val="0"/>
              <w:jc w:val="left"/>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空压机房、供风管路等设施</w:t>
            </w:r>
          </w:p>
        </w:tc>
        <w:tc>
          <w:tcPr>
            <w:tcW w:w="962"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3～6</w:t>
            </w:r>
          </w:p>
        </w:tc>
        <w:tc>
          <w:tcPr>
            <w:tcW w:w="1035"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3～6</w:t>
            </w:r>
          </w:p>
        </w:tc>
        <w:tc>
          <w:tcPr>
            <w:tcW w:w="1140"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3～7</w:t>
            </w:r>
          </w:p>
        </w:tc>
        <w:tc>
          <w:tcPr>
            <w:tcW w:w="1035"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27～252</w:t>
            </w:r>
          </w:p>
        </w:tc>
        <w:tc>
          <w:tcPr>
            <w:tcW w:w="1335"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低～较大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0" w:hRule="atLeast"/>
          <w:jc w:val="center"/>
        </w:trPr>
        <w:tc>
          <w:tcPr>
            <w:tcW w:w="569"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57</w:t>
            </w:r>
          </w:p>
        </w:tc>
        <w:tc>
          <w:tcPr>
            <w:tcW w:w="734" w:type="dxa"/>
            <w:vMerge w:val="continue"/>
            <w:vAlign w:val="center"/>
          </w:tcPr>
          <w:p>
            <w:pPr>
              <w:snapToGrid w:val="0"/>
              <w:jc w:val="center"/>
              <w:rPr>
                <w:rFonts w:cs="宋体" w:asciiTheme="minorEastAsia" w:hAnsiTheme="minorEastAsia" w:eastAsiaTheme="minorEastAsia"/>
                <w:sz w:val="18"/>
                <w:szCs w:val="18"/>
              </w:rPr>
            </w:pPr>
          </w:p>
        </w:tc>
        <w:tc>
          <w:tcPr>
            <w:tcW w:w="1079" w:type="dxa"/>
            <w:vMerge w:val="continue"/>
            <w:vAlign w:val="center"/>
          </w:tcPr>
          <w:p>
            <w:pPr>
              <w:snapToGrid w:val="0"/>
              <w:jc w:val="center"/>
              <w:rPr>
                <w:rFonts w:cs="宋体" w:asciiTheme="minorEastAsia" w:hAnsiTheme="minorEastAsia" w:eastAsiaTheme="minorEastAsia"/>
                <w:sz w:val="18"/>
                <w:szCs w:val="18"/>
              </w:rPr>
            </w:pPr>
          </w:p>
        </w:tc>
        <w:tc>
          <w:tcPr>
            <w:tcW w:w="2100" w:type="dxa"/>
            <w:vAlign w:val="center"/>
          </w:tcPr>
          <w:p>
            <w:pPr>
              <w:snapToGrid w:val="0"/>
              <w:jc w:val="left"/>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储气罐</w:t>
            </w:r>
          </w:p>
        </w:tc>
        <w:tc>
          <w:tcPr>
            <w:tcW w:w="4169" w:type="dxa"/>
            <w:vAlign w:val="center"/>
          </w:tcPr>
          <w:p>
            <w:pPr>
              <w:snapToGrid w:val="0"/>
              <w:jc w:val="left"/>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储气罐</w:t>
            </w:r>
          </w:p>
        </w:tc>
        <w:tc>
          <w:tcPr>
            <w:tcW w:w="962"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3～6</w:t>
            </w:r>
          </w:p>
        </w:tc>
        <w:tc>
          <w:tcPr>
            <w:tcW w:w="1035"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3～6</w:t>
            </w:r>
          </w:p>
        </w:tc>
        <w:tc>
          <w:tcPr>
            <w:tcW w:w="1140"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3～7</w:t>
            </w:r>
          </w:p>
        </w:tc>
        <w:tc>
          <w:tcPr>
            <w:tcW w:w="1035"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27～252</w:t>
            </w:r>
          </w:p>
        </w:tc>
        <w:tc>
          <w:tcPr>
            <w:tcW w:w="1335"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低～较大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0" w:hRule="atLeast"/>
          <w:jc w:val="center"/>
        </w:trPr>
        <w:tc>
          <w:tcPr>
            <w:tcW w:w="569"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58</w:t>
            </w:r>
          </w:p>
        </w:tc>
        <w:tc>
          <w:tcPr>
            <w:tcW w:w="734" w:type="dxa"/>
            <w:vMerge w:val="continue"/>
            <w:vAlign w:val="center"/>
          </w:tcPr>
          <w:p>
            <w:pPr>
              <w:snapToGrid w:val="0"/>
              <w:jc w:val="center"/>
              <w:rPr>
                <w:rFonts w:cs="宋体" w:asciiTheme="minorEastAsia" w:hAnsiTheme="minorEastAsia" w:eastAsiaTheme="minorEastAsia"/>
                <w:sz w:val="18"/>
                <w:szCs w:val="18"/>
              </w:rPr>
            </w:pPr>
          </w:p>
        </w:tc>
        <w:tc>
          <w:tcPr>
            <w:tcW w:w="1079" w:type="dxa"/>
            <w:vMerge w:val="restart"/>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供电系统</w:t>
            </w:r>
          </w:p>
        </w:tc>
        <w:tc>
          <w:tcPr>
            <w:tcW w:w="2100" w:type="dxa"/>
            <w:vAlign w:val="center"/>
          </w:tcPr>
          <w:p>
            <w:pPr>
              <w:snapToGrid w:val="0"/>
              <w:jc w:val="left"/>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变压器</w:t>
            </w:r>
          </w:p>
        </w:tc>
        <w:tc>
          <w:tcPr>
            <w:tcW w:w="4169" w:type="dxa"/>
            <w:vAlign w:val="center"/>
          </w:tcPr>
          <w:p>
            <w:pPr>
              <w:snapToGrid w:val="0"/>
              <w:jc w:val="left"/>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变压器</w:t>
            </w:r>
          </w:p>
        </w:tc>
        <w:tc>
          <w:tcPr>
            <w:tcW w:w="962"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3～6</w:t>
            </w:r>
          </w:p>
        </w:tc>
        <w:tc>
          <w:tcPr>
            <w:tcW w:w="1035"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6～10</w:t>
            </w:r>
          </w:p>
        </w:tc>
        <w:tc>
          <w:tcPr>
            <w:tcW w:w="1140"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3～7</w:t>
            </w:r>
          </w:p>
        </w:tc>
        <w:tc>
          <w:tcPr>
            <w:tcW w:w="1035"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54～420</w:t>
            </w:r>
          </w:p>
        </w:tc>
        <w:tc>
          <w:tcPr>
            <w:tcW w:w="1335"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低～重大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0" w:hRule="atLeast"/>
          <w:jc w:val="center"/>
        </w:trPr>
        <w:tc>
          <w:tcPr>
            <w:tcW w:w="569"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59</w:t>
            </w:r>
          </w:p>
        </w:tc>
        <w:tc>
          <w:tcPr>
            <w:tcW w:w="734" w:type="dxa"/>
            <w:vMerge w:val="continue"/>
            <w:vAlign w:val="center"/>
          </w:tcPr>
          <w:p>
            <w:pPr>
              <w:snapToGrid w:val="0"/>
              <w:jc w:val="center"/>
              <w:rPr>
                <w:rFonts w:cs="宋体" w:asciiTheme="minorEastAsia" w:hAnsiTheme="minorEastAsia" w:eastAsiaTheme="minorEastAsia"/>
                <w:sz w:val="18"/>
                <w:szCs w:val="18"/>
              </w:rPr>
            </w:pPr>
          </w:p>
        </w:tc>
        <w:tc>
          <w:tcPr>
            <w:tcW w:w="1079" w:type="dxa"/>
            <w:vMerge w:val="continue"/>
            <w:vAlign w:val="center"/>
          </w:tcPr>
          <w:p>
            <w:pPr>
              <w:snapToGrid w:val="0"/>
              <w:jc w:val="center"/>
              <w:rPr>
                <w:rFonts w:cs="宋体" w:asciiTheme="minorEastAsia" w:hAnsiTheme="minorEastAsia" w:eastAsiaTheme="minorEastAsia"/>
                <w:sz w:val="18"/>
                <w:szCs w:val="18"/>
              </w:rPr>
            </w:pPr>
          </w:p>
        </w:tc>
        <w:tc>
          <w:tcPr>
            <w:tcW w:w="2100" w:type="dxa"/>
            <w:vAlign w:val="center"/>
          </w:tcPr>
          <w:p>
            <w:pPr>
              <w:snapToGrid w:val="0"/>
              <w:jc w:val="left"/>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变电站</w:t>
            </w:r>
          </w:p>
        </w:tc>
        <w:tc>
          <w:tcPr>
            <w:tcW w:w="4169" w:type="dxa"/>
            <w:vAlign w:val="center"/>
          </w:tcPr>
          <w:p>
            <w:pPr>
              <w:snapToGrid w:val="0"/>
              <w:jc w:val="left"/>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变电站</w:t>
            </w:r>
          </w:p>
        </w:tc>
        <w:tc>
          <w:tcPr>
            <w:tcW w:w="962"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3～6</w:t>
            </w:r>
          </w:p>
        </w:tc>
        <w:tc>
          <w:tcPr>
            <w:tcW w:w="1035"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6～10</w:t>
            </w:r>
          </w:p>
        </w:tc>
        <w:tc>
          <w:tcPr>
            <w:tcW w:w="1140"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3～7</w:t>
            </w:r>
          </w:p>
        </w:tc>
        <w:tc>
          <w:tcPr>
            <w:tcW w:w="1035"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54～420</w:t>
            </w:r>
          </w:p>
        </w:tc>
        <w:tc>
          <w:tcPr>
            <w:tcW w:w="1335"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低～重大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0" w:hRule="atLeast"/>
          <w:jc w:val="center"/>
        </w:trPr>
        <w:tc>
          <w:tcPr>
            <w:tcW w:w="569" w:type="dxa"/>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60</w:t>
            </w:r>
          </w:p>
        </w:tc>
        <w:tc>
          <w:tcPr>
            <w:tcW w:w="734" w:type="dxa"/>
            <w:vMerge w:val="continue"/>
            <w:vAlign w:val="center"/>
          </w:tcPr>
          <w:p>
            <w:pPr>
              <w:snapToGrid w:val="0"/>
              <w:jc w:val="center"/>
              <w:rPr>
                <w:rFonts w:cs="宋体" w:asciiTheme="minorEastAsia" w:hAnsiTheme="minorEastAsia" w:eastAsiaTheme="minorEastAsia"/>
                <w:sz w:val="18"/>
                <w:szCs w:val="18"/>
              </w:rPr>
            </w:pPr>
          </w:p>
        </w:tc>
        <w:tc>
          <w:tcPr>
            <w:tcW w:w="1079" w:type="dxa"/>
            <w:vMerge w:val="continue"/>
            <w:vAlign w:val="center"/>
          </w:tcPr>
          <w:p>
            <w:pPr>
              <w:snapToGrid w:val="0"/>
              <w:jc w:val="center"/>
              <w:rPr>
                <w:rFonts w:cs="宋体" w:asciiTheme="minorEastAsia" w:hAnsiTheme="minorEastAsia" w:eastAsiaTheme="minorEastAsia"/>
                <w:sz w:val="18"/>
                <w:szCs w:val="18"/>
              </w:rPr>
            </w:pPr>
          </w:p>
        </w:tc>
        <w:tc>
          <w:tcPr>
            <w:tcW w:w="2100" w:type="dxa"/>
            <w:vAlign w:val="center"/>
          </w:tcPr>
          <w:p>
            <w:pPr>
              <w:snapToGrid w:val="0"/>
              <w:jc w:val="left"/>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高压电缆或高压线</w:t>
            </w:r>
          </w:p>
        </w:tc>
        <w:tc>
          <w:tcPr>
            <w:tcW w:w="4169" w:type="dxa"/>
            <w:vAlign w:val="center"/>
          </w:tcPr>
          <w:p>
            <w:pPr>
              <w:snapToGrid w:val="0"/>
              <w:jc w:val="left"/>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高压电缆或高压线</w:t>
            </w:r>
          </w:p>
        </w:tc>
        <w:tc>
          <w:tcPr>
            <w:tcW w:w="962"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3～6</w:t>
            </w:r>
          </w:p>
        </w:tc>
        <w:tc>
          <w:tcPr>
            <w:tcW w:w="1035"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6～10</w:t>
            </w:r>
          </w:p>
        </w:tc>
        <w:tc>
          <w:tcPr>
            <w:tcW w:w="1140"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3～7</w:t>
            </w:r>
          </w:p>
        </w:tc>
        <w:tc>
          <w:tcPr>
            <w:tcW w:w="1035"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54～420</w:t>
            </w:r>
          </w:p>
        </w:tc>
        <w:tc>
          <w:tcPr>
            <w:tcW w:w="1335"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低～重大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0" w:hRule="atLeast"/>
          <w:jc w:val="center"/>
        </w:trPr>
        <w:tc>
          <w:tcPr>
            <w:tcW w:w="569"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61</w:t>
            </w:r>
          </w:p>
        </w:tc>
        <w:tc>
          <w:tcPr>
            <w:tcW w:w="734" w:type="dxa"/>
            <w:vMerge w:val="continue"/>
            <w:vAlign w:val="center"/>
          </w:tcPr>
          <w:p>
            <w:pPr>
              <w:snapToGrid w:val="0"/>
              <w:jc w:val="center"/>
              <w:rPr>
                <w:rFonts w:cs="宋体" w:asciiTheme="minorEastAsia" w:hAnsiTheme="minorEastAsia" w:eastAsiaTheme="minorEastAsia"/>
                <w:sz w:val="18"/>
                <w:szCs w:val="18"/>
              </w:rPr>
            </w:pPr>
          </w:p>
        </w:tc>
        <w:tc>
          <w:tcPr>
            <w:tcW w:w="1079"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修理厂、</w:t>
            </w:r>
          </w:p>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钢筋厂、</w:t>
            </w:r>
          </w:p>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模具厂等</w:t>
            </w:r>
          </w:p>
        </w:tc>
        <w:tc>
          <w:tcPr>
            <w:tcW w:w="2100" w:type="dxa"/>
            <w:vAlign w:val="center"/>
          </w:tcPr>
          <w:p>
            <w:pPr>
              <w:snapToGrid w:val="0"/>
              <w:jc w:val="left"/>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加工机械</w:t>
            </w:r>
          </w:p>
        </w:tc>
        <w:tc>
          <w:tcPr>
            <w:tcW w:w="4169" w:type="dxa"/>
            <w:vAlign w:val="center"/>
          </w:tcPr>
          <w:p>
            <w:pPr>
              <w:snapToGrid w:val="0"/>
              <w:jc w:val="left"/>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加工机械</w:t>
            </w:r>
          </w:p>
        </w:tc>
        <w:tc>
          <w:tcPr>
            <w:tcW w:w="962"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1～6</w:t>
            </w:r>
          </w:p>
        </w:tc>
        <w:tc>
          <w:tcPr>
            <w:tcW w:w="1035"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3～6</w:t>
            </w:r>
          </w:p>
        </w:tc>
        <w:tc>
          <w:tcPr>
            <w:tcW w:w="1140"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1～3</w:t>
            </w:r>
          </w:p>
        </w:tc>
        <w:tc>
          <w:tcPr>
            <w:tcW w:w="1035"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3～108</w:t>
            </w:r>
          </w:p>
        </w:tc>
        <w:tc>
          <w:tcPr>
            <w:tcW w:w="1335"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低～一般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0" w:hRule="atLeast"/>
          <w:jc w:val="center"/>
        </w:trPr>
        <w:tc>
          <w:tcPr>
            <w:tcW w:w="569"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62</w:t>
            </w:r>
          </w:p>
        </w:tc>
        <w:tc>
          <w:tcPr>
            <w:tcW w:w="734" w:type="dxa"/>
            <w:vMerge w:val="continue"/>
            <w:vAlign w:val="center"/>
          </w:tcPr>
          <w:p>
            <w:pPr>
              <w:snapToGrid w:val="0"/>
              <w:jc w:val="center"/>
              <w:textAlignment w:val="center"/>
              <w:rPr>
                <w:rFonts w:cs="宋体" w:asciiTheme="minorEastAsia" w:hAnsiTheme="minorEastAsia" w:eastAsiaTheme="minorEastAsia"/>
                <w:sz w:val="18"/>
                <w:szCs w:val="18"/>
              </w:rPr>
            </w:pPr>
          </w:p>
        </w:tc>
        <w:tc>
          <w:tcPr>
            <w:tcW w:w="1079"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预制构件</w:t>
            </w:r>
          </w:p>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场所</w:t>
            </w:r>
          </w:p>
        </w:tc>
        <w:tc>
          <w:tcPr>
            <w:tcW w:w="2100" w:type="dxa"/>
            <w:vAlign w:val="center"/>
          </w:tcPr>
          <w:p>
            <w:pPr>
              <w:snapToGrid w:val="0"/>
              <w:jc w:val="left"/>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预制构件制作</w:t>
            </w:r>
          </w:p>
        </w:tc>
        <w:tc>
          <w:tcPr>
            <w:tcW w:w="4169" w:type="dxa"/>
            <w:vAlign w:val="center"/>
          </w:tcPr>
          <w:p>
            <w:pPr>
              <w:snapToGrid w:val="0"/>
              <w:jc w:val="left"/>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预制构件制作</w:t>
            </w:r>
          </w:p>
        </w:tc>
        <w:tc>
          <w:tcPr>
            <w:tcW w:w="962"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1～6</w:t>
            </w:r>
          </w:p>
        </w:tc>
        <w:tc>
          <w:tcPr>
            <w:tcW w:w="1035"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3～6</w:t>
            </w:r>
          </w:p>
        </w:tc>
        <w:tc>
          <w:tcPr>
            <w:tcW w:w="1140"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1～3</w:t>
            </w:r>
          </w:p>
        </w:tc>
        <w:tc>
          <w:tcPr>
            <w:tcW w:w="1035"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3～108</w:t>
            </w:r>
          </w:p>
        </w:tc>
        <w:tc>
          <w:tcPr>
            <w:tcW w:w="1335"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低～一般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0" w:hRule="atLeast"/>
          <w:jc w:val="center"/>
        </w:trPr>
        <w:tc>
          <w:tcPr>
            <w:tcW w:w="569"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63</w:t>
            </w:r>
          </w:p>
        </w:tc>
        <w:tc>
          <w:tcPr>
            <w:tcW w:w="734" w:type="dxa"/>
            <w:vMerge w:val="continue"/>
            <w:vAlign w:val="center"/>
          </w:tcPr>
          <w:p>
            <w:pPr>
              <w:snapToGrid w:val="0"/>
              <w:jc w:val="center"/>
              <w:rPr>
                <w:rFonts w:cs="宋体" w:asciiTheme="minorEastAsia" w:hAnsiTheme="minorEastAsia" w:eastAsiaTheme="minorEastAsia"/>
                <w:sz w:val="18"/>
                <w:szCs w:val="18"/>
              </w:rPr>
            </w:pPr>
          </w:p>
        </w:tc>
        <w:tc>
          <w:tcPr>
            <w:tcW w:w="1079"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施工道路、桥梁</w:t>
            </w:r>
          </w:p>
        </w:tc>
        <w:tc>
          <w:tcPr>
            <w:tcW w:w="2100" w:type="dxa"/>
            <w:vAlign w:val="center"/>
          </w:tcPr>
          <w:p>
            <w:pPr>
              <w:snapToGrid w:val="0"/>
              <w:jc w:val="left"/>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车辆</w:t>
            </w:r>
          </w:p>
        </w:tc>
        <w:tc>
          <w:tcPr>
            <w:tcW w:w="4169" w:type="dxa"/>
            <w:vAlign w:val="center"/>
          </w:tcPr>
          <w:p>
            <w:pPr>
              <w:snapToGrid w:val="0"/>
              <w:jc w:val="left"/>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车辆</w:t>
            </w:r>
          </w:p>
        </w:tc>
        <w:tc>
          <w:tcPr>
            <w:tcW w:w="962"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1～6</w:t>
            </w:r>
          </w:p>
        </w:tc>
        <w:tc>
          <w:tcPr>
            <w:tcW w:w="1035"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3～6</w:t>
            </w:r>
          </w:p>
        </w:tc>
        <w:tc>
          <w:tcPr>
            <w:tcW w:w="1140"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1～3</w:t>
            </w:r>
          </w:p>
        </w:tc>
        <w:tc>
          <w:tcPr>
            <w:tcW w:w="1035"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3～108</w:t>
            </w:r>
          </w:p>
        </w:tc>
        <w:tc>
          <w:tcPr>
            <w:tcW w:w="1335"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低～一般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0" w:hRule="atLeast"/>
          <w:jc w:val="center"/>
        </w:trPr>
        <w:tc>
          <w:tcPr>
            <w:tcW w:w="569"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64</w:t>
            </w:r>
          </w:p>
        </w:tc>
        <w:tc>
          <w:tcPr>
            <w:tcW w:w="734" w:type="dxa"/>
            <w:vMerge w:val="continue"/>
            <w:vAlign w:val="center"/>
          </w:tcPr>
          <w:p>
            <w:pPr>
              <w:snapToGrid w:val="0"/>
              <w:jc w:val="center"/>
              <w:rPr>
                <w:rFonts w:cs="宋体" w:asciiTheme="minorEastAsia" w:hAnsiTheme="minorEastAsia" w:eastAsiaTheme="minorEastAsia"/>
                <w:sz w:val="18"/>
                <w:szCs w:val="18"/>
              </w:rPr>
            </w:pPr>
          </w:p>
        </w:tc>
        <w:tc>
          <w:tcPr>
            <w:tcW w:w="1079" w:type="dxa"/>
            <w:vMerge w:val="restart"/>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隧洞</w:t>
            </w:r>
          </w:p>
        </w:tc>
        <w:tc>
          <w:tcPr>
            <w:tcW w:w="2100" w:type="dxa"/>
            <w:vAlign w:val="center"/>
          </w:tcPr>
          <w:p>
            <w:pPr>
              <w:snapToGrid w:val="0"/>
              <w:jc w:val="left"/>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甲烷</w:t>
            </w:r>
          </w:p>
        </w:tc>
        <w:tc>
          <w:tcPr>
            <w:tcW w:w="4169" w:type="dxa"/>
            <w:vAlign w:val="center"/>
          </w:tcPr>
          <w:p>
            <w:pPr>
              <w:snapToGrid w:val="0"/>
              <w:jc w:val="left"/>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甲烷</w:t>
            </w:r>
          </w:p>
        </w:tc>
        <w:tc>
          <w:tcPr>
            <w:tcW w:w="962"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1～6</w:t>
            </w:r>
          </w:p>
        </w:tc>
        <w:tc>
          <w:tcPr>
            <w:tcW w:w="1035"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3～6</w:t>
            </w:r>
          </w:p>
        </w:tc>
        <w:tc>
          <w:tcPr>
            <w:tcW w:w="1140"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1～3</w:t>
            </w:r>
          </w:p>
        </w:tc>
        <w:tc>
          <w:tcPr>
            <w:tcW w:w="1035"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3～108</w:t>
            </w:r>
          </w:p>
        </w:tc>
        <w:tc>
          <w:tcPr>
            <w:tcW w:w="1335"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低～一般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0" w:hRule="atLeast"/>
          <w:jc w:val="center"/>
        </w:trPr>
        <w:tc>
          <w:tcPr>
            <w:tcW w:w="569"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65</w:t>
            </w:r>
          </w:p>
        </w:tc>
        <w:tc>
          <w:tcPr>
            <w:tcW w:w="734" w:type="dxa"/>
            <w:vMerge w:val="continue"/>
            <w:vAlign w:val="center"/>
          </w:tcPr>
          <w:p>
            <w:pPr>
              <w:snapToGrid w:val="0"/>
              <w:jc w:val="center"/>
              <w:rPr>
                <w:rFonts w:cs="宋体" w:asciiTheme="minorEastAsia" w:hAnsiTheme="minorEastAsia" w:eastAsiaTheme="minorEastAsia"/>
                <w:sz w:val="18"/>
                <w:szCs w:val="18"/>
              </w:rPr>
            </w:pPr>
          </w:p>
        </w:tc>
        <w:tc>
          <w:tcPr>
            <w:tcW w:w="1079" w:type="dxa"/>
            <w:vMerge w:val="continue"/>
            <w:vAlign w:val="center"/>
          </w:tcPr>
          <w:p>
            <w:pPr>
              <w:snapToGrid w:val="0"/>
              <w:jc w:val="center"/>
              <w:rPr>
                <w:rFonts w:cs="宋体" w:asciiTheme="minorEastAsia" w:hAnsiTheme="minorEastAsia" w:eastAsiaTheme="minorEastAsia"/>
                <w:sz w:val="18"/>
                <w:szCs w:val="18"/>
              </w:rPr>
            </w:pPr>
          </w:p>
        </w:tc>
        <w:tc>
          <w:tcPr>
            <w:tcW w:w="2100" w:type="dxa"/>
            <w:vAlign w:val="center"/>
          </w:tcPr>
          <w:p>
            <w:pPr>
              <w:snapToGrid w:val="0"/>
              <w:jc w:val="left"/>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有毒气体</w:t>
            </w:r>
          </w:p>
        </w:tc>
        <w:tc>
          <w:tcPr>
            <w:tcW w:w="4169" w:type="dxa"/>
            <w:vAlign w:val="center"/>
          </w:tcPr>
          <w:p>
            <w:pPr>
              <w:snapToGrid w:val="0"/>
              <w:jc w:val="left"/>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有毒气体</w:t>
            </w:r>
          </w:p>
        </w:tc>
        <w:tc>
          <w:tcPr>
            <w:tcW w:w="962"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1～6</w:t>
            </w:r>
          </w:p>
        </w:tc>
        <w:tc>
          <w:tcPr>
            <w:tcW w:w="1035"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3～6</w:t>
            </w:r>
          </w:p>
        </w:tc>
        <w:tc>
          <w:tcPr>
            <w:tcW w:w="1140"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1～3</w:t>
            </w:r>
          </w:p>
        </w:tc>
        <w:tc>
          <w:tcPr>
            <w:tcW w:w="1035"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3～108</w:t>
            </w:r>
          </w:p>
        </w:tc>
        <w:tc>
          <w:tcPr>
            <w:tcW w:w="1335"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低～一般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0" w:hRule="atLeast"/>
          <w:jc w:val="center"/>
        </w:trPr>
        <w:tc>
          <w:tcPr>
            <w:tcW w:w="569"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66</w:t>
            </w:r>
          </w:p>
        </w:tc>
        <w:tc>
          <w:tcPr>
            <w:tcW w:w="734" w:type="dxa"/>
            <w:vMerge w:val="restart"/>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作业</w:t>
            </w:r>
          </w:p>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环境类</w:t>
            </w:r>
          </w:p>
          <w:p>
            <w:pPr>
              <w:snapToGrid w:val="0"/>
              <w:jc w:val="center"/>
              <w:textAlignment w:val="center"/>
              <w:rPr>
                <w:rFonts w:cs="宋体" w:asciiTheme="minorEastAsia" w:hAnsiTheme="minorEastAsia" w:eastAsiaTheme="minorEastAsia"/>
                <w:sz w:val="18"/>
                <w:szCs w:val="18"/>
              </w:rPr>
            </w:pPr>
          </w:p>
        </w:tc>
        <w:tc>
          <w:tcPr>
            <w:tcW w:w="1079"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不良地质</w:t>
            </w:r>
          </w:p>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地段</w:t>
            </w:r>
          </w:p>
        </w:tc>
        <w:tc>
          <w:tcPr>
            <w:tcW w:w="2100" w:type="dxa"/>
            <w:vAlign w:val="center"/>
          </w:tcPr>
          <w:p>
            <w:pPr>
              <w:snapToGrid w:val="0"/>
              <w:jc w:val="left"/>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不良地质地段</w:t>
            </w:r>
          </w:p>
        </w:tc>
        <w:tc>
          <w:tcPr>
            <w:tcW w:w="4169" w:type="dxa"/>
            <w:vAlign w:val="center"/>
          </w:tcPr>
          <w:p>
            <w:pPr>
              <w:snapToGrid w:val="0"/>
              <w:jc w:val="left"/>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不良地质地段</w:t>
            </w:r>
          </w:p>
        </w:tc>
        <w:tc>
          <w:tcPr>
            <w:tcW w:w="962"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1～6</w:t>
            </w:r>
          </w:p>
        </w:tc>
        <w:tc>
          <w:tcPr>
            <w:tcW w:w="1035"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3～10</w:t>
            </w:r>
          </w:p>
        </w:tc>
        <w:tc>
          <w:tcPr>
            <w:tcW w:w="1140"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7～15</w:t>
            </w:r>
          </w:p>
        </w:tc>
        <w:tc>
          <w:tcPr>
            <w:tcW w:w="1035"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21～900</w:t>
            </w:r>
          </w:p>
        </w:tc>
        <w:tc>
          <w:tcPr>
            <w:tcW w:w="1335"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低～重大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0" w:hRule="atLeast"/>
          <w:jc w:val="center"/>
        </w:trPr>
        <w:tc>
          <w:tcPr>
            <w:tcW w:w="569"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67</w:t>
            </w:r>
          </w:p>
        </w:tc>
        <w:tc>
          <w:tcPr>
            <w:tcW w:w="734" w:type="dxa"/>
            <w:vMerge w:val="continue"/>
            <w:vAlign w:val="center"/>
          </w:tcPr>
          <w:p>
            <w:pPr>
              <w:snapToGrid w:val="0"/>
              <w:jc w:val="center"/>
              <w:rPr>
                <w:rFonts w:cs="宋体" w:asciiTheme="minorEastAsia" w:hAnsiTheme="minorEastAsia" w:eastAsiaTheme="minorEastAsia"/>
                <w:sz w:val="18"/>
                <w:szCs w:val="18"/>
              </w:rPr>
            </w:pPr>
          </w:p>
        </w:tc>
        <w:tc>
          <w:tcPr>
            <w:tcW w:w="1079" w:type="dxa"/>
            <w:vMerge w:val="restart"/>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潜在滑坡区</w:t>
            </w:r>
          </w:p>
        </w:tc>
        <w:tc>
          <w:tcPr>
            <w:tcW w:w="2100" w:type="dxa"/>
            <w:vAlign w:val="center"/>
          </w:tcPr>
          <w:p>
            <w:pPr>
              <w:snapToGrid w:val="0"/>
              <w:jc w:val="left"/>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潜在滑坡区</w:t>
            </w:r>
          </w:p>
        </w:tc>
        <w:tc>
          <w:tcPr>
            <w:tcW w:w="4169" w:type="dxa"/>
            <w:vAlign w:val="center"/>
          </w:tcPr>
          <w:p>
            <w:pPr>
              <w:snapToGrid w:val="0"/>
              <w:jc w:val="left"/>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潜在滑坡区</w:t>
            </w:r>
          </w:p>
        </w:tc>
        <w:tc>
          <w:tcPr>
            <w:tcW w:w="962"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1～6</w:t>
            </w:r>
          </w:p>
        </w:tc>
        <w:tc>
          <w:tcPr>
            <w:tcW w:w="1035"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3～10</w:t>
            </w:r>
          </w:p>
        </w:tc>
        <w:tc>
          <w:tcPr>
            <w:tcW w:w="1140"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7～15</w:t>
            </w:r>
          </w:p>
        </w:tc>
        <w:tc>
          <w:tcPr>
            <w:tcW w:w="1035"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21～900</w:t>
            </w:r>
          </w:p>
        </w:tc>
        <w:tc>
          <w:tcPr>
            <w:tcW w:w="1335"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低～重大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0" w:hRule="atLeast"/>
          <w:jc w:val="center"/>
        </w:trPr>
        <w:tc>
          <w:tcPr>
            <w:tcW w:w="569"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68</w:t>
            </w:r>
          </w:p>
        </w:tc>
        <w:tc>
          <w:tcPr>
            <w:tcW w:w="734" w:type="dxa"/>
            <w:vMerge w:val="continue"/>
            <w:vAlign w:val="center"/>
          </w:tcPr>
          <w:p>
            <w:pPr>
              <w:snapToGrid w:val="0"/>
              <w:jc w:val="center"/>
              <w:rPr>
                <w:rFonts w:cs="宋体" w:asciiTheme="minorEastAsia" w:hAnsiTheme="minorEastAsia" w:eastAsiaTheme="minorEastAsia"/>
                <w:sz w:val="18"/>
                <w:szCs w:val="18"/>
              </w:rPr>
            </w:pPr>
          </w:p>
        </w:tc>
        <w:tc>
          <w:tcPr>
            <w:tcW w:w="1079" w:type="dxa"/>
            <w:vMerge w:val="continue"/>
            <w:vAlign w:val="center"/>
          </w:tcPr>
          <w:p>
            <w:pPr>
              <w:snapToGrid w:val="0"/>
              <w:jc w:val="center"/>
              <w:rPr>
                <w:rFonts w:cs="宋体" w:asciiTheme="minorEastAsia" w:hAnsiTheme="minorEastAsia" w:eastAsiaTheme="minorEastAsia"/>
                <w:sz w:val="18"/>
                <w:szCs w:val="18"/>
              </w:rPr>
            </w:pPr>
          </w:p>
        </w:tc>
        <w:tc>
          <w:tcPr>
            <w:tcW w:w="2100" w:type="dxa"/>
            <w:vAlign w:val="center"/>
          </w:tcPr>
          <w:p>
            <w:pPr>
              <w:snapToGrid w:val="0"/>
              <w:jc w:val="left"/>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粉尘</w:t>
            </w:r>
          </w:p>
        </w:tc>
        <w:tc>
          <w:tcPr>
            <w:tcW w:w="4169" w:type="dxa"/>
            <w:vAlign w:val="center"/>
          </w:tcPr>
          <w:p>
            <w:pPr>
              <w:snapToGrid w:val="0"/>
              <w:jc w:val="left"/>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粉尘</w:t>
            </w:r>
          </w:p>
        </w:tc>
        <w:tc>
          <w:tcPr>
            <w:tcW w:w="962"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1～6</w:t>
            </w:r>
          </w:p>
        </w:tc>
        <w:tc>
          <w:tcPr>
            <w:tcW w:w="1035"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3～6</w:t>
            </w:r>
          </w:p>
        </w:tc>
        <w:tc>
          <w:tcPr>
            <w:tcW w:w="1140"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1～3</w:t>
            </w:r>
          </w:p>
        </w:tc>
        <w:tc>
          <w:tcPr>
            <w:tcW w:w="1035"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3～108</w:t>
            </w:r>
          </w:p>
        </w:tc>
        <w:tc>
          <w:tcPr>
            <w:tcW w:w="1335"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低～一般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0" w:hRule="atLeast"/>
          <w:jc w:val="center"/>
        </w:trPr>
        <w:tc>
          <w:tcPr>
            <w:tcW w:w="569"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69</w:t>
            </w:r>
          </w:p>
        </w:tc>
        <w:tc>
          <w:tcPr>
            <w:tcW w:w="734" w:type="dxa"/>
            <w:vMerge w:val="continue"/>
            <w:vAlign w:val="center"/>
          </w:tcPr>
          <w:p>
            <w:pPr>
              <w:snapToGrid w:val="0"/>
              <w:jc w:val="center"/>
              <w:textAlignment w:val="center"/>
              <w:rPr>
                <w:rFonts w:cs="宋体" w:asciiTheme="minorEastAsia" w:hAnsiTheme="minorEastAsia" w:eastAsiaTheme="minorEastAsia"/>
                <w:sz w:val="18"/>
                <w:szCs w:val="18"/>
              </w:rPr>
            </w:pPr>
          </w:p>
        </w:tc>
        <w:tc>
          <w:tcPr>
            <w:tcW w:w="1079" w:type="dxa"/>
            <w:vMerge w:val="restart"/>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野外有毒有害气体及有毒化学品</w:t>
            </w:r>
          </w:p>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泄漏环境</w:t>
            </w:r>
          </w:p>
        </w:tc>
        <w:tc>
          <w:tcPr>
            <w:tcW w:w="2100" w:type="dxa"/>
            <w:vAlign w:val="center"/>
          </w:tcPr>
          <w:p>
            <w:pPr>
              <w:snapToGrid w:val="0"/>
              <w:jc w:val="left"/>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野外有毒有害气体</w:t>
            </w:r>
          </w:p>
        </w:tc>
        <w:tc>
          <w:tcPr>
            <w:tcW w:w="4169" w:type="dxa"/>
            <w:vAlign w:val="center"/>
          </w:tcPr>
          <w:p>
            <w:pPr>
              <w:snapToGrid w:val="0"/>
              <w:jc w:val="left"/>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野外有毒有害气体</w:t>
            </w:r>
          </w:p>
        </w:tc>
        <w:tc>
          <w:tcPr>
            <w:tcW w:w="5507" w:type="dxa"/>
            <w:gridSpan w:val="5"/>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参照《危险化学品重大危险源辨识》(GB18218-20</w:t>
            </w:r>
            <w:r>
              <w:rPr>
                <w:rFonts w:cs="宋体" w:asciiTheme="minorEastAsia" w:hAnsiTheme="minorEastAsia" w:eastAsiaTheme="minorEastAsia"/>
                <w:sz w:val="18"/>
                <w:szCs w:val="18"/>
              </w:rPr>
              <w:t>18</w:t>
            </w:r>
            <w:r>
              <w:rPr>
                <w:rFonts w:hint="eastAsia" w:cs="宋体" w:asciiTheme="minorEastAsia" w:hAnsiTheme="minorEastAsia" w:eastAsiaTheme="minorEastAsia"/>
                <w:sz w:val="18"/>
                <w:szCs w:val="18"/>
              </w:rPr>
              <w:t>)标准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0" w:hRule="atLeast"/>
          <w:jc w:val="center"/>
        </w:trPr>
        <w:tc>
          <w:tcPr>
            <w:tcW w:w="569"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70</w:t>
            </w:r>
          </w:p>
        </w:tc>
        <w:tc>
          <w:tcPr>
            <w:tcW w:w="734" w:type="dxa"/>
            <w:vMerge w:val="continue"/>
            <w:vAlign w:val="center"/>
          </w:tcPr>
          <w:p>
            <w:pPr>
              <w:snapToGrid w:val="0"/>
              <w:jc w:val="center"/>
              <w:textAlignment w:val="center"/>
              <w:rPr>
                <w:rFonts w:cs="宋体" w:asciiTheme="minorEastAsia" w:hAnsiTheme="minorEastAsia" w:eastAsiaTheme="minorEastAsia"/>
                <w:sz w:val="18"/>
                <w:szCs w:val="18"/>
              </w:rPr>
            </w:pPr>
          </w:p>
        </w:tc>
        <w:tc>
          <w:tcPr>
            <w:tcW w:w="1079" w:type="dxa"/>
            <w:vMerge w:val="continue"/>
            <w:vAlign w:val="center"/>
          </w:tcPr>
          <w:p>
            <w:pPr>
              <w:snapToGrid w:val="0"/>
              <w:jc w:val="center"/>
              <w:textAlignment w:val="center"/>
              <w:rPr>
                <w:rFonts w:cs="宋体" w:asciiTheme="minorEastAsia" w:hAnsiTheme="minorEastAsia" w:eastAsiaTheme="minorEastAsia"/>
                <w:sz w:val="18"/>
                <w:szCs w:val="18"/>
              </w:rPr>
            </w:pPr>
          </w:p>
        </w:tc>
        <w:tc>
          <w:tcPr>
            <w:tcW w:w="2100" w:type="dxa"/>
            <w:vAlign w:val="center"/>
          </w:tcPr>
          <w:p>
            <w:pPr>
              <w:snapToGrid w:val="0"/>
              <w:jc w:val="left"/>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危险化学品</w:t>
            </w:r>
          </w:p>
        </w:tc>
        <w:tc>
          <w:tcPr>
            <w:tcW w:w="4169" w:type="dxa"/>
            <w:vAlign w:val="center"/>
          </w:tcPr>
          <w:p>
            <w:pPr>
              <w:snapToGrid w:val="0"/>
              <w:jc w:val="left"/>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危险化学品</w:t>
            </w:r>
          </w:p>
        </w:tc>
        <w:tc>
          <w:tcPr>
            <w:tcW w:w="5507" w:type="dxa"/>
            <w:gridSpan w:val="5"/>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参照《危险化学品重大危险源辨识》(GB18218-20</w:t>
            </w:r>
            <w:r>
              <w:rPr>
                <w:rFonts w:cs="宋体" w:asciiTheme="minorEastAsia" w:hAnsiTheme="minorEastAsia" w:eastAsiaTheme="minorEastAsia"/>
                <w:sz w:val="18"/>
                <w:szCs w:val="18"/>
              </w:rPr>
              <w:t>18</w:t>
            </w:r>
            <w:r>
              <w:rPr>
                <w:rFonts w:hint="eastAsia" w:cs="宋体" w:asciiTheme="minorEastAsia" w:hAnsiTheme="minorEastAsia" w:eastAsiaTheme="minorEastAsia"/>
                <w:sz w:val="18"/>
                <w:szCs w:val="18"/>
              </w:rPr>
              <w:t>)标准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0" w:hRule="atLeast"/>
          <w:jc w:val="center"/>
        </w:trPr>
        <w:tc>
          <w:tcPr>
            <w:tcW w:w="569"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71</w:t>
            </w:r>
          </w:p>
        </w:tc>
        <w:tc>
          <w:tcPr>
            <w:tcW w:w="734" w:type="dxa"/>
            <w:vMerge w:val="continue"/>
            <w:vAlign w:val="center"/>
          </w:tcPr>
          <w:p>
            <w:pPr>
              <w:snapToGrid w:val="0"/>
              <w:jc w:val="center"/>
              <w:rPr>
                <w:rFonts w:cs="宋体" w:asciiTheme="minorEastAsia" w:hAnsiTheme="minorEastAsia" w:eastAsiaTheme="minorEastAsia"/>
                <w:sz w:val="18"/>
                <w:szCs w:val="18"/>
              </w:rPr>
            </w:pPr>
          </w:p>
        </w:tc>
        <w:tc>
          <w:tcPr>
            <w:tcW w:w="1079"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具有危险性的动、植物</w:t>
            </w:r>
          </w:p>
        </w:tc>
        <w:tc>
          <w:tcPr>
            <w:tcW w:w="2100" w:type="dxa"/>
            <w:vAlign w:val="center"/>
          </w:tcPr>
          <w:p>
            <w:pPr>
              <w:snapToGrid w:val="0"/>
              <w:jc w:val="left"/>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具有危险性的动、植物</w:t>
            </w:r>
          </w:p>
        </w:tc>
        <w:tc>
          <w:tcPr>
            <w:tcW w:w="4169" w:type="dxa"/>
            <w:vAlign w:val="center"/>
          </w:tcPr>
          <w:p>
            <w:pPr>
              <w:snapToGrid w:val="0"/>
              <w:jc w:val="left"/>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具有危险性的动、植物</w:t>
            </w:r>
          </w:p>
        </w:tc>
        <w:tc>
          <w:tcPr>
            <w:tcW w:w="962"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1～6</w:t>
            </w:r>
          </w:p>
        </w:tc>
        <w:tc>
          <w:tcPr>
            <w:tcW w:w="1035"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2～6</w:t>
            </w:r>
          </w:p>
        </w:tc>
        <w:tc>
          <w:tcPr>
            <w:tcW w:w="1140"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1～3</w:t>
            </w:r>
          </w:p>
        </w:tc>
        <w:tc>
          <w:tcPr>
            <w:tcW w:w="1035"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2～108</w:t>
            </w:r>
          </w:p>
        </w:tc>
        <w:tc>
          <w:tcPr>
            <w:tcW w:w="1335"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低～一般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0" w:hRule="atLeast"/>
          <w:jc w:val="center"/>
        </w:trPr>
        <w:tc>
          <w:tcPr>
            <w:tcW w:w="569" w:type="dxa"/>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72</w:t>
            </w:r>
          </w:p>
        </w:tc>
        <w:tc>
          <w:tcPr>
            <w:tcW w:w="734" w:type="dxa"/>
            <w:vMerge w:val="restart"/>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其他</w:t>
            </w:r>
          </w:p>
        </w:tc>
        <w:tc>
          <w:tcPr>
            <w:tcW w:w="1079" w:type="dxa"/>
            <w:vMerge w:val="restart"/>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野外施工</w:t>
            </w:r>
          </w:p>
        </w:tc>
        <w:tc>
          <w:tcPr>
            <w:tcW w:w="2100" w:type="dxa"/>
            <w:vAlign w:val="center"/>
          </w:tcPr>
          <w:p>
            <w:pPr>
              <w:snapToGrid w:val="0"/>
              <w:jc w:val="left"/>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高压线或不明管道</w:t>
            </w:r>
          </w:p>
        </w:tc>
        <w:tc>
          <w:tcPr>
            <w:tcW w:w="4169" w:type="dxa"/>
            <w:vAlign w:val="center"/>
          </w:tcPr>
          <w:p>
            <w:pPr>
              <w:snapToGrid w:val="0"/>
              <w:jc w:val="left"/>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高压线或不明管道</w:t>
            </w:r>
          </w:p>
        </w:tc>
        <w:tc>
          <w:tcPr>
            <w:tcW w:w="962"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1～6</w:t>
            </w:r>
          </w:p>
        </w:tc>
        <w:tc>
          <w:tcPr>
            <w:tcW w:w="1035"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3～6</w:t>
            </w:r>
          </w:p>
        </w:tc>
        <w:tc>
          <w:tcPr>
            <w:tcW w:w="1140"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1～3</w:t>
            </w:r>
          </w:p>
        </w:tc>
        <w:tc>
          <w:tcPr>
            <w:tcW w:w="1035"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3～108</w:t>
            </w:r>
          </w:p>
        </w:tc>
        <w:tc>
          <w:tcPr>
            <w:tcW w:w="1335"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低～一般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0" w:hRule="atLeast"/>
          <w:jc w:val="center"/>
        </w:trPr>
        <w:tc>
          <w:tcPr>
            <w:tcW w:w="569"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73</w:t>
            </w:r>
          </w:p>
        </w:tc>
        <w:tc>
          <w:tcPr>
            <w:tcW w:w="734" w:type="dxa"/>
            <w:vMerge w:val="continue"/>
            <w:vAlign w:val="center"/>
          </w:tcPr>
          <w:p>
            <w:pPr>
              <w:snapToGrid w:val="0"/>
              <w:jc w:val="center"/>
              <w:rPr>
                <w:rFonts w:cs="宋体" w:asciiTheme="minorEastAsia" w:hAnsiTheme="minorEastAsia" w:eastAsiaTheme="minorEastAsia"/>
                <w:sz w:val="18"/>
                <w:szCs w:val="18"/>
              </w:rPr>
            </w:pPr>
          </w:p>
        </w:tc>
        <w:tc>
          <w:tcPr>
            <w:tcW w:w="1079" w:type="dxa"/>
            <w:vMerge w:val="continue"/>
            <w:vAlign w:val="center"/>
          </w:tcPr>
          <w:p>
            <w:pPr>
              <w:snapToGrid w:val="0"/>
              <w:jc w:val="center"/>
              <w:rPr>
                <w:rFonts w:cs="宋体" w:asciiTheme="minorEastAsia" w:hAnsiTheme="minorEastAsia" w:eastAsiaTheme="minorEastAsia"/>
                <w:sz w:val="18"/>
                <w:szCs w:val="18"/>
              </w:rPr>
            </w:pPr>
          </w:p>
        </w:tc>
        <w:tc>
          <w:tcPr>
            <w:tcW w:w="2100" w:type="dxa"/>
            <w:vAlign w:val="center"/>
          </w:tcPr>
          <w:p>
            <w:pPr>
              <w:snapToGrid w:val="0"/>
              <w:jc w:val="left"/>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施工过程使用的临时、永久道路，桥梁、隧洞</w:t>
            </w:r>
          </w:p>
        </w:tc>
        <w:tc>
          <w:tcPr>
            <w:tcW w:w="4169" w:type="dxa"/>
            <w:vAlign w:val="center"/>
          </w:tcPr>
          <w:p>
            <w:pPr>
              <w:snapToGrid w:val="0"/>
              <w:jc w:val="left"/>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施工过程使用的临时、永久道路，桥梁、隧洞</w:t>
            </w:r>
          </w:p>
        </w:tc>
        <w:tc>
          <w:tcPr>
            <w:tcW w:w="962"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1～6</w:t>
            </w:r>
          </w:p>
        </w:tc>
        <w:tc>
          <w:tcPr>
            <w:tcW w:w="1035"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3～6</w:t>
            </w:r>
          </w:p>
        </w:tc>
        <w:tc>
          <w:tcPr>
            <w:tcW w:w="1140"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1～3</w:t>
            </w:r>
          </w:p>
        </w:tc>
        <w:tc>
          <w:tcPr>
            <w:tcW w:w="1035"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3～108</w:t>
            </w:r>
          </w:p>
        </w:tc>
        <w:tc>
          <w:tcPr>
            <w:tcW w:w="1335"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低～一般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0" w:hRule="atLeast"/>
          <w:jc w:val="center"/>
        </w:trPr>
        <w:tc>
          <w:tcPr>
            <w:tcW w:w="569" w:type="dxa"/>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74</w:t>
            </w:r>
          </w:p>
        </w:tc>
        <w:tc>
          <w:tcPr>
            <w:tcW w:w="734" w:type="dxa"/>
            <w:vMerge w:val="continue"/>
            <w:vAlign w:val="center"/>
          </w:tcPr>
          <w:p>
            <w:pPr>
              <w:snapToGrid w:val="0"/>
              <w:jc w:val="center"/>
              <w:rPr>
                <w:rFonts w:cs="宋体" w:asciiTheme="minorEastAsia" w:hAnsiTheme="minorEastAsia" w:eastAsiaTheme="minorEastAsia"/>
                <w:sz w:val="18"/>
                <w:szCs w:val="18"/>
              </w:rPr>
            </w:pPr>
          </w:p>
        </w:tc>
        <w:tc>
          <w:tcPr>
            <w:tcW w:w="1079" w:type="dxa"/>
            <w:vMerge w:val="continue"/>
            <w:vAlign w:val="center"/>
          </w:tcPr>
          <w:p>
            <w:pPr>
              <w:snapToGrid w:val="0"/>
              <w:jc w:val="center"/>
              <w:rPr>
                <w:rFonts w:cs="宋体" w:asciiTheme="minorEastAsia" w:hAnsiTheme="minorEastAsia" w:eastAsiaTheme="minorEastAsia"/>
                <w:sz w:val="18"/>
                <w:szCs w:val="18"/>
              </w:rPr>
            </w:pPr>
          </w:p>
        </w:tc>
        <w:tc>
          <w:tcPr>
            <w:tcW w:w="2100" w:type="dxa"/>
            <w:vAlign w:val="center"/>
          </w:tcPr>
          <w:p>
            <w:pPr>
              <w:snapToGrid w:val="0"/>
              <w:jc w:val="left"/>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施工期地质勘探</w:t>
            </w:r>
          </w:p>
        </w:tc>
        <w:tc>
          <w:tcPr>
            <w:tcW w:w="4169" w:type="dxa"/>
            <w:vAlign w:val="center"/>
          </w:tcPr>
          <w:p>
            <w:pPr>
              <w:snapToGrid w:val="0"/>
              <w:jc w:val="left"/>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施工期地质勘探</w:t>
            </w:r>
          </w:p>
        </w:tc>
        <w:tc>
          <w:tcPr>
            <w:tcW w:w="962"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1～6</w:t>
            </w:r>
          </w:p>
        </w:tc>
        <w:tc>
          <w:tcPr>
            <w:tcW w:w="1035"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3～6</w:t>
            </w:r>
          </w:p>
        </w:tc>
        <w:tc>
          <w:tcPr>
            <w:tcW w:w="1140"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1～3</w:t>
            </w:r>
          </w:p>
        </w:tc>
        <w:tc>
          <w:tcPr>
            <w:tcW w:w="1035"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3～108</w:t>
            </w:r>
          </w:p>
        </w:tc>
        <w:tc>
          <w:tcPr>
            <w:tcW w:w="1335"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低～一般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0" w:hRule="atLeast"/>
          <w:jc w:val="center"/>
        </w:trPr>
        <w:tc>
          <w:tcPr>
            <w:tcW w:w="569"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75</w:t>
            </w:r>
          </w:p>
        </w:tc>
        <w:tc>
          <w:tcPr>
            <w:tcW w:w="734" w:type="dxa"/>
            <w:vMerge w:val="continue"/>
            <w:vAlign w:val="center"/>
          </w:tcPr>
          <w:p>
            <w:pPr>
              <w:snapToGrid w:val="0"/>
              <w:jc w:val="center"/>
              <w:rPr>
                <w:rFonts w:cs="宋体" w:asciiTheme="minorEastAsia" w:hAnsiTheme="minorEastAsia" w:eastAsiaTheme="minorEastAsia"/>
                <w:sz w:val="18"/>
                <w:szCs w:val="18"/>
              </w:rPr>
            </w:pPr>
          </w:p>
        </w:tc>
        <w:tc>
          <w:tcPr>
            <w:tcW w:w="1079" w:type="dxa"/>
            <w:vMerge w:val="restart"/>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消防安全</w:t>
            </w:r>
          </w:p>
        </w:tc>
        <w:tc>
          <w:tcPr>
            <w:tcW w:w="2100" w:type="dxa"/>
            <w:vAlign w:val="center"/>
          </w:tcPr>
          <w:p>
            <w:pPr>
              <w:snapToGrid w:val="0"/>
              <w:jc w:val="left"/>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可燃物的堆放与使用</w:t>
            </w:r>
          </w:p>
        </w:tc>
        <w:tc>
          <w:tcPr>
            <w:tcW w:w="4169" w:type="dxa"/>
            <w:vAlign w:val="center"/>
          </w:tcPr>
          <w:p>
            <w:pPr>
              <w:snapToGrid w:val="0"/>
              <w:jc w:val="left"/>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可燃物的堆放与使用</w:t>
            </w:r>
          </w:p>
        </w:tc>
        <w:tc>
          <w:tcPr>
            <w:tcW w:w="962"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1～6</w:t>
            </w:r>
          </w:p>
        </w:tc>
        <w:tc>
          <w:tcPr>
            <w:tcW w:w="1035"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3～6</w:t>
            </w:r>
          </w:p>
        </w:tc>
        <w:tc>
          <w:tcPr>
            <w:tcW w:w="1140"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1～3</w:t>
            </w:r>
          </w:p>
        </w:tc>
        <w:tc>
          <w:tcPr>
            <w:tcW w:w="1035"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3～108</w:t>
            </w:r>
          </w:p>
        </w:tc>
        <w:tc>
          <w:tcPr>
            <w:tcW w:w="1335"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低～一般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0" w:hRule="atLeast"/>
          <w:jc w:val="center"/>
        </w:trPr>
        <w:tc>
          <w:tcPr>
            <w:tcW w:w="569"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76</w:t>
            </w:r>
          </w:p>
        </w:tc>
        <w:tc>
          <w:tcPr>
            <w:tcW w:w="734" w:type="dxa"/>
            <w:vMerge w:val="continue"/>
            <w:vAlign w:val="center"/>
          </w:tcPr>
          <w:p>
            <w:pPr>
              <w:snapToGrid w:val="0"/>
              <w:jc w:val="center"/>
              <w:rPr>
                <w:rFonts w:cs="宋体" w:asciiTheme="minorEastAsia" w:hAnsiTheme="minorEastAsia" w:eastAsiaTheme="minorEastAsia"/>
                <w:sz w:val="18"/>
                <w:szCs w:val="18"/>
              </w:rPr>
            </w:pPr>
          </w:p>
        </w:tc>
        <w:tc>
          <w:tcPr>
            <w:tcW w:w="1079" w:type="dxa"/>
            <w:vMerge w:val="continue"/>
            <w:vAlign w:val="center"/>
          </w:tcPr>
          <w:p>
            <w:pPr>
              <w:snapToGrid w:val="0"/>
              <w:jc w:val="center"/>
              <w:rPr>
                <w:rFonts w:cs="宋体" w:asciiTheme="minorEastAsia" w:hAnsiTheme="minorEastAsia" w:eastAsiaTheme="minorEastAsia"/>
                <w:sz w:val="18"/>
                <w:szCs w:val="18"/>
              </w:rPr>
            </w:pPr>
          </w:p>
        </w:tc>
        <w:tc>
          <w:tcPr>
            <w:tcW w:w="2100" w:type="dxa"/>
            <w:vAlign w:val="center"/>
          </w:tcPr>
          <w:p>
            <w:pPr>
              <w:snapToGrid w:val="0"/>
              <w:jc w:val="left"/>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生活区用电、明火</w:t>
            </w:r>
          </w:p>
        </w:tc>
        <w:tc>
          <w:tcPr>
            <w:tcW w:w="4169" w:type="dxa"/>
            <w:vAlign w:val="center"/>
          </w:tcPr>
          <w:p>
            <w:pPr>
              <w:snapToGrid w:val="0"/>
              <w:jc w:val="left"/>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生活区用电、明火</w:t>
            </w:r>
          </w:p>
        </w:tc>
        <w:tc>
          <w:tcPr>
            <w:tcW w:w="962"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1～6</w:t>
            </w:r>
          </w:p>
        </w:tc>
        <w:tc>
          <w:tcPr>
            <w:tcW w:w="1035"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3～6</w:t>
            </w:r>
          </w:p>
        </w:tc>
        <w:tc>
          <w:tcPr>
            <w:tcW w:w="1140"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1～3</w:t>
            </w:r>
          </w:p>
        </w:tc>
        <w:tc>
          <w:tcPr>
            <w:tcW w:w="1035"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3～108</w:t>
            </w:r>
          </w:p>
        </w:tc>
        <w:tc>
          <w:tcPr>
            <w:tcW w:w="1335" w:type="dxa"/>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低～一般</w:t>
            </w:r>
          </w:p>
        </w:tc>
      </w:tr>
    </w:tbl>
    <w:p/>
    <w:p>
      <w:pPr>
        <w:rPr>
          <w:rFonts w:asciiTheme="minorEastAsia" w:hAnsiTheme="minorEastAsia" w:eastAsiaTheme="minorEastAsia"/>
          <w:sz w:val="21"/>
          <w:szCs w:val="21"/>
        </w:rPr>
        <w:sectPr>
          <w:pgSz w:w="16838" w:h="11906" w:orient="landscape"/>
          <w:pgMar w:top="1797" w:right="1440" w:bottom="1797" w:left="1440" w:header="851" w:footer="992" w:gutter="0"/>
          <w:cols w:space="425" w:num="1"/>
          <w:docGrid w:type="lines" w:linePitch="435" w:charSpace="0"/>
        </w:sectPr>
      </w:pPr>
    </w:p>
    <w:p>
      <w:pPr>
        <w:jc w:val="center"/>
        <w:outlineLvl w:val="0"/>
        <w:rPr>
          <w:rFonts w:ascii="方正小标宋_GBK" w:hAnsi="黑体" w:eastAsia="方正小标宋_GBK"/>
          <w:b/>
          <w:bCs/>
          <w:sz w:val="28"/>
          <w:szCs w:val="28"/>
        </w:rPr>
      </w:pPr>
      <w:bookmarkStart w:id="83" w:name="_Toc117541297"/>
      <w:bookmarkStart w:id="84" w:name="_Hlk117455697"/>
      <w:bookmarkStart w:id="85" w:name="_Toc119336578"/>
      <w:r>
        <w:rPr>
          <w:rFonts w:hint="eastAsia" w:ascii="方正小标宋_GBK" w:hAnsi="黑体" w:eastAsia="方正小标宋_GBK"/>
          <w:b/>
          <w:bCs/>
          <w:sz w:val="28"/>
          <w:szCs w:val="28"/>
        </w:rPr>
        <w:t>附录A.3</w:t>
      </w:r>
      <w:bookmarkEnd w:id="83"/>
      <w:bookmarkEnd w:id="84"/>
      <w:bookmarkEnd w:id="85"/>
    </w:p>
    <w:p>
      <w:pPr>
        <w:jc w:val="center"/>
        <w:rPr>
          <w:rFonts w:ascii="方正小标宋_GBK" w:hAnsi="黑体" w:eastAsia="方正小标宋_GBK"/>
          <w:b/>
          <w:bCs/>
          <w:sz w:val="28"/>
          <w:szCs w:val="28"/>
        </w:rPr>
      </w:pPr>
      <w:r>
        <w:rPr>
          <w:rFonts w:hint="eastAsia" w:ascii="方正小标宋_GBK" w:hAnsi="黑体" w:eastAsia="方正小标宋_GBK"/>
          <w:b/>
          <w:bCs/>
          <w:sz w:val="28"/>
          <w:szCs w:val="28"/>
        </w:rPr>
        <w:t>（资料性附录）</w:t>
      </w:r>
    </w:p>
    <w:p>
      <w:pPr>
        <w:widowControl w:val="0"/>
        <w:adjustRightInd w:val="0"/>
        <w:snapToGrid w:val="0"/>
        <w:spacing w:line="360" w:lineRule="auto"/>
        <w:jc w:val="center"/>
        <w:rPr>
          <w:rFonts w:ascii="方正小标宋_GBK" w:hAnsi="黑体" w:eastAsia="方正小标宋_GBK"/>
          <w:b/>
          <w:bCs/>
          <w:sz w:val="28"/>
          <w:szCs w:val="28"/>
        </w:rPr>
      </w:pPr>
    </w:p>
    <w:p>
      <w:pPr>
        <w:widowControl w:val="0"/>
        <w:adjustRightInd w:val="0"/>
        <w:snapToGrid w:val="0"/>
        <w:spacing w:line="360" w:lineRule="auto"/>
        <w:jc w:val="center"/>
        <w:outlineLvl w:val="1"/>
        <w:rPr>
          <w:rFonts w:ascii="方正小标宋_GBK" w:hAnsi="黑体" w:eastAsia="方正小标宋_GBK"/>
          <w:b/>
          <w:bCs/>
          <w:sz w:val="28"/>
          <w:szCs w:val="28"/>
        </w:rPr>
      </w:pPr>
      <w:bookmarkStart w:id="86" w:name="_Toc119336579"/>
      <w:bookmarkStart w:id="87" w:name="_Toc117541298"/>
      <w:r>
        <w:rPr>
          <w:rFonts w:hint="eastAsia" w:ascii="方正小标宋_GBK" w:hAnsi="黑体" w:eastAsia="方正小标宋_GBK"/>
          <w:b/>
          <w:bCs/>
          <w:sz w:val="28"/>
          <w:szCs w:val="28"/>
        </w:rPr>
        <w:t>水库工程运行重大危险源清单</w:t>
      </w:r>
      <w:bookmarkEnd w:id="86"/>
      <w:bookmarkEnd w:id="87"/>
    </w:p>
    <w:tbl>
      <w:tblPr>
        <w:tblStyle w:val="3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8"/>
        <w:gridCol w:w="947"/>
        <w:gridCol w:w="1218"/>
        <w:gridCol w:w="2301"/>
        <w:gridCol w:w="1895"/>
        <w:gridCol w:w="17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239" w:type="pct"/>
            <w:vAlign w:val="center"/>
          </w:tcPr>
          <w:p>
            <w:pPr>
              <w:snapToGrid w:val="0"/>
              <w:jc w:val="center"/>
              <w:rPr>
                <w:rFonts w:cs="宋体" w:asciiTheme="minorEastAsia" w:hAnsiTheme="minorEastAsia" w:eastAsiaTheme="minorEastAsia"/>
                <w:b/>
                <w:bCs/>
                <w:sz w:val="18"/>
                <w:szCs w:val="18"/>
              </w:rPr>
            </w:pPr>
            <w:r>
              <w:rPr>
                <w:rFonts w:hint="eastAsia" w:cs="宋体" w:asciiTheme="minorEastAsia" w:hAnsiTheme="minorEastAsia" w:eastAsiaTheme="minorEastAsia"/>
                <w:b/>
                <w:bCs/>
                <w:sz w:val="18"/>
                <w:szCs w:val="18"/>
              </w:rPr>
              <w:t>序号</w:t>
            </w:r>
          </w:p>
        </w:tc>
        <w:tc>
          <w:tcPr>
            <w:tcW w:w="555" w:type="pct"/>
            <w:vAlign w:val="center"/>
          </w:tcPr>
          <w:p>
            <w:pPr>
              <w:snapToGrid w:val="0"/>
              <w:jc w:val="center"/>
              <w:rPr>
                <w:rFonts w:cs="宋体" w:asciiTheme="minorEastAsia" w:hAnsiTheme="minorEastAsia" w:eastAsiaTheme="minorEastAsia"/>
                <w:b/>
                <w:bCs/>
                <w:sz w:val="18"/>
                <w:szCs w:val="18"/>
              </w:rPr>
            </w:pPr>
            <w:r>
              <w:rPr>
                <w:rFonts w:hint="eastAsia" w:cs="宋体" w:asciiTheme="minorEastAsia" w:hAnsiTheme="minorEastAsia" w:eastAsiaTheme="minorEastAsia"/>
                <w:b/>
                <w:bCs/>
                <w:sz w:val="18"/>
                <w:szCs w:val="18"/>
              </w:rPr>
              <w:t>类别</w:t>
            </w:r>
          </w:p>
        </w:tc>
        <w:tc>
          <w:tcPr>
            <w:tcW w:w="714" w:type="pct"/>
            <w:vAlign w:val="center"/>
          </w:tcPr>
          <w:p>
            <w:pPr>
              <w:snapToGrid w:val="0"/>
              <w:jc w:val="center"/>
              <w:rPr>
                <w:rFonts w:cs="宋体" w:asciiTheme="minorEastAsia" w:hAnsiTheme="minorEastAsia" w:eastAsiaTheme="minorEastAsia"/>
                <w:b/>
                <w:bCs/>
                <w:sz w:val="18"/>
                <w:szCs w:val="18"/>
              </w:rPr>
            </w:pPr>
            <w:r>
              <w:rPr>
                <w:rFonts w:hint="eastAsia" w:cs="宋体" w:asciiTheme="minorEastAsia" w:hAnsiTheme="minorEastAsia" w:eastAsiaTheme="minorEastAsia"/>
                <w:b/>
                <w:bCs/>
                <w:sz w:val="18"/>
                <w:szCs w:val="18"/>
              </w:rPr>
              <w:t>项目</w:t>
            </w:r>
          </w:p>
        </w:tc>
        <w:tc>
          <w:tcPr>
            <w:tcW w:w="1349" w:type="pct"/>
            <w:vAlign w:val="center"/>
          </w:tcPr>
          <w:p>
            <w:pPr>
              <w:snapToGrid w:val="0"/>
              <w:jc w:val="center"/>
              <w:rPr>
                <w:rFonts w:cs="宋体" w:asciiTheme="minorEastAsia" w:hAnsiTheme="minorEastAsia" w:eastAsiaTheme="minorEastAsia"/>
                <w:b/>
                <w:bCs/>
                <w:sz w:val="18"/>
                <w:szCs w:val="18"/>
              </w:rPr>
            </w:pPr>
            <w:r>
              <w:rPr>
                <w:rFonts w:hint="eastAsia" w:cs="宋体" w:asciiTheme="minorEastAsia" w:hAnsiTheme="minorEastAsia" w:eastAsiaTheme="minorEastAsia"/>
                <w:b/>
                <w:bCs/>
                <w:sz w:val="18"/>
                <w:szCs w:val="18"/>
              </w:rPr>
              <w:t>重大危险源</w:t>
            </w:r>
          </w:p>
        </w:tc>
        <w:tc>
          <w:tcPr>
            <w:tcW w:w="1111" w:type="pct"/>
            <w:vAlign w:val="center"/>
          </w:tcPr>
          <w:p>
            <w:pPr>
              <w:snapToGrid w:val="0"/>
              <w:jc w:val="center"/>
              <w:rPr>
                <w:rFonts w:cs="宋体" w:asciiTheme="minorEastAsia" w:hAnsiTheme="minorEastAsia" w:eastAsiaTheme="minorEastAsia"/>
                <w:b/>
                <w:bCs/>
                <w:sz w:val="18"/>
                <w:szCs w:val="18"/>
              </w:rPr>
            </w:pPr>
            <w:r>
              <w:rPr>
                <w:rFonts w:hint="eastAsia" w:cs="宋体" w:asciiTheme="minorEastAsia" w:hAnsiTheme="minorEastAsia" w:eastAsiaTheme="minorEastAsia"/>
                <w:b/>
                <w:bCs/>
                <w:sz w:val="18"/>
                <w:szCs w:val="18"/>
              </w:rPr>
              <w:t>事故诱因</w:t>
            </w:r>
          </w:p>
        </w:tc>
        <w:tc>
          <w:tcPr>
            <w:tcW w:w="1031" w:type="pct"/>
            <w:vAlign w:val="center"/>
          </w:tcPr>
          <w:p>
            <w:pPr>
              <w:snapToGrid w:val="0"/>
              <w:jc w:val="center"/>
              <w:rPr>
                <w:rFonts w:cs="宋体" w:asciiTheme="minorEastAsia" w:hAnsiTheme="minorEastAsia" w:eastAsiaTheme="minorEastAsia"/>
                <w:b/>
                <w:bCs/>
                <w:sz w:val="18"/>
                <w:szCs w:val="18"/>
              </w:rPr>
            </w:pPr>
            <w:r>
              <w:rPr>
                <w:rFonts w:hint="eastAsia" w:cs="宋体" w:asciiTheme="minorEastAsia" w:hAnsiTheme="minorEastAsia" w:eastAsiaTheme="minorEastAsia"/>
                <w:b/>
                <w:bCs/>
                <w:sz w:val="18"/>
                <w:szCs w:val="18"/>
              </w:rPr>
              <w:t>可能导致的后果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39" w:type="pct"/>
            <w:vAlign w:val="center"/>
          </w:tcPr>
          <w:p>
            <w:pPr>
              <w:widowControl w:val="0"/>
              <w:spacing w:line="400" w:lineRule="exact"/>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1</w:t>
            </w:r>
          </w:p>
        </w:tc>
        <w:tc>
          <w:tcPr>
            <w:tcW w:w="555" w:type="pct"/>
            <w:vMerge w:val="restart"/>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构（建）筑物类</w:t>
            </w:r>
          </w:p>
        </w:tc>
        <w:tc>
          <w:tcPr>
            <w:tcW w:w="714" w:type="pct"/>
            <w:vMerge w:val="restart"/>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挡水建筑物</w:t>
            </w:r>
          </w:p>
        </w:tc>
        <w:tc>
          <w:tcPr>
            <w:tcW w:w="1349" w:type="pct"/>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坝体与坝肩、穿坝建筑物等结合部渗漏</w:t>
            </w:r>
          </w:p>
        </w:tc>
        <w:tc>
          <w:tcPr>
            <w:tcW w:w="1111" w:type="pct"/>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接触冲刷</w:t>
            </w:r>
          </w:p>
        </w:tc>
        <w:tc>
          <w:tcPr>
            <w:tcW w:w="1031" w:type="pct"/>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失稳、溃坝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39" w:type="pct"/>
            <w:vAlign w:val="center"/>
          </w:tcPr>
          <w:p>
            <w:pPr>
              <w:widowControl w:val="0"/>
              <w:spacing w:line="400" w:lineRule="exact"/>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2</w:t>
            </w:r>
          </w:p>
        </w:tc>
        <w:tc>
          <w:tcPr>
            <w:tcW w:w="555" w:type="pct"/>
            <w:vMerge w:val="continue"/>
            <w:vAlign w:val="center"/>
          </w:tcPr>
          <w:p>
            <w:pPr>
              <w:snapToGrid w:val="0"/>
              <w:jc w:val="center"/>
              <w:rPr>
                <w:rFonts w:cs="宋体" w:asciiTheme="minorEastAsia" w:hAnsiTheme="minorEastAsia" w:eastAsiaTheme="minorEastAsia"/>
                <w:sz w:val="18"/>
                <w:szCs w:val="18"/>
              </w:rPr>
            </w:pPr>
          </w:p>
        </w:tc>
        <w:tc>
          <w:tcPr>
            <w:tcW w:w="714" w:type="pct"/>
            <w:vMerge w:val="continue"/>
            <w:vAlign w:val="center"/>
          </w:tcPr>
          <w:p>
            <w:pPr>
              <w:snapToGrid w:val="0"/>
              <w:jc w:val="center"/>
              <w:rPr>
                <w:rFonts w:cs="宋体" w:asciiTheme="minorEastAsia" w:hAnsiTheme="minorEastAsia" w:eastAsiaTheme="minorEastAsia"/>
                <w:sz w:val="18"/>
                <w:szCs w:val="18"/>
              </w:rPr>
            </w:pPr>
          </w:p>
        </w:tc>
        <w:tc>
          <w:tcPr>
            <w:tcW w:w="1349" w:type="pct"/>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坝肩绕坝渗流，坝基渗流，土石坝坝体渗流</w:t>
            </w:r>
          </w:p>
        </w:tc>
        <w:tc>
          <w:tcPr>
            <w:tcW w:w="1111" w:type="pct"/>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防渗设施失效或不完善</w:t>
            </w:r>
          </w:p>
        </w:tc>
        <w:tc>
          <w:tcPr>
            <w:tcW w:w="1031" w:type="pct"/>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变形、位移、失稳、溃坝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39" w:type="pct"/>
            <w:vAlign w:val="center"/>
          </w:tcPr>
          <w:p>
            <w:pPr>
              <w:widowControl w:val="0"/>
              <w:spacing w:line="400" w:lineRule="exact"/>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3</w:t>
            </w:r>
          </w:p>
        </w:tc>
        <w:tc>
          <w:tcPr>
            <w:tcW w:w="555" w:type="pct"/>
            <w:vMerge w:val="continue"/>
            <w:vAlign w:val="center"/>
          </w:tcPr>
          <w:p>
            <w:pPr>
              <w:snapToGrid w:val="0"/>
              <w:jc w:val="center"/>
              <w:rPr>
                <w:rFonts w:cs="宋体" w:asciiTheme="minorEastAsia" w:hAnsiTheme="minorEastAsia" w:eastAsiaTheme="minorEastAsia"/>
                <w:sz w:val="18"/>
                <w:szCs w:val="18"/>
              </w:rPr>
            </w:pPr>
          </w:p>
        </w:tc>
        <w:tc>
          <w:tcPr>
            <w:tcW w:w="714" w:type="pct"/>
            <w:vMerge w:val="continue"/>
            <w:vAlign w:val="center"/>
          </w:tcPr>
          <w:p>
            <w:pPr>
              <w:snapToGrid w:val="0"/>
              <w:jc w:val="center"/>
              <w:rPr>
                <w:rFonts w:cs="宋体" w:asciiTheme="minorEastAsia" w:hAnsiTheme="minorEastAsia" w:eastAsiaTheme="minorEastAsia"/>
                <w:sz w:val="18"/>
                <w:szCs w:val="18"/>
              </w:rPr>
            </w:pPr>
          </w:p>
        </w:tc>
        <w:tc>
          <w:tcPr>
            <w:tcW w:w="1349" w:type="pct"/>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土石坝坝顶受波浪冲击</w:t>
            </w:r>
          </w:p>
        </w:tc>
        <w:tc>
          <w:tcPr>
            <w:tcW w:w="1111" w:type="pct"/>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洪水、大风；防浪墙损坏</w:t>
            </w:r>
          </w:p>
        </w:tc>
        <w:tc>
          <w:tcPr>
            <w:tcW w:w="1031" w:type="pct"/>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漫顶、溃坝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39" w:type="pct"/>
            <w:vAlign w:val="center"/>
          </w:tcPr>
          <w:p>
            <w:pPr>
              <w:widowControl w:val="0"/>
              <w:spacing w:line="400" w:lineRule="exact"/>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4</w:t>
            </w:r>
          </w:p>
        </w:tc>
        <w:tc>
          <w:tcPr>
            <w:tcW w:w="555" w:type="pct"/>
            <w:vMerge w:val="continue"/>
            <w:vAlign w:val="center"/>
          </w:tcPr>
          <w:p>
            <w:pPr>
              <w:snapToGrid w:val="0"/>
              <w:jc w:val="center"/>
              <w:rPr>
                <w:rFonts w:cs="宋体" w:asciiTheme="minorEastAsia" w:hAnsiTheme="minorEastAsia" w:eastAsiaTheme="minorEastAsia"/>
                <w:sz w:val="18"/>
                <w:szCs w:val="18"/>
              </w:rPr>
            </w:pPr>
          </w:p>
        </w:tc>
        <w:tc>
          <w:tcPr>
            <w:tcW w:w="714" w:type="pct"/>
            <w:vMerge w:val="continue"/>
            <w:vAlign w:val="center"/>
          </w:tcPr>
          <w:p>
            <w:pPr>
              <w:snapToGrid w:val="0"/>
              <w:jc w:val="center"/>
              <w:rPr>
                <w:rFonts w:cs="宋体" w:asciiTheme="minorEastAsia" w:hAnsiTheme="minorEastAsia" w:eastAsiaTheme="minorEastAsia"/>
                <w:sz w:val="18"/>
                <w:szCs w:val="18"/>
              </w:rPr>
            </w:pPr>
          </w:p>
        </w:tc>
        <w:tc>
          <w:tcPr>
            <w:tcW w:w="1349" w:type="pct"/>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土石坝上、下游坡</w:t>
            </w:r>
          </w:p>
        </w:tc>
        <w:tc>
          <w:tcPr>
            <w:tcW w:w="1111" w:type="pct"/>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排水设施失效；坝坡滑动</w:t>
            </w:r>
          </w:p>
        </w:tc>
        <w:tc>
          <w:tcPr>
            <w:tcW w:w="1031" w:type="pct"/>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失稳、溃坝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39" w:type="pct"/>
            <w:vAlign w:val="center"/>
          </w:tcPr>
          <w:p>
            <w:pPr>
              <w:widowControl w:val="0"/>
              <w:spacing w:line="400" w:lineRule="exact"/>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5</w:t>
            </w:r>
          </w:p>
        </w:tc>
        <w:tc>
          <w:tcPr>
            <w:tcW w:w="555" w:type="pct"/>
            <w:vMerge w:val="continue"/>
            <w:vAlign w:val="center"/>
          </w:tcPr>
          <w:p>
            <w:pPr>
              <w:snapToGrid w:val="0"/>
              <w:jc w:val="center"/>
              <w:rPr>
                <w:rFonts w:cs="宋体" w:asciiTheme="minorEastAsia" w:hAnsiTheme="minorEastAsia" w:eastAsiaTheme="minorEastAsia"/>
                <w:sz w:val="18"/>
                <w:szCs w:val="18"/>
              </w:rPr>
            </w:pPr>
          </w:p>
        </w:tc>
        <w:tc>
          <w:tcPr>
            <w:tcW w:w="714" w:type="pct"/>
            <w:vMerge w:val="continue"/>
            <w:vAlign w:val="center"/>
          </w:tcPr>
          <w:p>
            <w:pPr>
              <w:snapToGrid w:val="0"/>
              <w:jc w:val="center"/>
              <w:rPr>
                <w:rFonts w:cs="宋体" w:asciiTheme="minorEastAsia" w:hAnsiTheme="minorEastAsia" w:eastAsiaTheme="minorEastAsia"/>
                <w:sz w:val="18"/>
                <w:szCs w:val="18"/>
              </w:rPr>
            </w:pPr>
          </w:p>
        </w:tc>
        <w:tc>
          <w:tcPr>
            <w:tcW w:w="1349" w:type="pct"/>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存在白蚁的可能</w:t>
            </w:r>
          </w:p>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（土石坝）</w:t>
            </w:r>
          </w:p>
        </w:tc>
        <w:tc>
          <w:tcPr>
            <w:tcW w:w="1111" w:type="pct"/>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白蚁活动、筑巢</w:t>
            </w:r>
          </w:p>
        </w:tc>
        <w:tc>
          <w:tcPr>
            <w:tcW w:w="1031" w:type="pct"/>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管涌、溃坝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39" w:type="pct"/>
            <w:vAlign w:val="center"/>
          </w:tcPr>
          <w:p>
            <w:pPr>
              <w:widowControl w:val="0"/>
              <w:spacing w:line="400" w:lineRule="exact"/>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6</w:t>
            </w:r>
          </w:p>
        </w:tc>
        <w:tc>
          <w:tcPr>
            <w:tcW w:w="555" w:type="pct"/>
            <w:vMerge w:val="continue"/>
            <w:vAlign w:val="center"/>
          </w:tcPr>
          <w:p>
            <w:pPr>
              <w:snapToGrid w:val="0"/>
              <w:jc w:val="center"/>
              <w:rPr>
                <w:rFonts w:cs="宋体" w:asciiTheme="minorEastAsia" w:hAnsiTheme="minorEastAsia" w:eastAsiaTheme="minorEastAsia"/>
                <w:sz w:val="18"/>
                <w:szCs w:val="18"/>
              </w:rPr>
            </w:pPr>
          </w:p>
        </w:tc>
        <w:tc>
          <w:tcPr>
            <w:tcW w:w="714" w:type="pct"/>
            <w:vMerge w:val="continue"/>
            <w:vAlign w:val="center"/>
          </w:tcPr>
          <w:p>
            <w:pPr>
              <w:snapToGrid w:val="0"/>
              <w:jc w:val="center"/>
              <w:rPr>
                <w:rFonts w:cs="宋体" w:asciiTheme="minorEastAsia" w:hAnsiTheme="minorEastAsia" w:eastAsiaTheme="minorEastAsia"/>
                <w:sz w:val="18"/>
                <w:szCs w:val="18"/>
              </w:rPr>
            </w:pPr>
          </w:p>
        </w:tc>
        <w:tc>
          <w:tcPr>
            <w:tcW w:w="1349" w:type="pct"/>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混凝土面板</w:t>
            </w:r>
          </w:p>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（面板堆石坝）</w:t>
            </w:r>
          </w:p>
        </w:tc>
        <w:tc>
          <w:tcPr>
            <w:tcW w:w="1111" w:type="pct"/>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水流冲刷；面板破损、接缝开裂；不均匀沉降</w:t>
            </w:r>
          </w:p>
        </w:tc>
        <w:tc>
          <w:tcPr>
            <w:tcW w:w="1031" w:type="pct"/>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失稳、溃坝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39" w:type="pct"/>
            <w:vAlign w:val="center"/>
          </w:tcPr>
          <w:p>
            <w:pPr>
              <w:widowControl w:val="0"/>
              <w:spacing w:line="400" w:lineRule="exact"/>
              <w:jc w:val="center"/>
              <w:rPr>
                <w:rFonts w:cs="宋体" w:asciiTheme="minorEastAsia" w:hAnsiTheme="minorEastAsia" w:eastAsiaTheme="minorEastAsia"/>
                <w:sz w:val="18"/>
                <w:szCs w:val="18"/>
              </w:rPr>
            </w:pPr>
            <w:r>
              <w:rPr>
                <w:rFonts w:cs="宋体" w:asciiTheme="minorEastAsia" w:hAnsiTheme="minorEastAsia" w:eastAsiaTheme="minorEastAsia"/>
                <w:sz w:val="18"/>
                <w:szCs w:val="18"/>
              </w:rPr>
              <w:t>7</w:t>
            </w:r>
          </w:p>
        </w:tc>
        <w:tc>
          <w:tcPr>
            <w:tcW w:w="555" w:type="pct"/>
            <w:vMerge w:val="continue"/>
            <w:vAlign w:val="center"/>
          </w:tcPr>
          <w:p>
            <w:pPr>
              <w:snapToGrid w:val="0"/>
              <w:jc w:val="center"/>
              <w:rPr>
                <w:rFonts w:cs="宋体" w:asciiTheme="minorEastAsia" w:hAnsiTheme="minorEastAsia" w:eastAsiaTheme="minorEastAsia"/>
                <w:sz w:val="18"/>
                <w:szCs w:val="18"/>
              </w:rPr>
            </w:pPr>
          </w:p>
        </w:tc>
        <w:tc>
          <w:tcPr>
            <w:tcW w:w="714" w:type="pct"/>
            <w:vMerge w:val="continue"/>
            <w:vAlign w:val="center"/>
          </w:tcPr>
          <w:p>
            <w:pPr>
              <w:snapToGrid w:val="0"/>
              <w:jc w:val="center"/>
              <w:rPr>
                <w:rFonts w:cs="宋体" w:asciiTheme="minorEastAsia" w:hAnsiTheme="minorEastAsia" w:eastAsiaTheme="minorEastAsia"/>
                <w:sz w:val="18"/>
                <w:szCs w:val="18"/>
              </w:rPr>
            </w:pPr>
          </w:p>
        </w:tc>
        <w:tc>
          <w:tcPr>
            <w:tcW w:w="1349" w:type="pct"/>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拱座（拱坝）</w:t>
            </w:r>
          </w:p>
        </w:tc>
        <w:tc>
          <w:tcPr>
            <w:tcW w:w="1111" w:type="pct"/>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混凝土或岩体应力过大；拱座变形</w:t>
            </w:r>
          </w:p>
        </w:tc>
        <w:tc>
          <w:tcPr>
            <w:tcW w:w="1031" w:type="pct"/>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结构破坏、失稳、溃坝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39" w:type="pct"/>
            <w:vAlign w:val="center"/>
          </w:tcPr>
          <w:p>
            <w:pPr>
              <w:widowControl w:val="0"/>
              <w:spacing w:line="400" w:lineRule="exact"/>
              <w:jc w:val="center"/>
              <w:rPr>
                <w:rFonts w:cs="宋体" w:asciiTheme="minorEastAsia" w:hAnsiTheme="minorEastAsia" w:eastAsiaTheme="minorEastAsia"/>
                <w:sz w:val="18"/>
                <w:szCs w:val="18"/>
              </w:rPr>
            </w:pPr>
            <w:r>
              <w:rPr>
                <w:rFonts w:cs="宋体" w:asciiTheme="minorEastAsia" w:hAnsiTheme="minorEastAsia" w:eastAsiaTheme="minorEastAsia"/>
                <w:sz w:val="18"/>
                <w:szCs w:val="18"/>
              </w:rPr>
              <w:t>8</w:t>
            </w:r>
          </w:p>
        </w:tc>
        <w:tc>
          <w:tcPr>
            <w:tcW w:w="555" w:type="pct"/>
            <w:vMerge w:val="continue"/>
            <w:vAlign w:val="center"/>
          </w:tcPr>
          <w:p>
            <w:pPr>
              <w:snapToGrid w:val="0"/>
              <w:jc w:val="center"/>
              <w:rPr>
                <w:rFonts w:cs="宋体" w:asciiTheme="minorEastAsia" w:hAnsiTheme="minorEastAsia" w:eastAsiaTheme="minorEastAsia"/>
                <w:sz w:val="18"/>
                <w:szCs w:val="18"/>
              </w:rPr>
            </w:pPr>
          </w:p>
        </w:tc>
        <w:tc>
          <w:tcPr>
            <w:tcW w:w="714" w:type="pct"/>
            <w:vMerge w:val="continue"/>
            <w:vAlign w:val="center"/>
          </w:tcPr>
          <w:p>
            <w:pPr>
              <w:snapToGrid w:val="0"/>
              <w:jc w:val="center"/>
              <w:rPr>
                <w:rFonts w:cs="宋体" w:asciiTheme="minorEastAsia" w:hAnsiTheme="minorEastAsia" w:eastAsiaTheme="minorEastAsia"/>
                <w:sz w:val="18"/>
                <w:szCs w:val="18"/>
              </w:rPr>
            </w:pPr>
          </w:p>
        </w:tc>
        <w:tc>
          <w:tcPr>
            <w:tcW w:w="1349" w:type="pct"/>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拱坝坝顶溢流，坝身开设泄水孔</w:t>
            </w:r>
          </w:p>
        </w:tc>
        <w:tc>
          <w:tcPr>
            <w:tcW w:w="1111" w:type="pct"/>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坝身泄洪振动；孔口附近应力过大</w:t>
            </w:r>
          </w:p>
        </w:tc>
        <w:tc>
          <w:tcPr>
            <w:tcW w:w="1031" w:type="pct"/>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结构破坏、溃坝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39" w:type="pct"/>
            <w:vAlign w:val="center"/>
          </w:tcPr>
          <w:p>
            <w:pPr>
              <w:widowControl w:val="0"/>
              <w:spacing w:line="400" w:lineRule="exact"/>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9</w:t>
            </w:r>
          </w:p>
        </w:tc>
        <w:tc>
          <w:tcPr>
            <w:tcW w:w="555" w:type="pct"/>
            <w:vMerge w:val="continue"/>
            <w:vAlign w:val="center"/>
          </w:tcPr>
          <w:p>
            <w:pPr>
              <w:widowControl w:val="0"/>
              <w:spacing w:line="400" w:lineRule="exact"/>
              <w:jc w:val="center"/>
              <w:rPr>
                <w:rFonts w:cs="宋体" w:asciiTheme="minorEastAsia" w:hAnsiTheme="minorEastAsia" w:eastAsiaTheme="minorEastAsia"/>
                <w:sz w:val="18"/>
                <w:szCs w:val="18"/>
              </w:rPr>
            </w:pPr>
          </w:p>
        </w:tc>
        <w:tc>
          <w:tcPr>
            <w:tcW w:w="714" w:type="pct"/>
            <w:vMerge w:val="restart"/>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泄水建筑物</w:t>
            </w:r>
          </w:p>
        </w:tc>
        <w:tc>
          <w:tcPr>
            <w:tcW w:w="1349" w:type="pct"/>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溢洪道、泄洪（隧）洞消能设施</w:t>
            </w:r>
          </w:p>
        </w:tc>
        <w:tc>
          <w:tcPr>
            <w:tcW w:w="1111" w:type="pct"/>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水流冲击或冲刷</w:t>
            </w:r>
          </w:p>
        </w:tc>
        <w:tc>
          <w:tcPr>
            <w:tcW w:w="1031" w:type="pct"/>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设施破坏，失稳、溃坝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39" w:type="pct"/>
            <w:vAlign w:val="center"/>
          </w:tcPr>
          <w:p>
            <w:pPr>
              <w:widowControl w:val="0"/>
              <w:spacing w:line="400" w:lineRule="exact"/>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1</w:t>
            </w:r>
            <w:r>
              <w:rPr>
                <w:rFonts w:cs="宋体" w:asciiTheme="minorEastAsia" w:hAnsiTheme="minorEastAsia" w:eastAsiaTheme="minorEastAsia"/>
                <w:sz w:val="18"/>
                <w:szCs w:val="18"/>
              </w:rPr>
              <w:t>0</w:t>
            </w:r>
          </w:p>
        </w:tc>
        <w:tc>
          <w:tcPr>
            <w:tcW w:w="555" w:type="pct"/>
            <w:vMerge w:val="continue"/>
            <w:vAlign w:val="center"/>
          </w:tcPr>
          <w:p>
            <w:pPr>
              <w:widowControl w:val="0"/>
              <w:spacing w:line="400" w:lineRule="exact"/>
              <w:jc w:val="center"/>
              <w:rPr>
                <w:rFonts w:cs="宋体" w:asciiTheme="minorEastAsia" w:hAnsiTheme="minorEastAsia" w:eastAsiaTheme="minorEastAsia"/>
                <w:sz w:val="18"/>
                <w:szCs w:val="18"/>
              </w:rPr>
            </w:pPr>
          </w:p>
        </w:tc>
        <w:tc>
          <w:tcPr>
            <w:tcW w:w="714" w:type="pct"/>
            <w:vMerge w:val="continue"/>
            <w:vAlign w:val="center"/>
          </w:tcPr>
          <w:p>
            <w:pPr>
              <w:snapToGrid w:val="0"/>
              <w:jc w:val="center"/>
              <w:rPr>
                <w:rFonts w:cs="宋体" w:asciiTheme="minorEastAsia" w:hAnsiTheme="minorEastAsia" w:eastAsiaTheme="minorEastAsia"/>
                <w:sz w:val="18"/>
                <w:szCs w:val="18"/>
              </w:rPr>
            </w:pPr>
          </w:p>
        </w:tc>
        <w:tc>
          <w:tcPr>
            <w:tcW w:w="1349" w:type="pct"/>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泄洪（隧）洞渗漏</w:t>
            </w:r>
          </w:p>
        </w:tc>
        <w:tc>
          <w:tcPr>
            <w:tcW w:w="1111" w:type="pct"/>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接缝破损、止水失效</w:t>
            </w:r>
          </w:p>
        </w:tc>
        <w:tc>
          <w:tcPr>
            <w:tcW w:w="1031" w:type="pct"/>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结构破坏、失稳、溃坝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39" w:type="pct"/>
            <w:vAlign w:val="center"/>
          </w:tcPr>
          <w:p>
            <w:pPr>
              <w:widowControl w:val="0"/>
              <w:spacing w:line="400" w:lineRule="exact"/>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1</w:t>
            </w:r>
            <w:r>
              <w:rPr>
                <w:rFonts w:cs="宋体" w:asciiTheme="minorEastAsia" w:hAnsiTheme="minorEastAsia" w:eastAsiaTheme="minorEastAsia"/>
                <w:sz w:val="18"/>
                <w:szCs w:val="18"/>
              </w:rPr>
              <w:t>1</w:t>
            </w:r>
          </w:p>
        </w:tc>
        <w:tc>
          <w:tcPr>
            <w:tcW w:w="555" w:type="pct"/>
            <w:vMerge w:val="continue"/>
            <w:vAlign w:val="center"/>
          </w:tcPr>
          <w:p>
            <w:pPr>
              <w:widowControl w:val="0"/>
              <w:spacing w:line="400" w:lineRule="exact"/>
              <w:jc w:val="center"/>
              <w:rPr>
                <w:rFonts w:cs="宋体" w:asciiTheme="minorEastAsia" w:hAnsiTheme="minorEastAsia" w:eastAsiaTheme="minorEastAsia"/>
                <w:sz w:val="18"/>
                <w:szCs w:val="18"/>
              </w:rPr>
            </w:pPr>
          </w:p>
        </w:tc>
        <w:tc>
          <w:tcPr>
            <w:tcW w:w="714" w:type="pct"/>
            <w:vMerge w:val="continue"/>
            <w:vAlign w:val="center"/>
          </w:tcPr>
          <w:p>
            <w:pPr>
              <w:snapToGrid w:val="0"/>
              <w:jc w:val="center"/>
              <w:rPr>
                <w:rFonts w:cs="宋体" w:asciiTheme="minorEastAsia" w:hAnsiTheme="minorEastAsia" w:eastAsiaTheme="minorEastAsia"/>
                <w:sz w:val="18"/>
                <w:szCs w:val="18"/>
              </w:rPr>
            </w:pPr>
          </w:p>
        </w:tc>
        <w:tc>
          <w:tcPr>
            <w:tcW w:w="1349" w:type="pct"/>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泄洪（隧）洞围岩</w:t>
            </w:r>
          </w:p>
        </w:tc>
        <w:tc>
          <w:tcPr>
            <w:tcW w:w="1111" w:type="pct"/>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不良地质</w:t>
            </w:r>
          </w:p>
        </w:tc>
        <w:tc>
          <w:tcPr>
            <w:tcW w:w="1031" w:type="pct"/>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变形、结构破坏、失稳、溃坝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39" w:type="pct"/>
            <w:vAlign w:val="center"/>
          </w:tcPr>
          <w:p>
            <w:pPr>
              <w:widowControl w:val="0"/>
              <w:spacing w:line="400" w:lineRule="exact"/>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12</w:t>
            </w:r>
          </w:p>
        </w:tc>
        <w:tc>
          <w:tcPr>
            <w:tcW w:w="555" w:type="pct"/>
            <w:vMerge w:val="continue"/>
            <w:vAlign w:val="center"/>
          </w:tcPr>
          <w:p>
            <w:pPr>
              <w:widowControl w:val="0"/>
              <w:spacing w:line="400" w:lineRule="exact"/>
              <w:jc w:val="center"/>
              <w:rPr>
                <w:rFonts w:cs="宋体" w:asciiTheme="minorEastAsia" w:hAnsiTheme="minorEastAsia" w:eastAsiaTheme="minorEastAsia"/>
                <w:sz w:val="18"/>
                <w:szCs w:val="18"/>
              </w:rPr>
            </w:pPr>
          </w:p>
        </w:tc>
        <w:tc>
          <w:tcPr>
            <w:tcW w:w="714" w:type="pct"/>
            <w:vMerge w:val="restart"/>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输水建筑物</w:t>
            </w:r>
          </w:p>
        </w:tc>
        <w:tc>
          <w:tcPr>
            <w:tcW w:w="1349" w:type="pct"/>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输水（隧）洞（管）</w:t>
            </w:r>
          </w:p>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渗漏</w:t>
            </w:r>
          </w:p>
        </w:tc>
        <w:tc>
          <w:tcPr>
            <w:tcW w:w="1111" w:type="pct"/>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接缝破损、止水失效</w:t>
            </w:r>
          </w:p>
        </w:tc>
        <w:tc>
          <w:tcPr>
            <w:tcW w:w="1031" w:type="pct"/>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结构破坏、失稳、溃坝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39" w:type="pct"/>
            <w:vAlign w:val="center"/>
          </w:tcPr>
          <w:p>
            <w:pPr>
              <w:widowControl w:val="0"/>
              <w:spacing w:line="400" w:lineRule="exact"/>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13</w:t>
            </w:r>
          </w:p>
        </w:tc>
        <w:tc>
          <w:tcPr>
            <w:tcW w:w="555" w:type="pct"/>
            <w:vMerge w:val="continue"/>
            <w:vAlign w:val="center"/>
          </w:tcPr>
          <w:p>
            <w:pPr>
              <w:widowControl w:val="0"/>
              <w:spacing w:line="400" w:lineRule="exact"/>
              <w:jc w:val="center"/>
              <w:rPr>
                <w:rFonts w:cs="宋体" w:asciiTheme="minorEastAsia" w:hAnsiTheme="minorEastAsia" w:eastAsiaTheme="minorEastAsia"/>
                <w:sz w:val="18"/>
                <w:szCs w:val="18"/>
              </w:rPr>
            </w:pPr>
          </w:p>
        </w:tc>
        <w:tc>
          <w:tcPr>
            <w:tcW w:w="714" w:type="pct"/>
            <w:vMerge w:val="continue"/>
            <w:vAlign w:val="center"/>
          </w:tcPr>
          <w:p>
            <w:pPr>
              <w:snapToGrid w:val="0"/>
              <w:jc w:val="center"/>
              <w:rPr>
                <w:rFonts w:cs="宋体" w:asciiTheme="minorEastAsia" w:hAnsiTheme="minorEastAsia" w:eastAsiaTheme="minorEastAsia"/>
                <w:sz w:val="18"/>
                <w:szCs w:val="18"/>
              </w:rPr>
            </w:pPr>
          </w:p>
        </w:tc>
        <w:tc>
          <w:tcPr>
            <w:tcW w:w="1349" w:type="pct"/>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输水（隧）洞（管）</w:t>
            </w:r>
          </w:p>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围岩</w:t>
            </w:r>
          </w:p>
        </w:tc>
        <w:tc>
          <w:tcPr>
            <w:tcW w:w="1111" w:type="pct"/>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不良地质</w:t>
            </w:r>
          </w:p>
        </w:tc>
        <w:tc>
          <w:tcPr>
            <w:tcW w:w="1031" w:type="pct"/>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变形、结构破坏、失稳、溃坝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39" w:type="pct"/>
            <w:vAlign w:val="center"/>
          </w:tcPr>
          <w:p>
            <w:pPr>
              <w:widowControl w:val="0"/>
              <w:spacing w:line="400" w:lineRule="exact"/>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14</w:t>
            </w:r>
          </w:p>
        </w:tc>
        <w:tc>
          <w:tcPr>
            <w:tcW w:w="555" w:type="pct"/>
            <w:vMerge w:val="continue"/>
            <w:vAlign w:val="center"/>
          </w:tcPr>
          <w:p>
            <w:pPr>
              <w:widowControl w:val="0"/>
              <w:spacing w:line="400" w:lineRule="exact"/>
              <w:jc w:val="center"/>
              <w:rPr>
                <w:rFonts w:cs="宋体" w:asciiTheme="minorEastAsia" w:hAnsiTheme="minorEastAsia" w:eastAsiaTheme="minorEastAsia"/>
                <w:sz w:val="18"/>
                <w:szCs w:val="18"/>
              </w:rPr>
            </w:pPr>
          </w:p>
        </w:tc>
        <w:tc>
          <w:tcPr>
            <w:tcW w:w="714" w:type="pct"/>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坝基</w:t>
            </w:r>
          </w:p>
        </w:tc>
        <w:tc>
          <w:tcPr>
            <w:tcW w:w="1349" w:type="pct"/>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坝基</w:t>
            </w:r>
          </w:p>
        </w:tc>
        <w:tc>
          <w:tcPr>
            <w:tcW w:w="1111" w:type="pct"/>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不良地质</w:t>
            </w:r>
          </w:p>
        </w:tc>
        <w:tc>
          <w:tcPr>
            <w:tcW w:w="1031" w:type="pct"/>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沉降、变形、位移、失稳、溃坝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39" w:type="pct"/>
            <w:vAlign w:val="center"/>
          </w:tcPr>
          <w:p>
            <w:pPr>
              <w:widowControl w:val="0"/>
              <w:spacing w:line="400" w:lineRule="exact"/>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15</w:t>
            </w:r>
          </w:p>
        </w:tc>
        <w:tc>
          <w:tcPr>
            <w:tcW w:w="555" w:type="pct"/>
            <w:vMerge w:val="restart"/>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金属结构类</w:t>
            </w:r>
          </w:p>
        </w:tc>
        <w:tc>
          <w:tcPr>
            <w:tcW w:w="714" w:type="pct"/>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闸门</w:t>
            </w:r>
          </w:p>
        </w:tc>
        <w:tc>
          <w:tcPr>
            <w:tcW w:w="1349" w:type="pct"/>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工作闸门（泄水建筑物）</w:t>
            </w:r>
          </w:p>
        </w:tc>
        <w:tc>
          <w:tcPr>
            <w:tcW w:w="1111" w:type="pct"/>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闸门锈蚀、变形</w:t>
            </w:r>
          </w:p>
        </w:tc>
        <w:tc>
          <w:tcPr>
            <w:tcW w:w="1031" w:type="pct"/>
            <w:vMerge w:val="restart"/>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失稳、漫顶、溃坝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39" w:type="pct"/>
            <w:vAlign w:val="center"/>
          </w:tcPr>
          <w:p>
            <w:pPr>
              <w:widowControl w:val="0"/>
              <w:spacing w:line="400" w:lineRule="exact"/>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16</w:t>
            </w:r>
          </w:p>
        </w:tc>
        <w:tc>
          <w:tcPr>
            <w:tcW w:w="555" w:type="pct"/>
            <w:vMerge w:val="continue"/>
            <w:vAlign w:val="center"/>
          </w:tcPr>
          <w:p>
            <w:pPr>
              <w:widowControl w:val="0"/>
              <w:spacing w:line="400" w:lineRule="exact"/>
              <w:jc w:val="center"/>
              <w:rPr>
                <w:rFonts w:cs="宋体" w:asciiTheme="minorEastAsia" w:hAnsiTheme="minorEastAsia" w:eastAsiaTheme="minorEastAsia"/>
                <w:sz w:val="18"/>
                <w:szCs w:val="18"/>
              </w:rPr>
            </w:pPr>
          </w:p>
        </w:tc>
        <w:tc>
          <w:tcPr>
            <w:tcW w:w="714" w:type="pct"/>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启闭机械</w:t>
            </w:r>
          </w:p>
        </w:tc>
        <w:tc>
          <w:tcPr>
            <w:tcW w:w="1349" w:type="pct"/>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启闭机（泄水建筑物）</w:t>
            </w:r>
          </w:p>
        </w:tc>
        <w:tc>
          <w:tcPr>
            <w:tcW w:w="1111" w:type="pct"/>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启闭机无法正常运行</w:t>
            </w:r>
          </w:p>
        </w:tc>
        <w:tc>
          <w:tcPr>
            <w:tcW w:w="1031" w:type="pct"/>
            <w:vMerge w:val="continue"/>
            <w:vAlign w:val="center"/>
          </w:tcPr>
          <w:p>
            <w:pPr>
              <w:snapToGrid w:val="0"/>
              <w:jc w:val="center"/>
              <w:rPr>
                <w:rFonts w:cs="宋体" w:asciiTheme="minorEastAsia" w:hAnsiTheme="minorEastAsia" w:eastAsia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39" w:type="pct"/>
            <w:vAlign w:val="center"/>
          </w:tcPr>
          <w:p>
            <w:pPr>
              <w:widowControl w:val="0"/>
              <w:spacing w:line="400" w:lineRule="exact"/>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1</w:t>
            </w:r>
            <w:r>
              <w:rPr>
                <w:rFonts w:cs="宋体" w:asciiTheme="minorEastAsia" w:hAnsiTheme="minorEastAsia" w:eastAsiaTheme="minorEastAsia"/>
                <w:sz w:val="18"/>
                <w:szCs w:val="18"/>
              </w:rPr>
              <w:t>7</w:t>
            </w:r>
          </w:p>
        </w:tc>
        <w:tc>
          <w:tcPr>
            <w:tcW w:w="555" w:type="pct"/>
            <w:vMerge w:val="restart"/>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设备设施类</w:t>
            </w:r>
          </w:p>
        </w:tc>
        <w:tc>
          <w:tcPr>
            <w:tcW w:w="714" w:type="pct"/>
            <w:vMerge w:val="restart"/>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电气设备</w:t>
            </w:r>
          </w:p>
        </w:tc>
        <w:tc>
          <w:tcPr>
            <w:tcW w:w="1349" w:type="pct"/>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闸门启闭控制设备</w:t>
            </w:r>
          </w:p>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（泄水建筑物）</w:t>
            </w:r>
          </w:p>
        </w:tc>
        <w:tc>
          <w:tcPr>
            <w:tcW w:w="1111" w:type="pct"/>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控制功能失效</w:t>
            </w:r>
          </w:p>
        </w:tc>
        <w:tc>
          <w:tcPr>
            <w:tcW w:w="1031" w:type="pct"/>
            <w:vMerge w:val="continue"/>
            <w:vAlign w:val="center"/>
          </w:tcPr>
          <w:p>
            <w:pPr>
              <w:snapToGrid w:val="0"/>
              <w:jc w:val="center"/>
              <w:rPr>
                <w:rFonts w:cs="宋体" w:asciiTheme="minorEastAsia" w:hAnsiTheme="minorEastAsia" w:eastAsia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39" w:type="pct"/>
            <w:vAlign w:val="center"/>
          </w:tcPr>
          <w:p>
            <w:pPr>
              <w:widowControl w:val="0"/>
              <w:spacing w:line="400" w:lineRule="exact"/>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1</w:t>
            </w:r>
            <w:r>
              <w:rPr>
                <w:rFonts w:cs="宋体" w:asciiTheme="minorEastAsia" w:hAnsiTheme="minorEastAsia" w:eastAsiaTheme="minorEastAsia"/>
                <w:sz w:val="18"/>
                <w:szCs w:val="18"/>
              </w:rPr>
              <w:t>8</w:t>
            </w:r>
          </w:p>
        </w:tc>
        <w:tc>
          <w:tcPr>
            <w:tcW w:w="555" w:type="pct"/>
            <w:vMerge w:val="continue"/>
            <w:vAlign w:val="center"/>
          </w:tcPr>
          <w:p>
            <w:pPr>
              <w:snapToGrid w:val="0"/>
              <w:jc w:val="center"/>
              <w:rPr>
                <w:rFonts w:cs="宋体" w:asciiTheme="minorEastAsia" w:hAnsiTheme="minorEastAsia" w:eastAsiaTheme="minorEastAsia"/>
                <w:sz w:val="18"/>
                <w:szCs w:val="18"/>
              </w:rPr>
            </w:pPr>
          </w:p>
        </w:tc>
        <w:tc>
          <w:tcPr>
            <w:tcW w:w="714" w:type="pct"/>
            <w:vMerge w:val="continue"/>
            <w:vAlign w:val="center"/>
          </w:tcPr>
          <w:p>
            <w:pPr>
              <w:snapToGrid w:val="0"/>
              <w:jc w:val="center"/>
              <w:rPr>
                <w:rFonts w:cs="宋体" w:asciiTheme="minorEastAsia" w:hAnsiTheme="minorEastAsia" w:eastAsiaTheme="minorEastAsia"/>
                <w:sz w:val="18"/>
                <w:szCs w:val="18"/>
              </w:rPr>
            </w:pPr>
          </w:p>
        </w:tc>
        <w:tc>
          <w:tcPr>
            <w:tcW w:w="1349" w:type="pct"/>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变配电设备</w:t>
            </w:r>
          </w:p>
        </w:tc>
        <w:tc>
          <w:tcPr>
            <w:tcW w:w="1111" w:type="pct"/>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设备失效</w:t>
            </w:r>
          </w:p>
        </w:tc>
        <w:tc>
          <w:tcPr>
            <w:tcW w:w="1031" w:type="pct"/>
            <w:vMerge w:val="continue"/>
            <w:vAlign w:val="center"/>
          </w:tcPr>
          <w:p>
            <w:pPr>
              <w:snapToGrid w:val="0"/>
              <w:jc w:val="center"/>
              <w:rPr>
                <w:rFonts w:cs="宋体" w:asciiTheme="minorEastAsia" w:hAnsiTheme="minorEastAsia" w:eastAsia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39" w:type="pct"/>
            <w:vAlign w:val="center"/>
          </w:tcPr>
          <w:p>
            <w:pPr>
              <w:widowControl w:val="0"/>
              <w:spacing w:line="400" w:lineRule="exact"/>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1</w:t>
            </w:r>
            <w:r>
              <w:rPr>
                <w:rFonts w:cs="宋体" w:asciiTheme="minorEastAsia" w:hAnsiTheme="minorEastAsia" w:eastAsiaTheme="minorEastAsia"/>
                <w:sz w:val="18"/>
                <w:szCs w:val="18"/>
              </w:rPr>
              <w:t>9</w:t>
            </w:r>
          </w:p>
        </w:tc>
        <w:tc>
          <w:tcPr>
            <w:tcW w:w="555" w:type="pct"/>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设备设施类</w:t>
            </w:r>
          </w:p>
        </w:tc>
        <w:tc>
          <w:tcPr>
            <w:tcW w:w="714" w:type="pct"/>
            <w:vAlign w:val="center"/>
          </w:tcPr>
          <w:p>
            <w:pPr>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特种设备</w:t>
            </w:r>
          </w:p>
        </w:tc>
        <w:tc>
          <w:tcPr>
            <w:tcW w:w="1349" w:type="pct"/>
            <w:vAlign w:val="center"/>
          </w:tcPr>
          <w:p>
            <w:pPr>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压力管道</w:t>
            </w:r>
          </w:p>
        </w:tc>
        <w:tc>
          <w:tcPr>
            <w:tcW w:w="1111" w:type="pct"/>
            <w:vAlign w:val="center"/>
          </w:tcPr>
          <w:p>
            <w:pPr>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水锤</w:t>
            </w:r>
          </w:p>
        </w:tc>
        <w:tc>
          <w:tcPr>
            <w:tcW w:w="1031" w:type="pct"/>
            <w:vAlign w:val="center"/>
          </w:tcPr>
          <w:p>
            <w:pPr>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设备设施破坏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39" w:type="pct"/>
            <w:vAlign w:val="center"/>
          </w:tcPr>
          <w:p>
            <w:pPr>
              <w:widowControl w:val="0"/>
              <w:spacing w:line="400" w:lineRule="exact"/>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2</w:t>
            </w:r>
            <w:r>
              <w:rPr>
                <w:rFonts w:cs="宋体" w:asciiTheme="minorEastAsia" w:hAnsiTheme="minorEastAsia" w:eastAsiaTheme="minorEastAsia"/>
                <w:sz w:val="18"/>
                <w:szCs w:val="18"/>
              </w:rPr>
              <w:t>0</w:t>
            </w:r>
          </w:p>
        </w:tc>
        <w:tc>
          <w:tcPr>
            <w:tcW w:w="555" w:type="pct"/>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作业活动类</w:t>
            </w:r>
          </w:p>
        </w:tc>
        <w:tc>
          <w:tcPr>
            <w:tcW w:w="714" w:type="pct"/>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作业活动</w:t>
            </w:r>
          </w:p>
        </w:tc>
        <w:tc>
          <w:tcPr>
            <w:tcW w:w="1349" w:type="pct"/>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操作运行作业（闸门运行及清污操作）</w:t>
            </w:r>
          </w:p>
        </w:tc>
        <w:tc>
          <w:tcPr>
            <w:tcW w:w="1111" w:type="pct"/>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作业人员未持证上岗、违反相关操作规程</w:t>
            </w:r>
          </w:p>
        </w:tc>
        <w:tc>
          <w:tcPr>
            <w:tcW w:w="1031" w:type="pct"/>
            <w:vMerge w:val="restart"/>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设备设施严重损（破）坏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39" w:type="pct"/>
            <w:vAlign w:val="center"/>
          </w:tcPr>
          <w:p>
            <w:pPr>
              <w:widowControl w:val="0"/>
              <w:spacing w:line="400" w:lineRule="exact"/>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2</w:t>
            </w:r>
            <w:r>
              <w:rPr>
                <w:rFonts w:cs="宋体" w:asciiTheme="minorEastAsia" w:hAnsiTheme="minorEastAsia" w:eastAsiaTheme="minorEastAsia"/>
                <w:sz w:val="18"/>
                <w:szCs w:val="18"/>
              </w:rPr>
              <w:t>1</w:t>
            </w:r>
          </w:p>
        </w:tc>
        <w:tc>
          <w:tcPr>
            <w:tcW w:w="555" w:type="pct"/>
            <w:vMerge w:val="restart"/>
            <w:vAlign w:val="center"/>
          </w:tcPr>
          <w:p>
            <w:pPr>
              <w:widowControl w:val="0"/>
              <w:spacing w:line="400" w:lineRule="exact"/>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管理类</w:t>
            </w:r>
          </w:p>
        </w:tc>
        <w:tc>
          <w:tcPr>
            <w:tcW w:w="714" w:type="pct"/>
            <w:vMerge w:val="restart"/>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运行管理</w:t>
            </w:r>
          </w:p>
        </w:tc>
        <w:tc>
          <w:tcPr>
            <w:tcW w:w="1349" w:type="pct"/>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安全鉴定与隐患治理</w:t>
            </w:r>
          </w:p>
        </w:tc>
        <w:tc>
          <w:tcPr>
            <w:tcW w:w="1111" w:type="pct"/>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未按规定开展或隐患治理未及时到位</w:t>
            </w:r>
          </w:p>
        </w:tc>
        <w:tc>
          <w:tcPr>
            <w:tcW w:w="1031" w:type="pct"/>
            <w:vMerge w:val="continue"/>
            <w:vAlign w:val="center"/>
          </w:tcPr>
          <w:p>
            <w:pPr>
              <w:snapToGrid w:val="0"/>
              <w:jc w:val="center"/>
              <w:rPr>
                <w:rFonts w:cs="宋体" w:asciiTheme="minorEastAsia" w:hAnsiTheme="minorEastAsia" w:eastAsia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39" w:type="pct"/>
            <w:vAlign w:val="center"/>
          </w:tcPr>
          <w:p>
            <w:pPr>
              <w:widowControl w:val="0"/>
              <w:spacing w:line="400" w:lineRule="exact"/>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22</w:t>
            </w:r>
          </w:p>
        </w:tc>
        <w:tc>
          <w:tcPr>
            <w:tcW w:w="555" w:type="pct"/>
            <w:vMerge w:val="continue"/>
            <w:vAlign w:val="center"/>
          </w:tcPr>
          <w:p>
            <w:pPr>
              <w:widowControl w:val="0"/>
              <w:spacing w:line="400" w:lineRule="exact"/>
              <w:jc w:val="center"/>
              <w:rPr>
                <w:rFonts w:cs="宋体" w:asciiTheme="minorEastAsia" w:hAnsiTheme="minorEastAsia" w:eastAsiaTheme="minorEastAsia"/>
                <w:sz w:val="18"/>
                <w:szCs w:val="18"/>
              </w:rPr>
            </w:pPr>
          </w:p>
        </w:tc>
        <w:tc>
          <w:tcPr>
            <w:tcW w:w="714" w:type="pct"/>
            <w:vMerge w:val="continue"/>
            <w:vAlign w:val="center"/>
          </w:tcPr>
          <w:p>
            <w:pPr>
              <w:snapToGrid w:val="0"/>
              <w:jc w:val="center"/>
              <w:rPr>
                <w:rFonts w:cs="宋体" w:asciiTheme="minorEastAsia" w:hAnsiTheme="minorEastAsia" w:eastAsiaTheme="minorEastAsia"/>
                <w:sz w:val="18"/>
                <w:szCs w:val="18"/>
              </w:rPr>
            </w:pPr>
          </w:p>
        </w:tc>
        <w:tc>
          <w:tcPr>
            <w:tcW w:w="1349" w:type="pct"/>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观测与监测</w:t>
            </w:r>
          </w:p>
        </w:tc>
        <w:tc>
          <w:tcPr>
            <w:tcW w:w="1111" w:type="pct"/>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未按规定开展</w:t>
            </w:r>
          </w:p>
        </w:tc>
        <w:tc>
          <w:tcPr>
            <w:tcW w:w="1031" w:type="pct"/>
            <w:vMerge w:val="continue"/>
            <w:vAlign w:val="center"/>
          </w:tcPr>
          <w:p>
            <w:pPr>
              <w:snapToGrid w:val="0"/>
              <w:jc w:val="center"/>
              <w:rPr>
                <w:rFonts w:cs="宋体" w:asciiTheme="minorEastAsia" w:hAnsiTheme="minorEastAsia" w:eastAsia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39" w:type="pct"/>
            <w:vAlign w:val="center"/>
          </w:tcPr>
          <w:p>
            <w:pPr>
              <w:widowControl w:val="0"/>
              <w:spacing w:line="400" w:lineRule="exact"/>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23</w:t>
            </w:r>
          </w:p>
        </w:tc>
        <w:tc>
          <w:tcPr>
            <w:tcW w:w="555" w:type="pct"/>
            <w:vMerge w:val="continue"/>
            <w:vAlign w:val="center"/>
          </w:tcPr>
          <w:p>
            <w:pPr>
              <w:widowControl w:val="0"/>
              <w:spacing w:line="400" w:lineRule="exact"/>
              <w:jc w:val="center"/>
              <w:rPr>
                <w:rFonts w:cs="宋体" w:asciiTheme="minorEastAsia" w:hAnsiTheme="minorEastAsia" w:eastAsiaTheme="minorEastAsia"/>
                <w:sz w:val="18"/>
                <w:szCs w:val="18"/>
              </w:rPr>
            </w:pPr>
          </w:p>
        </w:tc>
        <w:tc>
          <w:tcPr>
            <w:tcW w:w="714" w:type="pct"/>
            <w:vMerge w:val="continue"/>
            <w:vAlign w:val="center"/>
          </w:tcPr>
          <w:p>
            <w:pPr>
              <w:snapToGrid w:val="0"/>
              <w:jc w:val="center"/>
              <w:rPr>
                <w:rFonts w:cs="宋体" w:asciiTheme="minorEastAsia" w:hAnsiTheme="minorEastAsia" w:eastAsiaTheme="minorEastAsia"/>
                <w:sz w:val="18"/>
                <w:szCs w:val="18"/>
              </w:rPr>
            </w:pPr>
          </w:p>
        </w:tc>
        <w:tc>
          <w:tcPr>
            <w:tcW w:w="1349" w:type="pct"/>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安全检查</w:t>
            </w:r>
          </w:p>
        </w:tc>
        <w:tc>
          <w:tcPr>
            <w:tcW w:w="1111" w:type="pct"/>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未按规定开展或检查不到位</w:t>
            </w:r>
          </w:p>
        </w:tc>
        <w:tc>
          <w:tcPr>
            <w:tcW w:w="1031" w:type="pct"/>
            <w:vMerge w:val="continue"/>
            <w:vAlign w:val="center"/>
          </w:tcPr>
          <w:p>
            <w:pPr>
              <w:snapToGrid w:val="0"/>
              <w:jc w:val="center"/>
              <w:rPr>
                <w:rFonts w:cs="宋体" w:asciiTheme="minorEastAsia" w:hAnsiTheme="minorEastAsia" w:eastAsia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39" w:type="pct"/>
            <w:vAlign w:val="center"/>
          </w:tcPr>
          <w:p>
            <w:pPr>
              <w:widowControl w:val="0"/>
              <w:spacing w:line="400" w:lineRule="exact"/>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24</w:t>
            </w:r>
          </w:p>
        </w:tc>
        <w:tc>
          <w:tcPr>
            <w:tcW w:w="555" w:type="pct"/>
            <w:vMerge w:val="continue"/>
            <w:vAlign w:val="center"/>
          </w:tcPr>
          <w:p>
            <w:pPr>
              <w:widowControl w:val="0"/>
              <w:spacing w:line="400" w:lineRule="exact"/>
              <w:jc w:val="center"/>
              <w:rPr>
                <w:rFonts w:cs="宋体" w:asciiTheme="minorEastAsia" w:hAnsiTheme="minorEastAsia" w:eastAsiaTheme="minorEastAsia"/>
                <w:sz w:val="18"/>
                <w:szCs w:val="18"/>
              </w:rPr>
            </w:pPr>
          </w:p>
        </w:tc>
        <w:tc>
          <w:tcPr>
            <w:tcW w:w="714" w:type="pct"/>
            <w:vMerge w:val="continue"/>
            <w:vAlign w:val="center"/>
          </w:tcPr>
          <w:p>
            <w:pPr>
              <w:snapToGrid w:val="0"/>
              <w:jc w:val="center"/>
              <w:rPr>
                <w:rFonts w:cs="宋体" w:asciiTheme="minorEastAsia" w:hAnsiTheme="minorEastAsia" w:eastAsiaTheme="minorEastAsia"/>
                <w:sz w:val="18"/>
                <w:szCs w:val="18"/>
              </w:rPr>
            </w:pPr>
          </w:p>
        </w:tc>
        <w:tc>
          <w:tcPr>
            <w:tcW w:w="1349" w:type="pct"/>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外部人员的活动</w:t>
            </w:r>
          </w:p>
        </w:tc>
        <w:tc>
          <w:tcPr>
            <w:tcW w:w="1111" w:type="pct"/>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活动未经许可</w:t>
            </w:r>
          </w:p>
        </w:tc>
        <w:tc>
          <w:tcPr>
            <w:tcW w:w="1031" w:type="pct"/>
            <w:vMerge w:val="continue"/>
            <w:vAlign w:val="center"/>
          </w:tcPr>
          <w:p>
            <w:pPr>
              <w:snapToGrid w:val="0"/>
              <w:jc w:val="center"/>
              <w:rPr>
                <w:rFonts w:cs="宋体" w:asciiTheme="minorEastAsia" w:hAnsiTheme="minorEastAsia" w:eastAsia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39" w:type="pct"/>
            <w:vAlign w:val="center"/>
          </w:tcPr>
          <w:p>
            <w:pPr>
              <w:widowControl w:val="0"/>
              <w:spacing w:line="400" w:lineRule="exact"/>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25</w:t>
            </w:r>
          </w:p>
        </w:tc>
        <w:tc>
          <w:tcPr>
            <w:tcW w:w="555" w:type="pct"/>
            <w:vMerge w:val="continue"/>
            <w:vAlign w:val="center"/>
          </w:tcPr>
          <w:p>
            <w:pPr>
              <w:snapToGrid w:val="0"/>
              <w:jc w:val="center"/>
              <w:rPr>
                <w:rFonts w:cs="宋体" w:asciiTheme="minorEastAsia" w:hAnsiTheme="minorEastAsia" w:eastAsiaTheme="minorEastAsia"/>
                <w:sz w:val="18"/>
                <w:szCs w:val="18"/>
              </w:rPr>
            </w:pPr>
          </w:p>
        </w:tc>
        <w:tc>
          <w:tcPr>
            <w:tcW w:w="714" w:type="pct"/>
            <w:vMerge w:val="continue"/>
            <w:vAlign w:val="center"/>
          </w:tcPr>
          <w:p>
            <w:pPr>
              <w:snapToGrid w:val="0"/>
              <w:jc w:val="center"/>
              <w:rPr>
                <w:rFonts w:cs="宋体" w:asciiTheme="minorEastAsia" w:hAnsiTheme="minorEastAsia" w:eastAsiaTheme="minorEastAsia"/>
                <w:sz w:val="18"/>
                <w:szCs w:val="18"/>
              </w:rPr>
            </w:pPr>
          </w:p>
        </w:tc>
        <w:tc>
          <w:tcPr>
            <w:tcW w:w="1349" w:type="pct"/>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泄洪、放水或冲沙等</w:t>
            </w:r>
          </w:p>
        </w:tc>
        <w:tc>
          <w:tcPr>
            <w:tcW w:w="1111" w:type="pct"/>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警示、预警工作不到位</w:t>
            </w:r>
          </w:p>
        </w:tc>
        <w:tc>
          <w:tcPr>
            <w:tcW w:w="1031" w:type="pct"/>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影响公共安全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39" w:type="pct"/>
            <w:vAlign w:val="center"/>
          </w:tcPr>
          <w:p>
            <w:pPr>
              <w:widowControl w:val="0"/>
              <w:spacing w:line="400" w:lineRule="exact"/>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26</w:t>
            </w:r>
          </w:p>
        </w:tc>
        <w:tc>
          <w:tcPr>
            <w:tcW w:w="555" w:type="pct"/>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环境类</w:t>
            </w:r>
          </w:p>
        </w:tc>
        <w:tc>
          <w:tcPr>
            <w:tcW w:w="714" w:type="pct"/>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自然环境</w:t>
            </w:r>
          </w:p>
        </w:tc>
        <w:tc>
          <w:tcPr>
            <w:tcW w:w="1349" w:type="pct"/>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自然灾害</w:t>
            </w:r>
          </w:p>
        </w:tc>
        <w:tc>
          <w:tcPr>
            <w:tcW w:w="1111" w:type="pct"/>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山洪、泥石流、山体滑坡等</w:t>
            </w:r>
          </w:p>
        </w:tc>
        <w:tc>
          <w:tcPr>
            <w:tcW w:w="1031" w:type="pct"/>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工程及设备严重损（破）坏，人员重大伤亡</w:t>
            </w:r>
          </w:p>
        </w:tc>
      </w:tr>
    </w:tbl>
    <w:p>
      <w:pPr>
        <w:rPr>
          <w:rFonts w:asciiTheme="minorEastAsia" w:hAnsiTheme="minorEastAsia" w:eastAsiaTheme="minorEastAsia"/>
          <w:sz w:val="21"/>
          <w:szCs w:val="21"/>
        </w:rPr>
        <w:sectPr>
          <w:pgSz w:w="11906" w:h="16838"/>
          <w:pgMar w:top="1440" w:right="1797" w:bottom="1440" w:left="1797" w:header="851" w:footer="992" w:gutter="0"/>
          <w:cols w:space="425" w:num="1"/>
          <w:docGrid w:type="lines" w:linePitch="435" w:charSpace="0"/>
        </w:sectPr>
      </w:pPr>
    </w:p>
    <w:p>
      <w:pPr>
        <w:jc w:val="center"/>
        <w:outlineLvl w:val="0"/>
        <w:rPr>
          <w:rFonts w:ascii="方正小标宋_GBK" w:hAnsi="黑体" w:eastAsia="方正小标宋_GBK"/>
          <w:b/>
          <w:bCs/>
          <w:sz w:val="28"/>
          <w:szCs w:val="28"/>
        </w:rPr>
      </w:pPr>
      <w:bookmarkStart w:id="88" w:name="_Toc119336580"/>
      <w:bookmarkStart w:id="89" w:name="_Hlk117455741"/>
      <w:bookmarkStart w:id="90" w:name="_Toc117541299"/>
      <w:r>
        <w:rPr>
          <w:rFonts w:hint="eastAsia" w:ascii="方正小标宋_GBK" w:hAnsi="黑体" w:eastAsia="方正小标宋_GBK"/>
          <w:b/>
          <w:bCs/>
          <w:sz w:val="28"/>
          <w:szCs w:val="28"/>
        </w:rPr>
        <w:t>附录A.4</w:t>
      </w:r>
      <w:bookmarkEnd w:id="88"/>
      <w:bookmarkEnd w:id="89"/>
      <w:bookmarkEnd w:id="90"/>
    </w:p>
    <w:p>
      <w:pPr>
        <w:jc w:val="center"/>
        <w:rPr>
          <w:rFonts w:ascii="方正小标宋_GBK" w:hAnsi="黑体" w:eastAsia="方正小标宋_GBK"/>
          <w:b/>
          <w:bCs/>
          <w:sz w:val="28"/>
          <w:szCs w:val="28"/>
        </w:rPr>
      </w:pPr>
      <w:r>
        <w:rPr>
          <w:rFonts w:hint="eastAsia" w:ascii="方正小标宋_GBK" w:hAnsi="黑体" w:eastAsia="方正小标宋_GBK"/>
          <w:b/>
          <w:bCs/>
          <w:sz w:val="28"/>
          <w:szCs w:val="28"/>
        </w:rPr>
        <w:t>（资料性附录）</w:t>
      </w:r>
    </w:p>
    <w:p>
      <w:pPr>
        <w:jc w:val="center"/>
        <w:rPr>
          <w:rFonts w:ascii="方正小标宋_GBK" w:hAnsi="黑体" w:eastAsia="方正小标宋_GBK"/>
          <w:b/>
          <w:bCs/>
          <w:sz w:val="28"/>
          <w:szCs w:val="28"/>
        </w:rPr>
      </w:pPr>
    </w:p>
    <w:p>
      <w:pPr>
        <w:jc w:val="center"/>
        <w:outlineLvl w:val="1"/>
        <w:rPr>
          <w:rFonts w:ascii="方正小标宋_GBK" w:hAnsi="黑体" w:eastAsia="方正小标宋_GBK"/>
          <w:b/>
          <w:bCs/>
          <w:sz w:val="28"/>
          <w:szCs w:val="28"/>
        </w:rPr>
      </w:pPr>
      <w:bookmarkStart w:id="91" w:name="_Toc117541300"/>
      <w:bookmarkStart w:id="92" w:name="_Toc119336581"/>
      <w:r>
        <w:rPr>
          <w:rFonts w:hint="eastAsia" w:ascii="方正小标宋_GBK" w:hAnsi="黑体" w:eastAsia="方正小标宋_GBK"/>
          <w:b/>
          <w:bCs/>
          <w:sz w:val="28"/>
          <w:szCs w:val="28"/>
        </w:rPr>
        <w:t>水闸工程运行重大危险源清单</w:t>
      </w:r>
      <w:bookmarkEnd w:id="91"/>
      <w:bookmarkEnd w:id="92"/>
    </w:p>
    <w:tbl>
      <w:tblPr>
        <w:tblStyle w:val="3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7"/>
        <w:gridCol w:w="988"/>
        <w:gridCol w:w="1275"/>
        <w:gridCol w:w="2410"/>
        <w:gridCol w:w="1985"/>
        <w:gridCol w:w="20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vAlign w:val="center"/>
          </w:tcPr>
          <w:p>
            <w:pPr>
              <w:snapToGrid w:val="0"/>
              <w:jc w:val="center"/>
              <w:rPr>
                <w:rFonts w:cs="宋体" w:asciiTheme="minorEastAsia" w:hAnsiTheme="minorEastAsia" w:eastAsiaTheme="minorEastAsia"/>
                <w:b/>
                <w:bCs/>
                <w:sz w:val="21"/>
              </w:rPr>
            </w:pPr>
            <w:r>
              <w:rPr>
                <w:rFonts w:hint="eastAsia" w:cs="宋体" w:asciiTheme="minorEastAsia" w:hAnsiTheme="minorEastAsia" w:eastAsiaTheme="minorEastAsia"/>
                <w:b/>
                <w:bCs/>
                <w:sz w:val="21"/>
              </w:rPr>
              <w:t>序号</w:t>
            </w:r>
          </w:p>
        </w:tc>
        <w:tc>
          <w:tcPr>
            <w:tcW w:w="988" w:type="dxa"/>
            <w:vAlign w:val="center"/>
          </w:tcPr>
          <w:p>
            <w:pPr>
              <w:snapToGrid w:val="0"/>
              <w:jc w:val="center"/>
              <w:rPr>
                <w:rFonts w:cs="宋体" w:asciiTheme="minorEastAsia" w:hAnsiTheme="minorEastAsia" w:eastAsiaTheme="minorEastAsia"/>
                <w:b/>
                <w:bCs/>
                <w:sz w:val="21"/>
              </w:rPr>
            </w:pPr>
            <w:r>
              <w:rPr>
                <w:rFonts w:hint="eastAsia" w:cs="宋体" w:asciiTheme="minorEastAsia" w:hAnsiTheme="minorEastAsia" w:eastAsiaTheme="minorEastAsia"/>
                <w:b/>
                <w:bCs/>
                <w:sz w:val="21"/>
              </w:rPr>
              <w:t>类别</w:t>
            </w:r>
          </w:p>
        </w:tc>
        <w:tc>
          <w:tcPr>
            <w:tcW w:w="1275" w:type="dxa"/>
            <w:vAlign w:val="center"/>
          </w:tcPr>
          <w:p>
            <w:pPr>
              <w:snapToGrid w:val="0"/>
              <w:jc w:val="center"/>
              <w:rPr>
                <w:rFonts w:cs="宋体" w:asciiTheme="minorEastAsia" w:hAnsiTheme="minorEastAsia" w:eastAsiaTheme="minorEastAsia"/>
                <w:b/>
                <w:bCs/>
                <w:sz w:val="21"/>
              </w:rPr>
            </w:pPr>
            <w:r>
              <w:rPr>
                <w:rFonts w:hint="eastAsia" w:cs="宋体" w:asciiTheme="minorEastAsia" w:hAnsiTheme="minorEastAsia" w:eastAsiaTheme="minorEastAsia"/>
                <w:b/>
                <w:bCs/>
                <w:sz w:val="21"/>
              </w:rPr>
              <w:t>项目</w:t>
            </w:r>
          </w:p>
        </w:tc>
        <w:tc>
          <w:tcPr>
            <w:tcW w:w="2410" w:type="dxa"/>
            <w:vAlign w:val="center"/>
          </w:tcPr>
          <w:p>
            <w:pPr>
              <w:snapToGrid w:val="0"/>
              <w:jc w:val="center"/>
              <w:rPr>
                <w:rFonts w:cs="宋体" w:asciiTheme="minorEastAsia" w:hAnsiTheme="minorEastAsia" w:eastAsiaTheme="minorEastAsia"/>
                <w:b/>
                <w:bCs/>
                <w:sz w:val="21"/>
              </w:rPr>
            </w:pPr>
            <w:r>
              <w:rPr>
                <w:rFonts w:hint="eastAsia" w:cs="宋体" w:asciiTheme="minorEastAsia" w:hAnsiTheme="minorEastAsia" w:eastAsiaTheme="minorEastAsia"/>
                <w:b/>
                <w:bCs/>
                <w:sz w:val="21"/>
              </w:rPr>
              <w:t>重大危险源</w:t>
            </w:r>
          </w:p>
        </w:tc>
        <w:tc>
          <w:tcPr>
            <w:tcW w:w="1985" w:type="dxa"/>
            <w:vAlign w:val="center"/>
          </w:tcPr>
          <w:p>
            <w:pPr>
              <w:snapToGrid w:val="0"/>
              <w:jc w:val="center"/>
              <w:rPr>
                <w:rFonts w:cs="宋体" w:asciiTheme="minorEastAsia" w:hAnsiTheme="minorEastAsia" w:eastAsiaTheme="minorEastAsia"/>
                <w:b/>
                <w:bCs/>
                <w:sz w:val="21"/>
              </w:rPr>
            </w:pPr>
            <w:r>
              <w:rPr>
                <w:rFonts w:hint="eastAsia" w:cs="宋体" w:asciiTheme="minorEastAsia" w:hAnsiTheme="minorEastAsia" w:eastAsiaTheme="minorEastAsia"/>
                <w:b/>
                <w:bCs/>
                <w:sz w:val="21"/>
              </w:rPr>
              <w:t>事故诱因</w:t>
            </w:r>
          </w:p>
        </w:tc>
        <w:tc>
          <w:tcPr>
            <w:tcW w:w="2064" w:type="dxa"/>
            <w:vAlign w:val="center"/>
          </w:tcPr>
          <w:p>
            <w:pPr>
              <w:snapToGrid w:val="0"/>
              <w:jc w:val="center"/>
              <w:rPr>
                <w:rFonts w:cs="宋体" w:asciiTheme="minorEastAsia" w:hAnsiTheme="minorEastAsia" w:eastAsiaTheme="minorEastAsia"/>
                <w:b/>
                <w:bCs/>
                <w:sz w:val="21"/>
              </w:rPr>
            </w:pPr>
            <w:r>
              <w:rPr>
                <w:rFonts w:hint="eastAsia" w:cs="宋体" w:asciiTheme="minorEastAsia" w:hAnsiTheme="minorEastAsia" w:eastAsiaTheme="minorEastAsia"/>
                <w:b/>
                <w:bCs/>
                <w:sz w:val="21"/>
              </w:rPr>
              <w:t>可能导致的后果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vAlign w:val="center"/>
          </w:tcPr>
          <w:p>
            <w:pPr>
              <w:widowControl w:val="0"/>
              <w:spacing w:line="400" w:lineRule="exact"/>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1</w:t>
            </w:r>
          </w:p>
        </w:tc>
        <w:tc>
          <w:tcPr>
            <w:tcW w:w="988" w:type="dxa"/>
            <w:vMerge w:val="restart"/>
            <w:vAlign w:val="center"/>
          </w:tcPr>
          <w:p>
            <w:pPr>
              <w:snapToGrid w:val="0"/>
              <w:jc w:val="center"/>
              <w:rPr>
                <w:rFonts w:cs="宋体" w:asciiTheme="minorEastAsia" w:hAnsiTheme="minorEastAsia" w:eastAsiaTheme="minorEastAsia"/>
                <w:sz w:val="21"/>
              </w:rPr>
            </w:pPr>
            <w:r>
              <w:rPr>
                <w:rFonts w:hint="eastAsia" w:cs="宋体" w:asciiTheme="minorEastAsia" w:hAnsiTheme="minorEastAsia" w:eastAsiaTheme="minorEastAsia"/>
                <w:sz w:val="21"/>
              </w:rPr>
              <w:t>构（建）筑物类</w:t>
            </w:r>
          </w:p>
        </w:tc>
        <w:tc>
          <w:tcPr>
            <w:tcW w:w="1275" w:type="dxa"/>
            <w:vAlign w:val="center"/>
          </w:tcPr>
          <w:p>
            <w:pPr>
              <w:snapToGrid w:val="0"/>
              <w:jc w:val="center"/>
              <w:rPr>
                <w:rFonts w:cs="宋体" w:asciiTheme="minorEastAsia" w:hAnsiTheme="minorEastAsia" w:eastAsiaTheme="minorEastAsia"/>
                <w:sz w:val="21"/>
              </w:rPr>
            </w:pPr>
            <w:r>
              <w:rPr>
                <w:rFonts w:hint="eastAsia" w:cs="宋体" w:asciiTheme="minorEastAsia" w:hAnsiTheme="minorEastAsia" w:eastAsiaTheme="minorEastAsia"/>
                <w:sz w:val="21"/>
              </w:rPr>
              <w:t>闸室段</w:t>
            </w:r>
          </w:p>
        </w:tc>
        <w:tc>
          <w:tcPr>
            <w:tcW w:w="2410" w:type="dxa"/>
            <w:vAlign w:val="center"/>
          </w:tcPr>
          <w:p>
            <w:pPr>
              <w:snapToGrid w:val="0"/>
              <w:jc w:val="center"/>
              <w:rPr>
                <w:rFonts w:cs="宋体" w:asciiTheme="minorEastAsia" w:hAnsiTheme="minorEastAsia" w:eastAsiaTheme="minorEastAsia"/>
                <w:sz w:val="21"/>
              </w:rPr>
            </w:pPr>
            <w:r>
              <w:rPr>
                <w:rFonts w:hint="eastAsia" w:cs="宋体" w:asciiTheme="minorEastAsia" w:hAnsiTheme="minorEastAsia" w:eastAsiaTheme="minorEastAsia"/>
                <w:sz w:val="21"/>
              </w:rPr>
              <w:t>底板、闸墩渗漏</w:t>
            </w:r>
          </w:p>
        </w:tc>
        <w:tc>
          <w:tcPr>
            <w:tcW w:w="1985" w:type="dxa"/>
            <w:vAlign w:val="center"/>
          </w:tcPr>
          <w:p>
            <w:pPr>
              <w:snapToGrid w:val="0"/>
              <w:jc w:val="center"/>
              <w:rPr>
                <w:rFonts w:cs="宋体" w:asciiTheme="minorEastAsia" w:hAnsiTheme="minorEastAsia" w:eastAsiaTheme="minorEastAsia"/>
                <w:sz w:val="21"/>
              </w:rPr>
            </w:pPr>
            <w:r>
              <w:rPr>
                <w:rFonts w:hint="eastAsia" w:cs="宋体" w:asciiTheme="minorEastAsia" w:hAnsiTheme="minorEastAsia" w:eastAsiaTheme="minorEastAsia"/>
                <w:sz w:val="21"/>
              </w:rPr>
              <w:t>渗漏异常、接缝破损、止水失效</w:t>
            </w:r>
          </w:p>
        </w:tc>
        <w:tc>
          <w:tcPr>
            <w:tcW w:w="2064" w:type="dxa"/>
            <w:vAlign w:val="center"/>
          </w:tcPr>
          <w:p>
            <w:pPr>
              <w:snapToGrid w:val="0"/>
              <w:jc w:val="center"/>
              <w:rPr>
                <w:rFonts w:cs="宋体" w:asciiTheme="minorEastAsia" w:hAnsiTheme="minorEastAsia" w:eastAsiaTheme="minorEastAsia"/>
                <w:sz w:val="21"/>
              </w:rPr>
            </w:pPr>
            <w:r>
              <w:rPr>
                <w:rFonts w:hint="eastAsia" w:cs="宋体" w:asciiTheme="minorEastAsia" w:hAnsiTheme="minorEastAsia" w:eastAsiaTheme="minorEastAsia"/>
                <w:sz w:val="21"/>
              </w:rPr>
              <w:t>沉降、位移、失稳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vAlign w:val="center"/>
          </w:tcPr>
          <w:p>
            <w:pPr>
              <w:widowControl w:val="0"/>
              <w:spacing w:line="400" w:lineRule="exact"/>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2</w:t>
            </w:r>
          </w:p>
        </w:tc>
        <w:tc>
          <w:tcPr>
            <w:tcW w:w="988" w:type="dxa"/>
            <w:vMerge w:val="continue"/>
            <w:vAlign w:val="center"/>
          </w:tcPr>
          <w:p>
            <w:pPr>
              <w:snapToGrid w:val="0"/>
              <w:jc w:val="center"/>
              <w:rPr>
                <w:rFonts w:cs="宋体" w:asciiTheme="minorEastAsia" w:hAnsiTheme="minorEastAsia" w:eastAsiaTheme="minorEastAsia"/>
                <w:sz w:val="21"/>
              </w:rPr>
            </w:pPr>
          </w:p>
        </w:tc>
        <w:tc>
          <w:tcPr>
            <w:tcW w:w="1275" w:type="dxa"/>
            <w:vMerge w:val="restart"/>
            <w:vAlign w:val="center"/>
          </w:tcPr>
          <w:p>
            <w:pPr>
              <w:snapToGrid w:val="0"/>
              <w:jc w:val="center"/>
              <w:rPr>
                <w:rFonts w:cs="宋体" w:asciiTheme="minorEastAsia" w:hAnsiTheme="minorEastAsia" w:eastAsiaTheme="minorEastAsia"/>
                <w:sz w:val="21"/>
              </w:rPr>
            </w:pPr>
            <w:r>
              <w:rPr>
                <w:rFonts w:hint="eastAsia" w:cs="宋体" w:asciiTheme="minorEastAsia" w:hAnsiTheme="minorEastAsia" w:eastAsiaTheme="minorEastAsia"/>
                <w:sz w:val="21"/>
              </w:rPr>
              <w:t>上下游连接段</w:t>
            </w:r>
          </w:p>
        </w:tc>
        <w:tc>
          <w:tcPr>
            <w:tcW w:w="2410" w:type="dxa"/>
            <w:vAlign w:val="center"/>
          </w:tcPr>
          <w:p>
            <w:pPr>
              <w:snapToGrid w:val="0"/>
              <w:jc w:val="center"/>
              <w:rPr>
                <w:rFonts w:cs="宋体" w:asciiTheme="minorEastAsia" w:hAnsiTheme="minorEastAsia" w:eastAsiaTheme="minorEastAsia"/>
                <w:sz w:val="21"/>
              </w:rPr>
            </w:pPr>
            <w:r>
              <w:rPr>
                <w:rFonts w:hint="eastAsia" w:cs="宋体" w:asciiTheme="minorEastAsia" w:hAnsiTheme="minorEastAsia" w:eastAsiaTheme="minorEastAsia"/>
                <w:sz w:val="21"/>
              </w:rPr>
              <w:t>消力池、海漫、防冲墙、铺盖、护坡、护底渗漏</w:t>
            </w:r>
          </w:p>
        </w:tc>
        <w:tc>
          <w:tcPr>
            <w:tcW w:w="1985" w:type="dxa"/>
            <w:vAlign w:val="center"/>
          </w:tcPr>
          <w:p>
            <w:pPr>
              <w:snapToGrid w:val="0"/>
              <w:jc w:val="center"/>
              <w:rPr>
                <w:rFonts w:cs="宋体" w:asciiTheme="minorEastAsia" w:hAnsiTheme="minorEastAsia" w:eastAsiaTheme="minorEastAsia"/>
                <w:sz w:val="21"/>
              </w:rPr>
            </w:pPr>
            <w:r>
              <w:rPr>
                <w:rFonts w:hint="eastAsia" w:cs="宋体" w:asciiTheme="minorEastAsia" w:hAnsiTheme="minorEastAsia" w:eastAsiaTheme="minorEastAsia"/>
                <w:sz w:val="21"/>
              </w:rPr>
              <w:t>渗漏异常、接缝破损、止水失效</w:t>
            </w:r>
          </w:p>
        </w:tc>
        <w:tc>
          <w:tcPr>
            <w:tcW w:w="2064" w:type="dxa"/>
            <w:vAlign w:val="center"/>
          </w:tcPr>
          <w:p>
            <w:pPr>
              <w:snapToGrid w:val="0"/>
              <w:jc w:val="center"/>
              <w:rPr>
                <w:rFonts w:cs="宋体" w:asciiTheme="minorEastAsia" w:hAnsiTheme="minorEastAsia" w:eastAsiaTheme="minorEastAsia"/>
                <w:sz w:val="21"/>
              </w:rPr>
            </w:pPr>
            <w:r>
              <w:rPr>
                <w:rFonts w:hint="eastAsia" w:cs="宋体" w:asciiTheme="minorEastAsia" w:hAnsiTheme="minorEastAsia" w:eastAsiaTheme="minorEastAsia"/>
                <w:sz w:val="21"/>
              </w:rPr>
              <w:t>沉降、位移、失稳、河道及岸坡冲毁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vAlign w:val="center"/>
          </w:tcPr>
          <w:p>
            <w:pPr>
              <w:widowControl w:val="0"/>
              <w:spacing w:line="400" w:lineRule="exact"/>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3</w:t>
            </w:r>
          </w:p>
        </w:tc>
        <w:tc>
          <w:tcPr>
            <w:tcW w:w="988" w:type="dxa"/>
            <w:vMerge w:val="continue"/>
            <w:vAlign w:val="center"/>
          </w:tcPr>
          <w:p>
            <w:pPr>
              <w:snapToGrid w:val="0"/>
              <w:jc w:val="center"/>
              <w:rPr>
                <w:rFonts w:cs="宋体" w:asciiTheme="minorEastAsia" w:hAnsiTheme="minorEastAsia" w:eastAsiaTheme="minorEastAsia"/>
                <w:sz w:val="21"/>
              </w:rPr>
            </w:pPr>
          </w:p>
        </w:tc>
        <w:tc>
          <w:tcPr>
            <w:tcW w:w="1275" w:type="dxa"/>
            <w:vMerge w:val="continue"/>
            <w:vAlign w:val="center"/>
          </w:tcPr>
          <w:p>
            <w:pPr>
              <w:snapToGrid w:val="0"/>
              <w:jc w:val="center"/>
              <w:rPr>
                <w:rFonts w:cs="宋体" w:asciiTheme="minorEastAsia" w:hAnsiTheme="minorEastAsia" w:eastAsiaTheme="minorEastAsia"/>
                <w:sz w:val="21"/>
              </w:rPr>
            </w:pPr>
          </w:p>
        </w:tc>
        <w:tc>
          <w:tcPr>
            <w:tcW w:w="2410" w:type="dxa"/>
            <w:vAlign w:val="center"/>
          </w:tcPr>
          <w:p>
            <w:pPr>
              <w:snapToGrid w:val="0"/>
              <w:jc w:val="center"/>
              <w:rPr>
                <w:rFonts w:cs="宋体" w:asciiTheme="minorEastAsia" w:hAnsiTheme="minorEastAsia" w:eastAsiaTheme="minorEastAsia"/>
                <w:sz w:val="21"/>
              </w:rPr>
            </w:pPr>
            <w:r>
              <w:rPr>
                <w:rFonts w:hint="eastAsia" w:cs="宋体" w:asciiTheme="minorEastAsia" w:hAnsiTheme="minorEastAsia" w:eastAsiaTheme="minorEastAsia"/>
                <w:sz w:val="21"/>
              </w:rPr>
              <w:t>岸、翼墙渗漏</w:t>
            </w:r>
          </w:p>
        </w:tc>
        <w:tc>
          <w:tcPr>
            <w:tcW w:w="1985" w:type="dxa"/>
            <w:vAlign w:val="center"/>
          </w:tcPr>
          <w:p>
            <w:pPr>
              <w:snapToGrid w:val="0"/>
              <w:jc w:val="center"/>
              <w:rPr>
                <w:rFonts w:cs="宋体" w:asciiTheme="minorEastAsia" w:hAnsiTheme="minorEastAsia" w:eastAsiaTheme="minorEastAsia"/>
                <w:sz w:val="21"/>
              </w:rPr>
            </w:pPr>
            <w:r>
              <w:rPr>
                <w:rFonts w:hint="eastAsia" w:cs="宋体" w:asciiTheme="minorEastAsia" w:hAnsiTheme="minorEastAsia" w:eastAsiaTheme="minorEastAsia"/>
                <w:sz w:val="21"/>
              </w:rPr>
              <w:t>渗漏异常、接缝破损、止水失效</w:t>
            </w:r>
          </w:p>
        </w:tc>
        <w:tc>
          <w:tcPr>
            <w:tcW w:w="2064" w:type="dxa"/>
            <w:vAlign w:val="center"/>
          </w:tcPr>
          <w:p>
            <w:pPr>
              <w:snapToGrid w:val="0"/>
              <w:jc w:val="center"/>
              <w:rPr>
                <w:rFonts w:cs="宋体" w:asciiTheme="minorEastAsia" w:hAnsiTheme="minorEastAsia" w:eastAsiaTheme="minorEastAsia"/>
                <w:sz w:val="21"/>
              </w:rPr>
            </w:pPr>
            <w:r>
              <w:rPr>
                <w:rFonts w:hint="eastAsia" w:cs="宋体" w:asciiTheme="minorEastAsia" w:hAnsiTheme="minorEastAsia" w:eastAsiaTheme="minorEastAsia"/>
                <w:sz w:val="21"/>
              </w:rPr>
              <w:t>墙后土体塌陷、位移、失稳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vAlign w:val="center"/>
          </w:tcPr>
          <w:p>
            <w:pPr>
              <w:widowControl w:val="0"/>
              <w:spacing w:line="400" w:lineRule="exact"/>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4</w:t>
            </w:r>
          </w:p>
        </w:tc>
        <w:tc>
          <w:tcPr>
            <w:tcW w:w="988" w:type="dxa"/>
            <w:vMerge w:val="continue"/>
            <w:vAlign w:val="center"/>
          </w:tcPr>
          <w:p>
            <w:pPr>
              <w:snapToGrid w:val="0"/>
              <w:jc w:val="center"/>
              <w:rPr>
                <w:rFonts w:cs="宋体" w:asciiTheme="minorEastAsia" w:hAnsiTheme="minorEastAsia" w:eastAsiaTheme="minorEastAsia"/>
                <w:sz w:val="21"/>
              </w:rPr>
            </w:pPr>
          </w:p>
        </w:tc>
        <w:tc>
          <w:tcPr>
            <w:tcW w:w="1275" w:type="dxa"/>
            <w:vMerge w:val="continue"/>
            <w:vAlign w:val="center"/>
          </w:tcPr>
          <w:p>
            <w:pPr>
              <w:snapToGrid w:val="0"/>
              <w:jc w:val="center"/>
              <w:rPr>
                <w:rFonts w:cs="宋体" w:asciiTheme="minorEastAsia" w:hAnsiTheme="minorEastAsia" w:eastAsiaTheme="minorEastAsia"/>
                <w:sz w:val="21"/>
              </w:rPr>
            </w:pPr>
          </w:p>
        </w:tc>
        <w:tc>
          <w:tcPr>
            <w:tcW w:w="2410" w:type="dxa"/>
            <w:vAlign w:val="center"/>
          </w:tcPr>
          <w:p>
            <w:pPr>
              <w:snapToGrid w:val="0"/>
              <w:jc w:val="center"/>
              <w:rPr>
                <w:rFonts w:cs="宋体" w:asciiTheme="minorEastAsia" w:hAnsiTheme="minorEastAsia" w:eastAsiaTheme="minorEastAsia"/>
                <w:sz w:val="21"/>
              </w:rPr>
            </w:pPr>
            <w:r>
              <w:rPr>
                <w:rFonts w:hint="eastAsia" w:cs="宋体" w:asciiTheme="minorEastAsia" w:hAnsiTheme="minorEastAsia" w:eastAsiaTheme="minorEastAsia"/>
                <w:sz w:val="21"/>
              </w:rPr>
              <w:t>岸、翼墙排水</w:t>
            </w:r>
          </w:p>
        </w:tc>
        <w:tc>
          <w:tcPr>
            <w:tcW w:w="1985" w:type="dxa"/>
            <w:vAlign w:val="center"/>
          </w:tcPr>
          <w:p>
            <w:pPr>
              <w:snapToGrid w:val="0"/>
              <w:jc w:val="center"/>
              <w:rPr>
                <w:rFonts w:cs="宋体" w:asciiTheme="minorEastAsia" w:hAnsiTheme="minorEastAsia" w:eastAsiaTheme="minorEastAsia"/>
                <w:sz w:val="21"/>
              </w:rPr>
            </w:pPr>
            <w:r>
              <w:rPr>
                <w:rFonts w:hint="eastAsia" w:cs="宋体" w:asciiTheme="minorEastAsia" w:hAnsiTheme="minorEastAsia" w:eastAsiaTheme="minorEastAsia"/>
                <w:sz w:val="21"/>
              </w:rPr>
              <w:t>排水异常、排水设施失效及边坡截排水沟不畅</w:t>
            </w:r>
          </w:p>
        </w:tc>
        <w:tc>
          <w:tcPr>
            <w:tcW w:w="2064" w:type="dxa"/>
            <w:vAlign w:val="center"/>
          </w:tcPr>
          <w:p>
            <w:pPr>
              <w:snapToGrid w:val="0"/>
              <w:jc w:val="center"/>
              <w:rPr>
                <w:rFonts w:cs="宋体" w:asciiTheme="minorEastAsia" w:hAnsiTheme="minorEastAsia" w:eastAsiaTheme="minorEastAsia"/>
                <w:sz w:val="21"/>
              </w:rPr>
            </w:pPr>
            <w:r>
              <w:rPr>
                <w:rFonts w:hint="eastAsia" w:cs="宋体" w:asciiTheme="minorEastAsia" w:hAnsiTheme="minorEastAsia" w:eastAsiaTheme="minorEastAsia"/>
                <w:sz w:val="21"/>
              </w:rPr>
              <w:t>墙后土体塌陷、位移、失稳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vAlign w:val="center"/>
          </w:tcPr>
          <w:p>
            <w:pPr>
              <w:widowControl w:val="0"/>
              <w:spacing w:line="400" w:lineRule="exact"/>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5</w:t>
            </w:r>
          </w:p>
        </w:tc>
        <w:tc>
          <w:tcPr>
            <w:tcW w:w="988" w:type="dxa"/>
            <w:vMerge w:val="continue"/>
            <w:vAlign w:val="center"/>
          </w:tcPr>
          <w:p>
            <w:pPr>
              <w:widowControl w:val="0"/>
              <w:spacing w:line="400" w:lineRule="exact"/>
              <w:jc w:val="center"/>
              <w:rPr>
                <w:rFonts w:cs="宋体" w:asciiTheme="minorEastAsia" w:hAnsiTheme="minorEastAsia" w:eastAsiaTheme="minorEastAsia"/>
                <w:sz w:val="21"/>
                <w:szCs w:val="21"/>
              </w:rPr>
            </w:pPr>
          </w:p>
        </w:tc>
        <w:tc>
          <w:tcPr>
            <w:tcW w:w="1275" w:type="dxa"/>
            <w:vMerge w:val="continue"/>
            <w:vAlign w:val="center"/>
          </w:tcPr>
          <w:p>
            <w:pPr>
              <w:snapToGrid w:val="0"/>
              <w:jc w:val="center"/>
              <w:rPr>
                <w:rFonts w:cs="宋体" w:asciiTheme="minorEastAsia" w:hAnsiTheme="minorEastAsia" w:eastAsiaTheme="minorEastAsia"/>
                <w:sz w:val="21"/>
              </w:rPr>
            </w:pPr>
          </w:p>
        </w:tc>
        <w:tc>
          <w:tcPr>
            <w:tcW w:w="2410" w:type="dxa"/>
            <w:vAlign w:val="center"/>
          </w:tcPr>
          <w:p>
            <w:pPr>
              <w:snapToGrid w:val="0"/>
              <w:jc w:val="center"/>
              <w:rPr>
                <w:rFonts w:cs="宋体" w:asciiTheme="minorEastAsia" w:hAnsiTheme="minorEastAsia" w:eastAsiaTheme="minorEastAsia"/>
                <w:sz w:val="21"/>
              </w:rPr>
            </w:pPr>
            <w:r>
              <w:rPr>
                <w:rFonts w:hint="eastAsia" w:cs="宋体" w:asciiTheme="minorEastAsia" w:hAnsiTheme="minorEastAsia" w:eastAsiaTheme="minorEastAsia"/>
                <w:sz w:val="21"/>
              </w:rPr>
              <w:t>岸、翼墙侧向渗流</w:t>
            </w:r>
          </w:p>
        </w:tc>
        <w:tc>
          <w:tcPr>
            <w:tcW w:w="1985" w:type="dxa"/>
            <w:vAlign w:val="center"/>
          </w:tcPr>
          <w:p>
            <w:pPr>
              <w:snapToGrid w:val="0"/>
              <w:jc w:val="center"/>
              <w:rPr>
                <w:rFonts w:cs="宋体" w:asciiTheme="minorEastAsia" w:hAnsiTheme="minorEastAsia" w:eastAsiaTheme="minorEastAsia"/>
                <w:sz w:val="21"/>
              </w:rPr>
            </w:pPr>
            <w:r>
              <w:rPr>
                <w:rFonts w:hint="eastAsia" w:cs="宋体" w:asciiTheme="minorEastAsia" w:hAnsiTheme="minorEastAsia" w:eastAsiaTheme="minorEastAsia"/>
                <w:sz w:val="21"/>
              </w:rPr>
              <w:t>侧向渗流异常、防渗设施不完善</w:t>
            </w:r>
          </w:p>
        </w:tc>
        <w:tc>
          <w:tcPr>
            <w:tcW w:w="2064" w:type="dxa"/>
            <w:vAlign w:val="center"/>
          </w:tcPr>
          <w:p>
            <w:pPr>
              <w:snapToGrid w:val="0"/>
              <w:jc w:val="center"/>
              <w:rPr>
                <w:rFonts w:cs="宋体" w:asciiTheme="minorEastAsia" w:hAnsiTheme="minorEastAsia" w:eastAsiaTheme="minorEastAsia"/>
                <w:sz w:val="21"/>
              </w:rPr>
            </w:pPr>
            <w:r>
              <w:rPr>
                <w:rFonts w:hint="eastAsia" w:cs="宋体" w:asciiTheme="minorEastAsia" w:hAnsiTheme="minorEastAsia" w:eastAsiaTheme="minorEastAsia"/>
                <w:sz w:val="21"/>
              </w:rPr>
              <w:t>位移、失稳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vAlign w:val="center"/>
          </w:tcPr>
          <w:p>
            <w:pPr>
              <w:widowControl w:val="0"/>
              <w:spacing w:line="400" w:lineRule="exact"/>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6</w:t>
            </w:r>
          </w:p>
        </w:tc>
        <w:tc>
          <w:tcPr>
            <w:tcW w:w="988" w:type="dxa"/>
            <w:vMerge w:val="continue"/>
            <w:vAlign w:val="center"/>
          </w:tcPr>
          <w:p>
            <w:pPr>
              <w:snapToGrid w:val="0"/>
              <w:jc w:val="center"/>
              <w:rPr>
                <w:rFonts w:cs="宋体" w:asciiTheme="minorEastAsia" w:hAnsiTheme="minorEastAsia" w:eastAsiaTheme="minorEastAsia"/>
                <w:sz w:val="21"/>
              </w:rPr>
            </w:pPr>
          </w:p>
        </w:tc>
        <w:tc>
          <w:tcPr>
            <w:tcW w:w="1275" w:type="dxa"/>
            <w:vMerge w:val="restart"/>
            <w:vAlign w:val="center"/>
          </w:tcPr>
          <w:p>
            <w:pPr>
              <w:widowControl w:val="0"/>
              <w:spacing w:line="400" w:lineRule="exact"/>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地基</w:t>
            </w:r>
          </w:p>
        </w:tc>
        <w:tc>
          <w:tcPr>
            <w:tcW w:w="2410" w:type="dxa"/>
            <w:vAlign w:val="center"/>
          </w:tcPr>
          <w:p>
            <w:pPr>
              <w:snapToGrid w:val="0"/>
              <w:jc w:val="center"/>
              <w:rPr>
                <w:rFonts w:cs="宋体" w:asciiTheme="minorEastAsia" w:hAnsiTheme="minorEastAsia" w:eastAsiaTheme="minorEastAsia"/>
                <w:sz w:val="21"/>
              </w:rPr>
            </w:pPr>
            <w:r>
              <w:rPr>
                <w:rFonts w:hint="eastAsia" w:cs="宋体" w:asciiTheme="minorEastAsia" w:hAnsiTheme="minorEastAsia" w:eastAsiaTheme="minorEastAsia"/>
                <w:sz w:val="21"/>
              </w:rPr>
              <w:t>地基地质条件</w:t>
            </w:r>
          </w:p>
        </w:tc>
        <w:tc>
          <w:tcPr>
            <w:tcW w:w="1985" w:type="dxa"/>
            <w:vAlign w:val="center"/>
          </w:tcPr>
          <w:p>
            <w:pPr>
              <w:snapToGrid w:val="0"/>
              <w:jc w:val="center"/>
              <w:rPr>
                <w:rFonts w:cs="宋体" w:asciiTheme="minorEastAsia" w:hAnsiTheme="minorEastAsia" w:eastAsiaTheme="minorEastAsia"/>
                <w:sz w:val="21"/>
              </w:rPr>
            </w:pPr>
            <w:r>
              <w:rPr>
                <w:rFonts w:hint="eastAsia" w:cs="宋体" w:asciiTheme="minorEastAsia" w:hAnsiTheme="minorEastAsia" w:eastAsiaTheme="minorEastAsia"/>
                <w:sz w:val="21"/>
              </w:rPr>
              <w:t>地基土或回填土流失、不良地质</w:t>
            </w:r>
          </w:p>
        </w:tc>
        <w:tc>
          <w:tcPr>
            <w:tcW w:w="2064" w:type="dxa"/>
            <w:vAlign w:val="center"/>
          </w:tcPr>
          <w:p>
            <w:pPr>
              <w:snapToGrid w:val="0"/>
              <w:jc w:val="center"/>
              <w:rPr>
                <w:rFonts w:cs="宋体" w:asciiTheme="minorEastAsia" w:hAnsiTheme="minorEastAsia" w:eastAsiaTheme="minorEastAsia"/>
                <w:sz w:val="21"/>
              </w:rPr>
            </w:pPr>
            <w:r>
              <w:rPr>
                <w:rFonts w:hint="eastAsia" w:cs="宋体" w:asciiTheme="minorEastAsia" w:hAnsiTheme="minorEastAsia" w:eastAsiaTheme="minorEastAsia"/>
                <w:sz w:val="21"/>
              </w:rPr>
              <w:t>沉降、变形、位移、失稳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vAlign w:val="center"/>
          </w:tcPr>
          <w:p>
            <w:pPr>
              <w:widowControl w:val="0"/>
              <w:spacing w:line="400" w:lineRule="exact"/>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7</w:t>
            </w:r>
          </w:p>
        </w:tc>
        <w:tc>
          <w:tcPr>
            <w:tcW w:w="988" w:type="dxa"/>
            <w:vMerge w:val="continue"/>
            <w:vAlign w:val="center"/>
          </w:tcPr>
          <w:p>
            <w:pPr>
              <w:widowControl w:val="0"/>
              <w:spacing w:line="400" w:lineRule="exact"/>
              <w:jc w:val="center"/>
              <w:rPr>
                <w:rFonts w:cs="宋体" w:asciiTheme="minorEastAsia" w:hAnsiTheme="minorEastAsia" w:eastAsiaTheme="minorEastAsia"/>
                <w:sz w:val="21"/>
                <w:szCs w:val="21"/>
              </w:rPr>
            </w:pPr>
          </w:p>
        </w:tc>
        <w:tc>
          <w:tcPr>
            <w:tcW w:w="1275" w:type="dxa"/>
            <w:vMerge w:val="continue"/>
            <w:vAlign w:val="center"/>
          </w:tcPr>
          <w:p>
            <w:pPr>
              <w:widowControl w:val="0"/>
              <w:spacing w:line="400" w:lineRule="exact"/>
              <w:jc w:val="center"/>
              <w:rPr>
                <w:rFonts w:cs="宋体" w:asciiTheme="minorEastAsia" w:hAnsiTheme="minorEastAsia" w:eastAsiaTheme="minorEastAsia"/>
                <w:sz w:val="21"/>
                <w:szCs w:val="21"/>
              </w:rPr>
            </w:pPr>
          </w:p>
        </w:tc>
        <w:tc>
          <w:tcPr>
            <w:tcW w:w="2410" w:type="dxa"/>
            <w:vAlign w:val="center"/>
          </w:tcPr>
          <w:p>
            <w:pPr>
              <w:snapToGrid w:val="0"/>
              <w:jc w:val="center"/>
              <w:rPr>
                <w:rFonts w:cs="宋体" w:asciiTheme="minorEastAsia" w:hAnsiTheme="minorEastAsia" w:eastAsiaTheme="minorEastAsia"/>
                <w:sz w:val="21"/>
              </w:rPr>
            </w:pPr>
            <w:r>
              <w:rPr>
                <w:rFonts w:hint="eastAsia" w:cs="宋体" w:asciiTheme="minorEastAsia" w:hAnsiTheme="minorEastAsia" w:eastAsiaTheme="minorEastAsia"/>
                <w:sz w:val="21"/>
              </w:rPr>
              <w:t>地基基底渗流</w:t>
            </w:r>
          </w:p>
        </w:tc>
        <w:tc>
          <w:tcPr>
            <w:tcW w:w="1985" w:type="dxa"/>
            <w:vAlign w:val="center"/>
          </w:tcPr>
          <w:p>
            <w:pPr>
              <w:snapToGrid w:val="0"/>
              <w:jc w:val="center"/>
              <w:rPr>
                <w:rFonts w:cs="宋体" w:asciiTheme="minorEastAsia" w:hAnsiTheme="minorEastAsia" w:eastAsiaTheme="minorEastAsia"/>
                <w:sz w:val="21"/>
              </w:rPr>
            </w:pPr>
            <w:r>
              <w:rPr>
                <w:rFonts w:hint="eastAsia" w:cs="宋体" w:asciiTheme="minorEastAsia" w:hAnsiTheme="minorEastAsia" w:eastAsiaTheme="minorEastAsia"/>
                <w:sz w:val="21"/>
              </w:rPr>
              <w:t>基底渗流异常、防渗设施不完善</w:t>
            </w:r>
          </w:p>
        </w:tc>
        <w:tc>
          <w:tcPr>
            <w:tcW w:w="2064" w:type="dxa"/>
            <w:vAlign w:val="center"/>
          </w:tcPr>
          <w:p>
            <w:pPr>
              <w:snapToGrid w:val="0"/>
              <w:jc w:val="center"/>
              <w:rPr>
                <w:rFonts w:cs="宋体" w:asciiTheme="minorEastAsia" w:hAnsiTheme="minorEastAsia" w:eastAsiaTheme="minorEastAsia"/>
                <w:sz w:val="21"/>
              </w:rPr>
            </w:pPr>
            <w:r>
              <w:rPr>
                <w:rFonts w:hint="eastAsia" w:cs="宋体" w:asciiTheme="minorEastAsia" w:hAnsiTheme="minorEastAsia" w:eastAsiaTheme="minorEastAsia"/>
                <w:sz w:val="21"/>
              </w:rPr>
              <w:t>沉降、位移、失稳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vAlign w:val="center"/>
          </w:tcPr>
          <w:p>
            <w:pPr>
              <w:widowControl w:val="0"/>
              <w:spacing w:line="400" w:lineRule="exact"/>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8</w:t>
            </w:r>
          </w:p>
        </w:tc>
        <w:tc>
          <w:tcPr>
            <w:tcW w:w="988" w:type="dxa"/>
            <w:vMerge w:val="restart"/>
            <w:vAlign w:val="center"/>
          </w:tcPr>
          <w:p>
            <w:pPr>
              <w:widowControl w:val="0"/>
              <w:spacing w:line="400" w:lineRule="exact"/>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金属结构类</w:t>
            </w:r>
          </w:p>
        </w:tc>
        <w:tc>
          <w:tcPr>
            <w:tcW w:w="1275" w:type="dxa"/>
            <w:vAlign w:val="center"/>
          </w:tcPr>
          <w:p>
            <w:pPr>
              <w:snapToGrid w:val="0"/>
              <w:jc w:val="center"/>
              <w:rPr>
                <w:rFonts w:cs="宋体" w:asciiTheme="minorEastAsia" w:hAnsiTheme="minorEastAsia" w:eastAsiaTheme="minorEastAsia"/>
                <w:sz w:val="21"/>
              </w:rPr>
            </w:pPr>
            <w:r>
              <w:rPr>
                <w:rFonts w:hint="eastAsia" w:cs="宋体" w:asciiTheme="minorEastAsia" w:hAnsiTheme="minorEastAsia" w:eastAsiaTheme="minorEastAsia"/>
                <w:sz w:val="21"/>
              </w:rPr>
              <w:t>闸门</w:t>
            </w:r>
          </w:p>
        </w:tc>
        <w:tc>
          <w:tcPr>
            <w:tcW w:w="2410" w:type="dxa"/>
            <w:vAlign w:val="center"/>
          </w:tcPr>
          <w:p>
            <w:pPr>
              <w:snapToGrid w:val="0"/>
              <w:jc w:val="center"/>
              <w:rPr>
                <w:rFonts w:cs="宋体" w:asciiTheme="minorEastAsia" w:hAnsiTheme="minorEastAsia" w:eastAsiaTheme="minorEastAsia"/>
                <w:sz w:val="21"/>
              </w:rPr>
            </w:pPr>
            <w:r>
              <w:rPr>
                <w:rFonts w:hint="eastAsia" w:cs="宋体" w:asciiTheme="minorEastAsia" w:hAnsiTheme="minorEastAsia" w:eastAsiaTheme="minorEastAsia"/>
                <w:sz w:val="21"/>
              </w:rPr>
              <w:t>工作闸门</w:t>
            </w:r>
          </w:p>
        </w:tc>
        <w:tc>
          <w:tcPr>
            <w:tcW w:w="1985" w:type="dxa"/>
            <w:vAlign w:val="center"/>
          </w:tcPr>
          <w:p>
            <w:pPr>
              <w:snapToGrid w:val="0"/>
              <w:jc w:val="center"/>
              <w:rPr>
                <w:rFonts w:cs="宋体" w:asciiTheme="minorEastAsia" w:hAnsiTheme="minorEastAsia" w:eastAsiaTheme="minorEastAsia"/>
                <w:sz w:val="21"/>
              </w:rPr>
            </w:pPr>
            <w:r>
              <w:rPr>
                <w:rFonts w:hint="eastAsia" w:cs="宋体" w:asciiTheme="minorEastAsia" w:hAnsiTheme="minorEastAsia" w:eastAsiaTheme="minorEastAsia"/>
                <w:sz w:val="21"/>
              </w:rPr>
              <w:t>闸门锈蚀、变形</w:t>
            </w:r>
          </w:p>
        </w:tc>
        <w:tc>
          <w:tcPr>
            <w:tcW w:w="2064" w:type="dxa"/>
            <w:vMerge w:val="restart"/>
            <w:vAlign w:val="center"/>
          </w:tcPr>
          <w:p>
            <w:pPr>
              <w:snapToGrid w:val="0"/>
              <w:jc w:val="center"/>
              <w:rPr>
                <w:rFonts w:cs="宋体" w:asciiTheme="minorEastAsia" w:hAnsiTheme="minorEastAsia" w:eastAsiaTheme="minorEastAsia"/>
                <w:sz w:val="21"/>
              </w:rPr>
            </w:pPr>
            <w:r>
              <w:rPr>
                <w:rFonts w:hint="eastAsia" w:cs="宋体" w:asciiTheme="minorEastAsia" w:hAnsiTheme="minorEastAsia" w:eastAsiaTheme="minorEastAsia"/>
                <w:sz w:val="21"/>
              </w:rPr>
              <w:t>闸门无法启闭或启闭不到位，严重影响行洪泄流安全，增加淹没范围或无法正常蓄水，失稳、位移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vAlign w:val="center"/>
          </w:tcPr>
          <w:p>
            <w:pPr>
              <w:widowControl w:val="0"/>
              <w:spacing w:line="400" w:lineRule="exact"/>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9</w:t>
            </w:r>
          </w:p>
        </w:tc>
        <w:tc>
          <w:tcPr>
            <w:tcW w:w="988" w:type="dxa"/>
            <w:vMerge w:val="continue"/>
            <w:vAlign w:val="center"/>
          </w:tcPr>
          <w:p>
            <w:pPr>
              <w:widowControl w:val="0"/>
              <w:spacing w:line="400" w:lineRule="exact"/>
              <w:jc w:val="center"/>
              <w:rPr>
                <w:rFonts w:cs="宋体" w:asciiTheme="minorEastAsia" w:hAnsiTheme="minorEastAsia" w:eastAsiaTheme="minorEastAsia"/>
                <w:sz w:val="21"/>
                <w:szCs w:val="21"/>
              </w:rPr>
            </w:pPr>
          </w:p>
        </w:tc>
        <w:tc>
          <w:tcPr>
            <w:tcW w:w="1275" w:type="dxa"/>
            <w:vAlign w:val="center"/>
          </w:tcPr>
          <w:p>
            <w:pPr>
              <w:snapToGrid w:val="0"/>
              <w:jc w:val="center"/>
              <w:rPr>
                <w:rFonts w:cs="宋体" w:asciiTheme="minorEastAsia" w:hAnsiTheme="minorEastAsia" w:eastAsiaTheme="minorEastAsia"/>
                <w:sz w:val="21"/>
              </w:rPr>
            </w:pPr>
            <w:r>
              <w:rPr>
                <w:rFonts w:hint="eastAsia" w:cs="宋体" w:asciiTheme="minorEastAsia" w:hAnsiTheme="minorEastAsia" w:eastAsiaTheme="minorEastAsia"/>
                <w:sz w:val="21"/>
              </w:rPr>
              <w:t>启闭机械</w:t>
            </w:r>
          </w:p>
        </w:tc>
        <w:tc>
          <w:tcPr>
            <w:tcW w:w="2410" w:type="dxa"/>
            <w:vAlign w:val="center"/>
          </w:tcPr>
          <w:p>
            <w:pPr>
              <w:snapToGrid w:val="0"/>
              <w:jc w:val="center"/>
              <w:rPr>
                <w:rFonts w:cs="宋体" w:asciiTheme="minorEastAsia" w:hAnsiTheme="minorEastAsia" w:eastAsiaTheme="minorEastAsia"/>
                <w:sz w:val="21"/>
              </w:rPr>
            </w:pPr>
            <w:r>
              <w:rPr>
                <w:rFonts w:hint="eastAsia" w:cs="宋体" w:asciiTheme="minorEastAsia" w:hAnsiTheme="minorEastAsia" w:eastAsiaTheme="minorEastAsia"/>
                <w:sz w:val="21"/>
              </w:rPr>
              <w:t>启闭机</w:t>
            </w:r>
          </w:p>
        </w:tc>
        <w:tc>
          <w:tcPr>
            <w:tcW w:w="1985" w:type="dxa"/>
            <w:vAlign w:val="center"/>
          </w:tcPr>
          <w:p>
            <w:pPr>
              <w:snapToGrid w:val="0"/>
              <w:jc w:val="center"/>
              <w:rPr>
                <w:rFonts w:cs="宋体" w:asciiTheme="minorEastAsia" w:hAnsiTheme="minorEastAsia" w:eastAsiaTheme="minorEastAsia"/>
                <w:sz w:val="21"/>
              </w:rPr>
            </w:pPr>
            <w:r>
              <w:rPr>
                <w:rFonts w:hint="eastAsia" w:cs="宋体" w:asciiTheme="minorEastAsia" w:hAnsiTheme="minorEastAsia" w:eastAsiaTheme="minorEastAsia"/>
                <w:sz w:val="21"/>
              </w:rPr>
              <w:t>启闭机无法正常运行</w:t>
            </w:r>
          </w:p>
        </w:tc>
        <w:tc>
          <w:tcPr>
            <w:tcW w:w="2064" w:type="dxa"/>
            <w:vMerge w:val="continue"/>
            <w:vAlign w:val="center"/>
          </w:tcPr>
          <w:p>
            <w:pPr>
              <w:snapToGrid w:val="0"/>
              <w:jc w:val="center"/>
              <w:rPr>
                <w:rFonts w:cs="宋体" w:asciiTheme="minorEastAsia" w:hAnsiTheme="minorEastAsia" w:eastAsiaTheme="minorEastAsia"/>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vAlign w:val="center"/>
          </w:tcPr>
          <w:p>
            <w:pPr>
              <w:widowControl w:val="0"/>
              <w:spacing w:line="400" w:lineRule="exact"/>
              <w:jc w:val="center"/>
              <w:rPr>
                <w:rFonts w:cs="宋体" w:asciiTheme="minorEastAsia" w:hAnsiTheme="minorEastAsia" w:eastAsiaTheme="minorEastAsia"/>
                <w:sz w:val="21"/>
                <w:szCs w:val="21"/>
              </w:rPr>
            </w:pPr>
            <w:r>
              <w:rPr>
                <w:rFonts w:cs="宋体" w:asciiTheme="minorEastAsia" w:hAnsiTheme="minorEastAsia" w:eastAsiaTheme="minorEastAsia"/>
                <w:sz w:val="21"/>
                <w:szCs w:val="21"/>
              </w:rPr>
              <w:t>10</w:t>
            </w:r>
          </w:p>
        </w:tc>
        <w:tc>
          <w:tcPr>
            <w:tcW w:w="988" w:type="dxa"/>
            <w:vMerge w:val="restart"/>
            <w:vAlign w:val="center"/>
          </w:tcPr>
          <w:p>
            <w:pPr>
              <w:snapToGrid w:val="0"/>
              <w:jc w:val="center"/>
              <w:rPr>
                <w:rFonts w:cs="宋体" w:asciiTheme="minorEastAsia" w:hAnsiTheme="minorEastAsia" w:eastAsiaTheme="minorEastAsia"/>
                <w:sz w:val="21"/>
              </w:rPr>
            </w:pPr>
            <w:r>
              <w:rPr>
                <w:rFonts w:hint="eastAsia" w:cs="宋体" w:asciiTheme="minorEastAsia" w:hAnsiTheme="minorEastAsia" w:eastAsiaTheme="minorEastAsia"/>
                <w:sz w:val="21"/>
              </w:rPr>
              <w:t>设备设施类</w:t>
            </w:r>
          </w:p>
        </w:tc>
        <w:tc>
          <w:tcPr>
            <w:tcW w:w="1275" w:type="dxa"/>
            <w:vMerge w:val="restart"/>
            <w:vAlign w:val="center"/>
          </w:tcPr>
          <w:p>
            <w:pPr>
              <w:snapToGrid w:val="0"/>
              <w:jc w:val="center"/>
              <w:rPr>
                <w:rFonts w:cs="宋体" w:asciiTheme="minorEastAsia" w:hAnsiTheme="minorEastAsia" w:eastAsiaTheme="minorEastAsia"/>
                <w:sz w:val="21"/>
              </w:rPr>
            </w:pPr>
            <w:r>
              <w:rPr>
                <w:rFonts w:hint="eastAsia" w:cs="宋体" w:asciiTheme="minorEastAsia" w:hAnsiTheme="minorEastAsia" w:eastAsiaTheme="minorEastAsia"/>
                <w:sz w:val="21"/>
              </w:rPr>
              <w:t>电气设备</w:t>
            </w:r>
          </w:p>
        </w:tc>
        <w:tc>
          <w:tcPr>
            <w:tcW w:w="2410" w:type="dxa"/>
            <w:vAlign w:val="center"/>
          </w:tcPr>
          <w:p>
            <w:pPr>
              <w:snapToGrid w:val="0"/>
              <w:jc w:val="center"/>
              <w:rPr>
                <w:rFonts w:cs="宋体" w:asciiTheme="minorEastAsia" w:hAnsiTheme="minorEastAsia" w:eastAsiaTheme="minorEastAsia"/>
                <w:sz w:val="21"/>
              </w:rPr>
            </w:pPr>
            <w:r>
              <w:rPr>
                <w:rFonts w:hint="eastAsia" w:cs="宋体" w:asciiTheme="minorEastAsia" w:hAnsiTheme="minorEastAsia" w:eastAsiaTheme="minorEastAsia"/>
                <w:sz w:val="21"/>
              </w:rPr>
              <w:t>闸门启闭控制设备</w:t>
            </w:r>
          </w:p>
        </w:tc>
        <w:tc>
          <w:tcPr>
            <w:tcW w:w="1985" w:type="dxa"/>
            <w:vAlign w:val="center"/>
          </w:tcPr>
          <w:p>
            <w:pPr>
              <w:snapToGrid w:val="0"/>
              <w:jc w:val="center"/>
              <w:rPr>
                <w:rFonts w:cs="宋体" w:asciiTheme="minorEastAsia" w:hAnsiTheme="minorEastAsia" w:eastAsiaTheme="minorEastAsia"/>
                <w:sz w:val="21"/>
              </w:rPr>
            </w:pPr>
            <w:r>
              <w:rPr>
                <w:rFonts w:hint="eastAsia" w:cs="宋体" w:asciiTheme="minorEastAsia" w:hAnsiTheme="minorEastAsia" w:eastAsiaTheme="minorEastAsia"/>
                <w:sz w:val="21"/>
              </w:rPr>
              <w:t>控制功能失效</w:t>
            </w:r>
          </w:p>
        </w:tc>
        <w:tc>
          <w:tcPr>
            <w:tcW w:w="2064" w:type="dxa"/>
            <w:vMerge w:val="continue"/>
            <w:vAlign w:val="center"/>
          </w:tcPr>
          <w:p>
            <w:pPr>
              <w:snapToGrid w:val="0"/>
              <w:jc w:val="center"/>
              <w:rPr>
                <w:rFonts w:cs="宋体" w:asciiTheme="minorEastAsia" w:hAnsiTheme="minorEastAsia" w:eastAsiaTheme="minorEastAsia"/>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vAlign w:val="center"/>
          </w:tcPr>
          <w:p>
            <w:pPr>
              <w:widowControl w:val="0"/>
              <w:spacing w:line="400" w:lineRule="exact"/>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1</w:t>
            </w:r>
            <w:r>
              <w:rPr>
                <w:rFonts w:cs="宋体" w:asciiTheme="minorEastAsia" w:hAnsiTheme="minorEastAsia" w:eastAsiaTheme="minorEastAsia"/>
                <w:sz w:val="21"/>
                <w:szCs w:val="21"/>
              </w:rPr>
              <w:t>1</w:t>
            </w:r>
          </w:p>
        </w:tc>
        <w:tc>
          <w:tcPr>
            <w:tcW w:w="988" w:type="dxa"/>
            <w:vMerge w:val="continue"/>
            <w:vAlign w:val="center"/>
          </w:tcPr>
          <w:p>
            <w:pPr>
              <w:snapToGrid w:val="0"/>
              <w:jc w:val="center"/>
              <w:rPr>
                <w:rFonts w:cs="宋体" w:asciiTheme="minorEastAsia" w:hAnsiTheme="minorEastAsia" w:eastAsiaTheme="minorEastAsia"/>
                <w:sz w:val="21"/>
              </w:rPr>
            </w:pPr>
          </w:p>
        </w:tc>
        <w:tc>
          <w:tcPr>
            <w:tcW w:w="1275" w:type="dxa"/>
            <w:vMerge w:val="continue"/>
            <w:vAlign w:val="center"/>
          </w:tcPr>
          <w:p>
            <w:pPr>
              <w:snapToGrid w:val="0"/>
              <w:jc w:val="center"/>
              <w:rPr>
                <w:rFonts w:cs="宋体" w:asciiTheme="minorEastAsia" w:hAnsiTheme="minorEastAsia" w:eastAsiaTheme="minorEastAsia"/>
                <w:sz w:val="21"/>
              </w:rPr>
            </w:pPr>
          </w:p>
        </w:tc>
        <w:tc>
          <w:tcPr>
            <w:tcW w:w="2410" w:type="dxa"/>
            <w:vAlign w:val="center"/>
          </w:tcPr>
          <w:p>
            <w:pPr>
              <w:snapToGrid w:val="0"/>
              <w:jc w:val="center"/>
              <w:rPr>
                <w:rFonts w:cs="宋体" w:asciiTheme="minorEastAsia" w:hAnsiTheme="minorEastAsia" w:eastAsiaTheme="minorEastAsia"/>
                <w:sz w:val="21"/>
              </w:rPr>
            </w:pPr>
            <w:r>
              <w:rPr>
                <w:rFonts w:hint="eastAsia" w:cs="宋体" w:asciiTheme="minorEastAsia" w:hAnsiTheme="minorEastAsia" w:eastAsiaTheme="minorEastAsia"/>
                <w:sz w:val="21"/>
              </w:rPr>
              <w:t>变配电设备</w:t>
            </w:r>
          </w:p>
        </w:tc>
        <w:tc>
          <w:tcPr>
            <w:tcW w:w="1985" w:type="dxa"/>
            <w:vAlign w:val="center"/>
          </w:tcPr>
          <w:p>
            <w:pPr>
              <w:snapToGrid w:val="0"/>
              <w:jc w:val="center"/>
              <w:rPr>
                <w:rFonts w:cs="宋体" w:asciiTheme="minorEastAsia" w:hAnsiTheme="minorEastAsia" w:eastAsiaTheme="minorEastAsia"/>
                <w:sz w:val="21"/>
              </w:rPr>
            </w:pPr>
            <w:r>
              <w:rPr>
                <w:rFonts w:hint="eastAsia" w:cs="宋体" w:asciiTheme="minorEastAsia" w:hAnsiTheme="minorEastAsia" w:eastAsiaTheme="minorEastAsia"/>
                <w:sz w:val="21"/>
              </w:rPr>
              <w:t>设备失效</w:t>
            </w:r>
          </w:p>
        </w:tc>
        <w:tc>
          <w:tcPr>
            <w:tcW w:w="2064" w:type="dxa"/>
            <w:vMerge w:val="continue"/>
            <w:vAlign w:val="center"/>
          </w:tcPr>
          <w:p>
            <w:pPr>
              <w:snapToGrid w:val="0"/>
              <w:jc w:val="center"/>
              <w:rPr>
                <w:rFonts w:cs="宋体" w:asciiTheme="minorEastAsia" w:hAnsiTheme="minorEastAsia" w:eastAsiaTheme="minorEastAsia"/>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vAlign w:val="center"/>
          </w:tcPr>
          <w:p>
            <w:pPr>
              <w:widowControl w:val="0"/>
              <w:spacing w:line="400" w:lineRule="exact"/>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1</w:t>
            </w:r>
            <w:r>
              <w:rPr>
                <w:rFonts w:cs="宋体" w:asciiTheme="minorEastAsia" w:hAnsiTheme="minorEastAsia" w:eastAsiaTheme="minorEastAsia"/>
                <w:sz w:val="21"/>
                <w:szCs w:val="21"/>
              </w:rPr>
              <w:t>2</w:t>
            </w:r>
          </w:p>
        </w:tc>
        <w:tc>
          <w:tcPr>
            <w:tcW w:w="988" w:type="dxa"/>
            <w:vAlign w:val="center"/>
          </w:tcPr>
          <w:p>
            <w:pPr>
              <w:snapToGrid w:val="0"/>
              <w:jc w:val="center"/>
              <w:rPr>
                <w:rFonts w:cs="宋体" w:asciiTheme="minorEastAsia" w:hAnsiTheme="minorEastAsia" w:eastAsiaTheme="minorEastAsia"/>
                <w:sz w:val="21"/>
              </w:rPr>
            </w:pPr>
            <w:r>
              <w:rPr>
                <w:rFonts w:hint="eastAsia" w:cs="宋体" w:asciiTheme="minorEastAsia" w:hAnsiTheme="minorEastAsia" w:eastAsiaTheme="minorEastAsia"/>
                <w:sz w:val="21"/>
              </w:rPr>
              <w:t>作业活动类</w:t>
            </w:r>
          </w:p>
        </w:tc>
        <w:tc>
          <w:tcPr>
            <w:tcW w:w="1275" w:type="dxa"/>
            <w:vAlign w:val="center"/>
          </w:tcPr>
          <w:p>
            <w:pPr>
              <w:snapToGrid w:val="0"/>
              <w:jc w:val="center"/>
              <w:rPr>
                <w:rFonts w:cs="宋体" w:asciiTheme="minorEastAsia" w:hAnsiTheme="minorEastAsia" w:eastAsiaTheme="minorEastAsia"/>
                <w:sz w:val="21"/>
              </w:rPr>
            </w:pPr>
            <w:r>
              <w:rPr>
                <w:rFonts w:hint="eastAsia" w:cs="宋体" w:asciiTheme="minorEastAsia" w:hAnsiTheme="minorEastAsia" w:eastAsiaTheme="minorEastAsia"/>
                <w:sz w:val="21"/>
              </w:rPr>
              <w:t>作业活动</w:t>
            </w:r>
          </w:p>
        </w:tc>
        <w:tc>
          <w:tcPr>
            <w:tcW w:w="2410" w:type="dxa"/>
            <w:vAlign w:val="center"/>
          </w:tcPr>
          <w:p>
            <w:pPr>
              <w:snapToGrid w:val="0"/>
              <w:jc w:val="center"/>
              <w:rPr>
                <w:rFonts w:cs="宋体" w:asciiTheme="minorEastAsia" w:hAnsiTheme="minorEastAsia" w:eastAsiaTheme="minorEastAsia"/>
                <w:sz w:val="21"/>
              </w:rPr>
            </w:pPr>
            <w:r>
              <w:rPr>
                <w:rFonts w:hint="eastAsia" w:cs="宋体" w:asciiTheme="minorEastAsia" w:hAnsiTheme="minorEastAsia" w:eastAsiaTheme="minorEastAsia"/>
                <w:sz w:val="21"/>
              </w:rPr>
              <w:t>操作运行作业</w:t>
            </w:r>
          </w:p>
        </w:tc>
        <w:tc>
          <w:tcPr>
            <w:tcW w:w="1985" w:type="dxa"/>
            <w:vAlign w:val="center"/>
          </w:tcPr>
          <w:p>
            <w:pPr>
              <w:snapToGrid w:val="0"/>
              <w:jc w:val="center"/>
              <w:rPr>
                <w:rFonts w:cs="宋体" w:asciiTheme="minorEastAsia" w:hAnsiTheme="minorEastAsia" w:eastAsiaTheme="minorEastAsia"/>
                <w:sz w:val="21"/>
              </w:rPr>
            </w:pPr>
            <w:r>
              <w:rPr>
                <w:rFonts w:hint="eastAsia" w:cs="宋体" w:asciiTheme="minorEastAsia" w:hAnsiTheme="minorEastAsia" w:eastAsiaTheme="minorEastAsia"/>
                <w:sz w:val="21"/>
              </w:rPr>
              <w:t>作业人员未持证上岗、违反相关操作规程</w:t>
            </w:r>
          </w:p>
        </w:tc>
        <w:tc>
          <w:tcPr>
            <w:tcW w:w="2064" w:type="dxa"/>
            <w:vMerge w:val="restart"/>
            <w:vAlign w:val="center"/>
          </w:tcPr>
          <w:p>
            <w:pPr>
              <w:snapToGrid w:val="0"/>
              <w:jc w:val="center"/>
              <w:rPr>
                <w:rFonts w:cs="宋体" w:asciiTheme="minorEastAsia" w:hAnsiTheme="minorEastAsia" w:eastAsiaTheme="minorEastAsia"/>
                <w:sz w:val="21"/>
              </w:rPr>
            </w:pPr>
            <w:r>
              <w:rPr>
                <w:rFonts w:hint="eastAsia" w:cs="宋体" w:asciiTheme="minorEastAsia" w:hAnsiTheme="minorEastAsia" w:eastAsiaTheme="minorEastAsia"/>
                <w:sz w:val="21"/>
              </w:rPr>
              <w:t>设备设施严重损（破）坏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427" w:type="dxa"/>
            <w:vAlign w:val="center"/>
          </w:tcPr>
          <w:p>
            <w:pPr>
              <w:widowControl w:val="0"/>
              <w:spacing w:line="400" w:lineRule="exact"/>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1</w:t>
            </w:r>
            <w:r>
              <w:rPr>
                <w:rFonts w:cs="宋体" w:asciiTheme="minorEastAsia" w:hAnsiTheme="minorEastAsia" w:eastAsiaTheme="minorEastAsia"/>
                <w:sz w:val="21"/>
                <w:szCs w:val="21"/>
              </w:rPr>
              <w:t>3</w:t>
            </w:r>
          </w:p>
        </w:tc>
        <w:tc>
          <w:tcPr>
            <w:tcW w:w="988" w:type="dxa"/>
            <w:vMerge w:val="restart"/>
            <w:vAlign w:val="center"/>
          </w:tcPr>
          <w:p>
            <w:pPr>
              <w:widowControl w:val="0"/>
              <w:spacing w:line="400" w:lineRule="exact"/>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管理类</w:t>
            </w:r>
          </w:p>
        </w:tc>
        <w:tc>
          <w:tcPr>
            <w:tcW w:w="1275" w:type="dxa"/>
            <w:vMerge w:val="restart"/>
            <w:vAlign w:val="center"/>
          </w:tcPr>
          <w:p>
            <w:pPr>
              <w:snapToGrid w:val="0"/>
              <w:jc w:val="center"/>
              <w:rPr>
                <w:rFonts w:cs="宋体" w:asciiTheme="minorEastAsia" w:hAnsiTheme="minorEastAsia" w:eastAsiaTheme="minorEastAsia"/>
                <w:sz w:val="21"/>
              </w:rPr>
            </w:pPr>
            <w:r>
              <w:rPr>
                <w:rFonts w:hint="eastAsia" w:cs="宋体" w:asciiTheme="minorEastAsia" w:hAnsiTheme="minorEastAsia" w:eastAsiaTheme="minorEastAsia"/>
                <w:sz w:val="21"/>
              </w:rPr>
              <w:t>运行管理</w:t>
            </w:r>
          </w:p>
        </w:tc>
        <w:tc>
          <w:tcPr>
            <w:tcW w:w="2410" w:type="dxa"/>
            <w:vAlign w:val="center"/>
          </w:tcPr>
          <w:p>
            <w:pPr>
              <w:snapToGrid w:val="0"/>
              <w:jc w:val="center"/>
              <w:rPr>
                <w:rFonts w:cs="宋体" w:asciiTheme="minorEastAsia" w:hAnsiTheme="minorEastAsia" w:eastAsiaTheme="minorEastAsia"/>
                <w:sz w:val="21"/>
              </w:rPr>
            </w:pPr>
            <w:r>
              <w:rPr>
                <w:rFonts w:hint="eastAsia" w:cs="宋体" w:asciiTheme="minorEastAsia" w:hAnsiTheme="minorEastAsia" w:eastAsiaTheme="minorEastAsia"/>
                <w:sz w:val="21"/>
              </w:rPr>
              <w:t>安全鉴定</w:t>
            </w:r>
          </w:p>
        </w:tc>
        <w:tc>
          <w:tcPr>
            <w:tcW w:w="1985" w:type="dxa"/>
            <w:vAlign w:val="center"/>
          </w:tcPr>
          <w:p>
            <w:pPr>
              <w:snapToGrid w:val="0"/>
              <w:jc w:val="center"/>
              <w:rPr>
                <w:rFonts w:cs="宋体" w:asciiTheme="minorEastAsia" w:hAnsiTheme="minorEastAsia" w:eastAsiaTheme="minorEastAsia"/>
                <w:sz w:val="21"/>
              </w:rPr>
            </w:pPr>
            <w:r>
              <w:rPr>
                <w:rFonts w:hint="eastAsia" w:cs="宋体" w:asciiTheme="minorEastAsia" w:hAnsiTheme="minorEastAsia" w:eastAsiaTheme="minorEastAsia"/>
                <w:sz w:val="21"/>
              </w:rPr>
              <w:t>未按规定开展</w:t>
            </w:r>
          </w:p>
        </w:tc>
        <w:tc>
          <w:tcPr>
            <w:tcW w:w="2064" w:type="dxa"/>
            <w:vMerge w:val="continue"/>
            <w:vAlign w:val="center"/>
          </w:tcPr>
          <w:p>
            <w:pPr>
              <w:snapToGrid w:val="0"/>
              <w:jc w:val="center"/>
              <w:rPr>
                <w:rFonts w:cs="宋体" w:asciiTheme="minorEastAsia" w:hAnsiTheme="minorEastAsia" w:eastAsiaTheme="minorEastAsia"/>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427" w:type="dxa"/>
            <w:vAlign w:val="center"/>
          </w:tcPr>
          <w:p>
            <w:pPr>
              <w:widowControl w:val="0"/>
              <w:spacing w:line="400" w:lineRule="exact"/>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1</w:t>
            </w:r>
            <w:r>
              <w:rPr>
                <w:rFonts w:cs="宋体" w:asciiTheme="minorEastAsia" w:hAnsiTheme="minorEastAsia" w:eastAsiaTheme="minorEastAsia"/>
                <w:sz w:val="21"/>
                <w:szCs w:val="21"/>
              </w:rPr>
              <w:t>4</w:t>
            </w:r>
          </w:p>
        </w:tc>
        <w:tc>
          <w:tcPr>
            <w:tcW w:w="988" w:type="dxa"/>
            <w:vMerge w:val="continue"/>
            <w:vAlign w:val="center"/>
          </w:tcPr>
          <w:p>
            <w:pPr>
              <w:widowControl w:val="0"/>
              <w:spacing w:line="400" w:lineRule="exact"/>
              <w:jc w:val="center"/>
              <w:rPr>
                <w:rFonts w:cs="宋体" w:asciiTheme="minorEastAsia" w:hAnsiTheme="minorEastAsia" w:eastAsiaTheme="minorEastAsia"/>
                <w:sz w:val="21"/>
                <w:szCs w:val="21"/>
              </w:rPr>
            </w:pPr>
          </w:p>
        </w:tc>
        <w:tc>
          <w:tcPr>
            <w:tcW w:w="1275" w:type="dxa"/>
            <w:vMerge w:val="continue"/>
            <w:vAlign w:val="center"/>
          </w:tcPr>
          <w:p>
            <w:pPr>
              <w:snapToGrid w:val="0"/>
              <w:jc w:val="center"/>
              <w:rPr>
                <w:rFonts w:cs="宋体" w:asciiTheme="minorEastAsia" w:hAnsiTheme="minorEastAsia" w:eastAsiaTheme="minorEastAsia"/>
                <w:sz w:val="21"/>
              </w:rPr>
            </w:pPr>
          </w:p>
        </w:tc>
        <w:tc>
          <w:tcPr>
            <w:tcW w:w="2410" w:type="dxa"/>
            <w:vAlign w:val="center"/>
          </w:tcPr>
          <w:p>
            <w:pPr>
              <w:snapToGrid w:val="0"/>
              <w:jc w:val="center"/>
              <w:rPr>
                <w:rFonts w:cs="宋体" w:asciiTheme="minorEastAsia" w:hAnsiTheme="minorEastAsia" w:eastAsiaTheme="minorEastAsia"/>
                <w:sz w:val="21"/>
              </w:rPr>
            </w:pPr>
            <w:r>
              <w:rPr>
                <w:rFonts w:hint="eastAsia" w:cs="宋体" w:asciiTheme="minorEastAsia" w:hAnsiTheme="minorEastAsia" w:eastAsiaTheme="minorEastAsia"/>
                <w:sz w:val="21"/>
              </w:rPr>
              <w:t>观测与监测</w:t>
            </w:r>
          </w:p>
        </w:tc>
        <w:tc>
          <w:tcPr>
            <w:tcW w:w="1985" w:type="dxa"/>
            <w:vAlign w:val="center"/>
          </w:tcPr>
          <w:p>
            <w:pPr>
              <w:snapToGrid w:val="0"/>
              <w:jc w:val="center"/>
              <w:rPr>
                <w:rFonts w:cs="宋体" w:asciiTheme="minorEastAsia" w:hAnsiTheme="minorEastAsia" w:eastAsiaTheme="minorEastAsia"/>
                <w:sz w:val="21"/>
              </w:rPr>
            </w:pPr>
            <w:r>
              <w:rPr>
                <w:rFonts w:hint="eastAsia" w:cs="宋体" w:asciiTheme="minorEastAsia" w:hAnsiTheme="minorEastAsia" w:eastAsiaTheme="minorEastAsia"/>
                <w:sz w:val="21"/>
              </w:rPr>
              <w:t>未按规定开展</w:t>
            </w:r>
          </w:p>
        </w:tc>
        <w:tc>
          <w:tcPr>
            <w:tcW w:w="2064" w:type="dxa"/>
            <w:vMerge w:val="continue"/>
            <w:vAlign w:val="center"/>
          </w:tcPr>
          <w:p>
            <w:pPr>
              <w:snapToGrid w:val="0"/>
              <w:jc w:val="center"/>
              <w:rPr>
                <w:rFonts w:cs="宋体" w:asciiTheme="minorEastAsia" w:hAnsiTheme="minorEastAsia" w:eastAsiaTheme="minorEastAsia"/>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427" w:type="dxa"/>
            <w:vAlign w:val="center"/>
          </w:tcPr>
          <w:p>
            <w:pPr>
              <w:widowControl w:val="0"/>
              <w:spacing w:line="400" w:lineRule="exact"/>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1</w:t>
            </w:r>
            <w:r>
              <w:rPr>
                <w:rFonts w:cs="宋体" w:asciiTheme="minorEastAsia" w:hAnsiTheme="minorEastAsia" w:eastAsiaTheme="minorEastAsia"/>
                <w:sz w:val="21"/>
                <w:szCs w:val="21"/>
              </w:rPr>
              <w:t>5</w:t>
            </w:r>
          </w:p>
        </w:tc>
        <w:tc>
          <w:tcPr>
            <w:tcW w:w="988" w:type="dxa"/>
            <w:vMerge w:val="continue"/>
            <w:vAlign w:val="center"/>
          </w:tcPr>
          <w:p>
            <w:pPr>
              <w:widowControl w:val="0"/>
              <w:spacing w:line="400" w:lineRule="exact"/>
              <w:jc w:val="center"/>
              <w:rPr>
                <w:rFonts w:cs="宋体" w:asciiTheme="minorEastAsia" w:hAnsiTheme="minorEastAsia" w:eastAsiaTheme="minorEastAsia"/>
                <w:sz w:val="21"/>
                <w:szCs w:val="21"/>
              </w:rPr>
            </w:pPr>
          </w:p>
        </w:tc>
        <w:tc>
          <w:tcPr>
            <w:tcW w:w="1275" w:type="dxa"/>
            <w:vMerge w:val="continue"/>
            <w:vAlign w:val="center"/>
          </w:tcPr>
          <w:p>
            <w:pPr>
              <w:snapToGrid w:val="0"/>
              <w:jc w:val="center"/>
              <w:rPr>
                <w:rFonts w:cs="宋体" w:asciiTheme="minorEastAsia" w:hAnsiTheme="minorEastAsia" w:eastAsiaTheme="minorEastAsia"/>
                <w:sz w:val="21"/>
              </w:rPr>
            </w:pPr>
          </w:p>
        </w:tc>
        <w:tc>
          <w:tcPr>
            <w:tcW w:w="2410" w:type="dxa"/>
            <w:vAlign w:val="center"/>
          </w:tcPr>
          <w:p>
            <w:pPr>
              <w:snapToGrid w:val="0"/>
              <w:jc w:val="center"/>
              <w:rPr>
                <w:rFonts w:cs="宋体" w:asciiTheme="minorEastAsia" w:hAnsiTheme="minorEastAsia" w:eastAsiaTheme="minorEastAsia"/>
                <w:sz w:val="21"/>
              </w:rPr>
            </w:pPr>
            <w:r>
              <w:rPr>
                <w:rFonts w:hint="eastAsia" w:cs="宋体" w:asciiTheme="minorEastAsia" w:hAnsiTheme="minorEastAsia" w:eastAsiaTheme="minorEastAsia"/>
                <w:sz w:val="21"/>
              </w:rPr>
              <w:t>安全检查</w:t>
            </w:r>
          </w:p>
        </w:tc>
        <w:tc>
          <w:tcPr>
            <w:tcW w:w="1985" w:type="dxa"/>
            <w:vAlign w:val="center"/>
          </w:tcPr>
          <w:p>
            <w:pPr>
              <w:snapToGrid w:val="0"/>
              <w:jc w:val="center"/>
              <w:rPr>
                <w:rFonts w:cs="宋体" w:asciiTheme="minorEastAsia" w:hAnsiTheme="minorEastAsia" w:eastAsiaTheme="minorEastAsia"/>
                <w:sz w:val="21"/>
              </w:rPr>
            </w:pPr>
            <w:r>
              <w:rPr>
                <w:rFonts w:hint="eastAsia" w:cs="宋体" w:asciiTheme="minorEastAsia" w:hAnsiTheme="minorEastAsia" w:eastAsiaTheme="minorEastAsia"/>
                <w:sz w:val="21"/>
              </w:rPr>
              <w:t>安全检查不到位</w:t>
            </w:r>
          </w:p>
        </w:tc>
        <w:tc>
          <w:tcPr>
            <w:tcW w:w="2064" w:type="dxa"/>
            <w:vMerge w:val="continue"/>
            <w:vAlign w:val="center"/>
          </w:tcPr>
          <w:p>
            <w:pPr>
              <w:snapToGrid w:val="0"/>
              <w:jc w:val="center"/>
              <w:rPr>
                <w:rFonts w:cs="宋体" w:asciiTheme="minorEastAsia" w:hAnsiTheme="minorEastAsia" w:eastAsiaTheme="minorEastAsia"/>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vAlign w:val="center"/>
          </w:tcPr>
          <w:p>
            <w:pPr>
              <w:widowControl w:val="0"/>
              <w:spacing w:line="400" w:lineRule="exact"/>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1</w:t>
            </w:r>
            <w:r>
              <w:rPr>
                <w:rFonts w:cs="宋体" w:asciiTheme="minorEastAsia" w:hAnsiTheme="minorEastAsia" w:eastAsiaTheme="minorEastAsia"/>
                <w:sz w:val="21"/>
                <w:szCs w:val="21"/>
              </w:rPr>
              <w:t>6</w:t>
            </w:r>
          </w:p>
        </w:tc>
        <w:tc>
          <w:tcPr>
            <w:tcW w:w="988" w:type="dxa"/>
            <w:vMerge w:val="continue"/>
            <w:vAlign w:val="center"/>
          </w:tcPr>
          <w:p>
            <w:pPr>
              <w:widowControl w:val="0"/>
              <w:spacing w:line="400" w:lineRule="exact"/>
              <w:jc w:val="center"/>
              <w:rPr>
                <w:rFonts w:cs="宋体" w:asciiTheme="minorEastAsia" w:hAnsiTheme="minorEastAsia" w:eastAsiaTheme="minorEastAsia"/>
                <w:sz w:val="21"/>
                <w:szCs w:val="21"/>
              </w:rPr>
            </w:pPr>
          </w:p>
        </w:tc>
        <w:tc>
          <w:tcPr>
            <w:tcW w:w="1275" w:type="dxa"/>
            <w:vMerge w:val="continue"/>
            <w:vAlign w:val="center"/>
          </w:tcPr>
          <w:p>
            <w:pPr>
              <w:snapToGrid w:val="0"/>
              <w:jc w:val="center"/>
              <w:rPr>
                <w:rFonts w:cs="宋体" w:asciiTheme="minorEastAsia" w:hAnsiTheme="minorEastAsia" w:eastAsiaTheme="minorEastAsia"/>
                <w:sz w:val="21"/>
              </w:rPr>
            </w:pPr>
          </w:p>
        </w:tc>
        <w:tc>
          <w:tcPr>
            <w:tcW w:w="2410" w:type="dxa"/>
            <w:vAlign w:val="center"/>
          </w:tcPr>
          <w:p>
            <w:pPr>
              <w:snapToGrid w:val="0"/>
              <w:jc w:val="center"/>
              <w:rPr>
                <w:rFonts w:cs="宋体" w:asciiTheme="minorEastAsia" w:hAnsiTheme="minorEastAsia" w:eastAsiaTheme="minorEastAsia"/>
                <w:sz w:val="21"/>
              </w:rPr>
            </w:pPr>
            <w:r>
              <w:rPr>
                <w:rFonts w:hint="eastAsia" w:cs="宋体" w:asciiTheme="minorEastAsia" w:hAnsiTheme="minorEastAsia" w:eastAsiaTheme="minorEastAsia"/>
                <w:sz w:val="21"/>
              </w:rPr>
              <w:t>外部人员的活动</w:t>
            </w:r>
          </w:p>
        </w:tc>
        <w:tc>
          <w:tcPr>
            <w:tcW w:w="1985" w:type="dxa"/>
            <w:vAlign w:val="center"/>
          </w:tcPr>
          <w:p>
            <w:pPr>
              <w:snapToGrid w:val="0"/>
              <w:jc w:val="center"/>
              <w:rPr>
                <w:rFonts w:cs="宋体" w:asciiTheme="minorEastAsia" w:hAnsiTheme="minorEastAsia" w:eastAsiaTheme="minorEastAsia"/>
                <w:sz w:val="21"/>
              </w:rPr>
            </w:pPr>
            <w:r>
              <w:rPr>
                <w:rFonts w:hint="eastAsia" w:cs="宋体" w:asciiTheme="minorEastAsia" w:hAnsiTheme="minorEastAsia" w:eastAsiaTheme="minorEastAsia"/>
                <w:sz w:val="21"/>
              </w:rPr>
              <w:t>活动未经许可</w:t>
            </w:r>
          </w:p>
        </w:tc>
        <w:tc>
          <w:tcPr>
            <w:tcW w:w="2064" w:type="dxa"/>
            <w:vMerge w:val="continue"/>
            <w:vAlign w:val="center"/>
          </w:tcPr>
          <w:p>
            <w:pPr>
              <w:snapToGrid w:val="0"/>
              <w:jc w:val="center"/>
              <w:rPr>
                <w:rFonts w:cs="宋体" w:asciiTheme="minorEastAsia" w:hAnsiTheme="minorEastAsia" w:eastAsiaTheme="minorEastAsia"/>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427" w:type="dxa"/>
            <w:vAlign w:val="center"/>
          </w:tcPr>
          <w:p>
            <w:pPr>
              <w:widowControl w:val="0"/>
              <w:spacing w:line="400" w:lineRule="exact"/>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1</w:t>
            </w:r>
            <w:r>
              <w:rPr>
                <w:rFonts w:cs="宋体" w:asciiTheme="minorEastAsia" w:hAnsiTheme="minorEastAsia" w:eastAsiaTheme="minorEastAsia"/>
                <w:sz w:val="21"/>
                <w:szCs w:val="21"/>
              </w:rPr>
              <w:t>7</w:t>
            </w:r>
          </w:p>
        </w:tc>
        <w:tc>
          <w:tcPr>
            <w:tcW w:w="988" w:type="dxa"/>
            <w:vMerge w:val="continue"/>
            <w:vAlign w:val="center"/>
          </w:tcPr>
          <w:p>
            <w:pPr>
              <w:snapToGrid w:val="0"/>
              <w:jc w:val="center"/>
              <w:rPr>
                <w:rFonts w:cs="宋体" w:asciiTheme="minorEastAsia" w:hAnsiTheme="minorEastAsia" w:eastAsiaTheme="minorEastAsia"/>
                <w:sz w:val="21"/>
              </w:rPr>
            </w:pPr>
          </w:p>
        </w:tc>
        <w:tc>
          <w:tcPr>
            <w:tcW w:w="1275" w:type="dxa"/>
            <w:vMerge w:val="continue"/>
            <w:vAlign w:val="center"/>
          </w:tcPr>
          <w:p>
            <w:pPr>
              <w:snapToGrid w:val="0"/>
              <w:jc w:val="center"/>
              <w:rPr>
                <w:rFonts w:cs="宋体" w:asciiTheme="minorEastAsia" w:hAnsiTheme="minorEastAsia" w:eastAsiaTheme="minorEastAsia"/>
                <w:sz w:val="21"/>
              </w:rPr>
            </w:pPr>
          </w:p>
        </w:tc>
        <w:tc>
          <w:tcPr>
            <w:tcW w:w="2410" w:type="dxa"/>
            <w:vAlign w:val="center"/>
          </w:tcPr>
          <w:p>
            <w:pPr>
              <w:snapToGrid w:val="0"/>
              <w:jc w:val="center"/>
              <w:rPr>
                <w:rFonts w:cs="宋体" w:asciiTheme="minorEastAsia" w:hAnsiTheme="minorEastAsia" w:eastAsiaTheme="minorEastAsia"/>
                <w:sz w:val="21"/>
              </w:rPr>
            </w:pPr>
            <w:r>
              <w:rPr>
                <w:rFonts w:hint="eastAsia" w:cs="宋体" w:asciiTheme="minorEastAsia" w:hAnsiTheme="minorEastAsia" w:eastAsiaTheme="minorEastAsia"/>
                <w:sz w:val="21"/>
              </w:rPr>
              <w:t>泄洪、放水或冲沙等</w:t>
            </w:r>
          </w:p>
        </w:tc>
        <w:tc>
          <w:tcPr>
            <w:tcW w:w="1985" w:type="dxa"/>
            <w:vAlign w:val="center"/>
          </w:tcPr>
          <w:p>
            <w:pPr>
              <w:snapToGrid w:val="0"/>
              <w:jc w:val="center"/>
              <w:rPr>
                <w:rFonts w:cs="宋体" w:asciiTheme="minorEastAsia" w:hAnsiTheme="minorEastAsia" w:eastAsiaTheme="minorEastAsia"/>
                <w:sz w:val="21"/>
              </w:rPr>
            </w:pPr>
            <w:r>
              <w:rPr>
                <w:rFonts w:hint="eastAsia" w:cs="宋体" w:asciiTheme="minorEastAsia" w:hAnsiTheme="minorEastAsia" w:eastAsiaTheme="minorEastAsia"/>
                <w:sz w:val="21"/>
              </w:rPr>
              <w:t>警示、预警工作不到位</w:t>
            </w:r>
          </w:p>
        </w:tc>
        <w:tc>
          <w:tcPr>
            <w:tcW w:w="2064" w:type="dxa"/>
            <w:vAlign w:val="center"/>
          </w:tcPr>
          <w:p>
            <w:pPr>
              <w:snapToGrid w:val="0"/>
              <w:jc w:val="center"/>
              <w:rPr>
                <w:rFonts w:cs="宋体" w:asciiTheme="minorEastAsia" w:hAnsiTheme="minorEastAsia" w:eastAsiaTheme="minorEastAsia"/>
                <w:sz w:val="21"/>
              </w:rPr>
            </w:pPr>
            <w:r>
              <w:rPr>
                <w:rFonts w:hint="eastAsia" w:cs="宋体" w:asciiTheme="minorEastAsia" w:hAnsiTheme="minorEastAsia" w:eastAsiaTheme="minorEastAsia"/>
                <w:sz w:val="21"/>
              </w:rPr>
              <w:t>影响公共安全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427" w:type="dxa"/>
            <w:vAlign w:val="center"/>
          </w:tcPr>
          <w:p>
            <w:pPr>
              <w:widowControl w:val="0"/>
              <w:spacing w:line="400" w:lineRule="exact"/>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1</w:t>
            </w:r>
            <w:r>
              <w:rPr>
                <w:rFonts w:cs="宋体" w:asciiTheme="minorEastAsia" w:hAnsiTheme="minorEastAsia" w:eastAsiaTheme="minorEastAsia"/>
                <w:sz w:val="21"/>
                <w:szCs w:val="21"/>
              </w:rPr>
              <w:t>8</w:t>
            </w:r>
          </w:p>
        </w:tc>
        <w:tc>
          <w:tcPr>
            <w:tcW w:w="988" w:type="dxa"/>
            <w:vAlign w:val="center"/>
          </w:tcPr>
          <w:p>
            <w:pPr>
              <w:snapToGrid w:val="0"/>
              <w:jc w:val="center"/>
              <w:rPr>
                <w:rFonts w:cs="宋体" w:asciiTheme="minorEastAsia" w:hAnsiTheme="minorEastAsia" w:eastAsiaTheme="minorEastAsia"/>
                <w:sz w:val="21"/>
              </w:rPr>
            </w:pPr>
            <w:r>
              <w:rPr>
                <w:rFonts w:hint="eastAsia" w:cs="宋体" w:asciiTheme="minorEastAsia" w:hAnsiTheme="minorEastAsia" w:eastAsiaTheme="minorEastAsia"/>
                <w:sz w:val="21"/>
              </w:rPr>
              <w:t>环境类</w:t>
            </w:r>
          </w:p>
        </w:tc>
        <w:tc>
          <w:tcPr>
            <w:tcW w:w="1275" w:type="dxa"/>
            <w:vAlign w:val="center"/>
          </w:tcPr>
          <w:p>
            <w:pPr>
              <w:snapToGrid w:val="0"/>
              <w:jc w:val="center"/>
              <w:rPr>
                <w:rFonts w:cs="宋体" w:asciiTheme="minorEastAsia" w:hAnsiTheme="minorEastAsia" w:eastAsiaTheme="minorEastAsia"/>
                <w:sz w:val="21"/>
              </w:rPr>
            </w:pPr>
            <w:r>
              <w:rPr>
                <w:rFonts w:hint="eastAsia" w:cs="宋体" w:asciiTheme="minorEastAsia" w:hAnsiTheme="minorEastAsia" w:eastAsiaTheme="minorEastAsia"/>
                <w:sz w:val="21"/>
              </w:rPr>
              <w:t>自然环境</w:t>
            </w:r>
          </w:p>
        </w:tc>
        <w:tc>
          <w:tcPr>
            <w:tcW w:w="2410" w:type="dxa"/>
            <w:vAlign w:val="center"/>
          </w:tcPr>
          <w:p>
            <w:pPr>
              <w:snapToGrid w:val="0"/>
              <w:jc w:val="center"/>
              <w:rPr>
                <w:rFonts w:cs="宋体" w:asciiTheme="minorEastAsia" w:hAnsiTheme="minorEastAsia" w:eastAsiaTheme="minorEastAsia"/>
                <w:sz w:val="21"/>
              </w:rPr>
            </w:pPr>
            <w:r>
              <w:rPr>
                <w:rFonts w:hint="eastAsia" w:cs="宋体" w:asciiTheme="minorEastAsia" w:hAnsiTheme="minorEastAsia" w:eastAsiaTheme="minorEastAsia"/>
                <w:sz w:val="21"/>
              </w:rPr>
              <w:t>自然灾害</w:t>
            </w:r>
          </w:p>
        </w:tc>
        <w:tc>
          <w:tcPr>
            <w:tcW w:w="1985" w:type="dxa"/>
            <w:vAlign w:val="center"/>
          </w:tcPr>
          <w:p>
            <w:pPr>
              <w:snapToGrid w:val="0"/>
              <w:jc w:val="center"/>
              <w:rPr>
                <w:rFonts w:cs="宋体" w:asciiTheme="minorEastAsia" w:hAnsiTheme="minorEastAsia" w:eastAsiaTheme="minorEastAsia"/>
                <w:sz w:val="21"/>
              </w:rPr>
            </w:pPr>
            <w:r>
              <w:rPr>
                <w:rFonts w:hint="eastAsia" w:cs="宋体" w:asciiTheme="minorEastAsia" w:hAnsiTheme="minorEastAsia" w:eastAsiaTheme="minorEastAsia"/>
                <w:sz w:val="21"/>
              </w:rPr>
              <w:t>山洪、泥石流、山体滑坡等</w:t>
            </w:r>
          </w:p>
        </w:tc>
        <w:tc>
          <w:tcPr>
            <w:tcW w:w="2064" w:type="dxa"/>
            <w:vAlign w:val="center"/>
          </w:tcPr>
          <w:p>
            <w:pPr>
              <w:snapToGrid w:val="0"/>
              <w:jc w:val="center"/>
              <w:rPr>
                <w:rFonts w:cs="宋体" w:asciiTheme="minorEastAsia" w:hAnsiTheme="minorEastAsia" w:eastAsiaTheme="minorEastAsia"/>
                <w:sz w:val="21"/>
              </w:rPr>
            </w:pPr>
            <w:r>
              <w:rPr>
                <w:rFonts w:hint="eastAsia" w:cs="宋体" w:asciiTheme="minorEastAsia" w:hAnsiTheme="minorEastAsia" w:eastAsiaTheme="minorEastAsia"/>
                <w:sz w:val="21"/>
              </w:rPr>
              <w:t>工程及设备严重损（破）坏，人员重大伤亡</w:t>
            </w:r>
          </w:p>
        </w:tc>
      </w:tr>
    </w:tbl>
    <w:p>
      <w:pPr>
        <w:rPr>
          <w:rFonts w:asciiTheme="minorEastAsia" w:hAnsiTheme="minorEastAsia" w:eastAsiaTheme="minorEastAsia"/>
          <w:strike/>
          <w:sz w:val="21"/>
          <w:szCs w:val="21"/>
        </w:rPr>
        <w:sectPr>
          <w:pgSz w:w="11906" w:h="16838"/>
          <w:pgMar w:top="1440" w:right="1797" w:bottom="1440" w:left="1797" w:header="851" w:footer="992" w:gutter="0"/>
          <w:cols w:space="425" w:num="1"/>
          <w:docGrid w:type="lines" w:linePitch="435" w:charSpace="0"/>
        </w:sectPr>
      </w:pPr>
    </w:p>
    <w:p>
      <w:pPr>
        <w:jc w:val="center"/>
        <w:outlineLvl w:val="0"/>
        <w:rPr>
          <w:rFonts w:ascii="方正小标宋_GBK" w:hAnsi="黑体" w:eastAsia="方正小标宋_GBK"/>
          <w:b/>
          <w:bCs/>
          <w:sz w:val="28"/>
          <w:szCs w:val="28"/>
        </w:rPr>
      </w:pPr>
      <w:bookmarkStart w:id="93" w:name="_Toc119336582"/>
      <w:bookmarkStart w:id="94" w:name="_Toc117541301"/>
      <w:bookmarkStart w:id="95" w:name="_Hlk117455800"/>
      <w:r>
        <w:rPr>
          <w:rFonts w:hint="eastAsia" w:ascii="方正小标宋_GBK" w:hAnsi="黑体" w:eastAsia="方正小标宋_GBK"/>
          <w:b/>
          <w:bCs/>
          <w:sz w:val="28"/>
          <w:szCs w:val="28"/>
        </w:rPr>
        <w:t>附录A.5</w:t>
      </w:r>
      <w:bookmarkEnd w:id="93"/>
      <w:bookmarkEnd w:id="94"/>
      <w:bookmarkEnd w:id="95"/>
    </w:p>
    <w:p>
      <w:pPr>
        <w:jc w:val="center"/>
        <w:rPr>
          <w:rFonts w:ascii="方正小标宋_GBK" w:hAnsi="黑体" w:eastAsia="方正小标宋_GBK"/>
          <w:b/>
          <w:bCs/>
          <w:sz w:val="28"/>
          <w:szCs w:val="28"/>
        </w:rPr>
      </w:pPr>
      <w:r>
        <w:rPr>
          <w:rFonts w:hint="eastAsia" w:ascii="方正小标宋_GBK" w:hAnsi="黑体" w:eastAsia="方正小标宋_GBK"/>
          <w:b/>
          <w:bCs/>
          <w:sz w:val="28"/>
          <w:szCs w:val="28"/>
        </w:rPr>
        <w:t>（资料性附录）</w:t>
      </w:r>
    </w:p>
    <w:p>
      <w:pPr>
        <w:jc w:val="center"/>
        <w:rPr>
          <w:rFonts w:ascii="方正小标宋_GBK" w:hAnsi="黑体" w:eastAsia="方正小标宋_GBK"/>
          <w:b/>
          <w:bCs/>
          <w:sz w:val="28"/>
          <w:szCs w:val="28"/>
        </w:rPr>
      </w:pPr>
    </w:p>
    <w:p>
      <w:pPr>
        <w:jc w:val="center"/>
        <w:outlineLvl w:val="1"/>
        <w:rPr>
          <w:rFonts w:ascii="方正小标宋_GBK" w:hAnsi="黑体" w:eastAsia="方正小标宋_GBK"/>
          <w:b/>
          <w:bCs/>
          <w:sz w:val="28"/>
          <w:szCs w:val="28"/>
        </w:rPr>
      </w:pPr>
      <w:bookmarkStart w:id="96" w:name="_Toc119336583"/>
      <w:bookmarkStart w:id="97" w:name="_Toc117541302"/>
      <w:r>
        <w:rPr>
          <w:rFonts w:hint="eastAsia" w:ascii="方正小标宋_GBK" w:hAnsi="黑体" w:eastAsia="方正小标宋_GBK"/>
          <w:b/>
          <w:bCs/>
          <w:sz w:val="28"/>
          <w:szCs w:val="28"/>
        </w:rPr>
        <w:t>水库工程运行一般危险源风险评价赋分表（指南）</w:t>
      </w:r>
      <w:bookmarkEnd w:id="96"/>
      <w:bookmarkEnd w:id="97"/>
    </w:p>
    <w:tbl>
      <w:tblPr>
        <w:tblStyle w:val="3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9"/>
        <w:gridCol w:w="942"/>
        <w:gridCol w:w="1048"/>
        <w:gridCol w:w="2352"/>
        <w:gridCol w:w="1725"/>
        <w:gridCol w:w="1927"/>
        <w:gridCol w:w="869"/>
        <w:gridCol w:w="816"/>
        <w:gridCol w:w="840"/>
        <w:gridCol w:w="840"/>
        <w:gridCol w:w="1116"/>
        <w:gridCol w:w="1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619" w:type="dxa"/>
            <w:vAlign w:val="center"/>
          </w:tcPr>
          <w:p>
            <w:pPr>
              <w:snapToGrid w:val="0"/>
              <w:jc w:val="center"/>
              <w:rPr>
                <w:rFonts w:cs="宋体" w:asciiTheme="minorEastAsia" w:hAnsiTheme="minorEastAsia" w:eastAsiaTheme="minorEastAsia"/>
                <w:b/>
                <w:bCs/>
                <w:sz w:val="20"/>
                <w:szCs w:val="20"/>
              </w:rPr>
            </w:pPr>
            <w:r>
              <w:rPr>
                <w:rFonts w:hint="eastAsia" w:cs="宋体" w:asciiTheme="minorEastAsia" w:hAnsiTheme="minorEastAsia" w:eastAsiaTheme="minorEastAsia"/>
                <w:b/>
                <w:bCs/>
                <w:sz w:val="20"/>
                <w:szCs w:val="20"/>
              </w:rPr>
              <w:t>序号</w:t>
            </w:r>
          </w:p>
        </w:tc>
        <w:tc>
          <w:tcPr>
            <w:tcW w:w="942" w:type="dxa"/>
            <w:vAlign w:val="center"/>
          </w:tcPr>
          <w:p>
            <w:pPr>
              <w:snapToGrid w:val="0"/>
              <w:jc w:val="center"/>
              <w:rPr>
                <w:rFonts w:cs="宋体" w:asciiTheme="minorEastAsia" w:hAnsiTheme="minorEastAsia" w:eastAsiaTheme="minorEastAsia"/>
                <w:b/>
                <w:bCs/>
                <w:sz w:val="20"/>
                <w:szCs w:val="20"/>
              </w:rPr>
            </w:pPr>
            <w:r>
              <w:rPr>
                <w:rFonts w:hint="eastAsia" w:cs="宋体" w:asciiTheme="minorEastAsia" w:hAnsiTheme="minorEastAsia" w:eastAsiaTheme="minorEastAsia"/>
                <w:b/>
                <w:bCs/>
                <w:sz w:val="20"/>
                <w:szCs w:val="20"/>
              </w:rPr>
              <w:t>类别</w:t>
            </w:r>
          </w:p>
        </w:tc>
        <w:tc>
          <w:tcPr>
            <w:tcW w:w="1048" w:type="dxa"/>
            <w:vAlign w:val="center"/>
          </w:tcPr>
          <w:p>
            <w:pPr>
              <w:snapToGrid w:val="0"/>
              <w:jc w:val="center"/>
              <w:rPr>
                <w:rFonts w:cs="宋体" w:asciiTheme="minorEastAsia" w:hAnsiTheme="minorEastAsia" w:eastAsiaTheme="minorEastAsia"/>
                <w:b/>
                <w:bCs/>
                <w:sz w:val="20"/>
                <w:szCs w:val="20"/>
              </w:rPr>
            </w:pPr>
            <w:r>
              <w:rPr>
                <w:rFonts w:hint="eastAsia" w:cs="宋体" w:asciiTheme="minorEastAsia" w:hAnsiTheme="minorEastAsia" w:eastAsiaTheme="minorEastAsia"/>
                <w:b/>
                <w:bCs/>
                <w:sz w:val="20"/>
                <w:szCs w:val="20"/>
              </w:rPr>
              <w:t>项目</w:t>
            </w:r>
          </w:p>
        </w:tc>
        <w:tc>
          <w:tcPr>
            <w:tcW w:w="2352" w:type="dxa"/>
            <w:vAlign w:val="center"/>
          </w:tcPr>
          <w:p>
            <w:pPr>
              <w:snapToGrid w:val="0"/>
              <w:jc w:val="center"/>
              <w:rPr>
                <w:rFonts w:cs="宋体" w:asciiTheme="minorEastAsia" w:hAnsiTheme="minorEastAsia" w:eastAsiaTheme="minorEastAsia"/>
                <w:b/>
                <w:bCs/>
                <w:sz w:val="20"/>
                <w:szCs w:val="20"/>
              </w:rPr>
            </w:pPr>
            <w:r>
              <w:rPr>
                <w:rFonts w:hint="eastAsia" w:cs="宋体" w:asciiTheme="minorEastAsia" w:hAnsiTheme="minorEastAsia" w:eastAsiaTheme="minorEastAsia"/>
                <w:b/>
                <w:bCs/>
                <w:sz w:val="20"/>
                <w:szCs w:val="20"/>
              </w:rPr>
              <w:t>一般危险源</w:t>
            </w:r>
          </w:p>
        </w:tc>
        <w:tc>
          <w:tcPr>
            <w:tcW w:w="1725" w:type="dxa"/>
            <w:vAlign w:val="center"/>
          </w:tcPr>
          <w:p>
            <w:pPr>
              <w:snapToGrid w:val="0"/>
              <w:jc w:val="center"/>
              <w:rPr>
                <w:rFonts w:cs="宋体" w:asciiTheme="minorEastAsia" w:hAnsiTheme="minorEastAsia" w:eastAsiaTheme="minorEastAsia"/>
                <w:b/>
                <w:bCs/>
                <w:sz w:val="20"/>
                <w:szCs w:val="20"/>
              </w:rPr>
            </w:pPr>
            <w:r>
              <w:rPr>
                <w:rFonts w:hint="eastAsia" w:cs="宋体" w:asciiTheme="minorEastAsia" w:hAnsiTheme="minorEastAsia" w:eastAsiaTheme="minorEastAsia"/>
                <w:b/>
                <w:bCs/>
                <w:sz w:val="21"/>
              </w:rPr>
              <w:t>事故诱因</w:t>
            </w:r>
          </w:p>
        </w:tc>
        <w:tc>
          <w:tcPr>
            <w:tcW w:w="1927" w:type="dxa"/>
            <w:vAlign w:val="center"/>
          </w:tcPr>
          <w:p>
            <w:pPr>
              <w:snapToGrid w:val="0"/>
              <w:jc w:val="center"/>
              <w:rPr>
                <w:rFonts w:cs="宋体" w:asciiTheme="minorEastAsia" w:hAnsiTheme="minorEastAsia" w:eastAsiaTheme="minorEastAsia"/>
                <w:b/>
                <w:bCs/>
                <w:sz w:val="20"/>
                <w:szCs w:val="20"/>
              </w:rPr>
            </w:pPr>
            <w:r>
              <w:rPr>
                <w:rFonts w:hint="eastAsia" w:cs="宋体" w:asciiTheme="minorEastAsia" w:hAnsiTheme="minorEastAsia" w:eastAsiaTheme="minorEastAsia"/>
                <w:b/>
                <w:bCs/>
                <w:sz w:val="20"/>
                <w:szCs w:val="20"/>
              </w:rPr>
              <w:t>可能导致的后果</w:t>
            </w:r>
          </w:p>
        </w:tc>
        <w:tc>
          <w:tcPr>
            <w:tcW w:w="869" w:type="dxa"/>
            <w:vAlign w:val="center"/>
          </w:tcPr>
          <w:p>
            <w:pPr>
              <w:snapToGrid w:val="0"/>
              <w:jc w:val="center"/>
              <w:rPr>
                <w:rFonts w:cs="宋体" w:asciiTheme="minorEastAsia" w:hAnsiTheme="minorEastAsia" w:eastAsiaTheme="minorEastAsia"/>
                <w:b/>
                <w:bCs/>
                <w:sz w:val="20"/>
                <w:szCs w:val="20"/>
              </w:rPr>
            </w:pPr>
            <w:r>
              <w:rPr>
                <w:rFonts w:hint="eastAsia" w:cs="宋体" w:asciiTheme="minorEastAsia" w:hAnsiTheme="minorEastAsia" w:eastAsiaTheme="minorEastAsia"/>
                <w:b/>
                <w:bCs/>
                <w:sz w:val="20"/>
                <w:szCs w:val="20"/>
              </w:rPr>
              <w:t>风险评价方法</w:t>
            </w:r>
          </w:p>
        </w:tc>
        <w:tc>
          <w:tcPr>
            <w:tcW w:w="816" w:type="dxa"/>
            <w:vAlign w:val="center"/>
          </w:tcPr>
          <w:p>
            <w:pPr>
              <w:snapToGrid w:val="0"/>
              <w:jc w:val="center"/>
              <w:rPr>
                <w:rFonts w:cs="宋体" w:asciiTheme="minorEastAsia" w:hAnsiTheme="minorEastAsia" w:eastAsiaTheme="minorEastAsia"/>
                <w:b/>
                <w:bCs/>
                <w:sz w:val="20"/>
                <w:szCs w:val="20"/>
              </w:rPr>
            </w:pPr>
            <w:r>
              <w:rPr>
                <w:rFonts w:hint="eastAsia" w:cs="宋体" w:asciiTheme="minorEastAsia" w:hAnsiTheme="minorEastAsia" w:eastAsiaTheme="minorEastAsia"/>
                <w:b/>
                <w:bCs/>
                <w:sz w:val="20"/>
                <w:szCs w:val="20"/>
              </w:rPr>
              <w:t>L值</w:t>
            </w:r>
          </w:p>
          <w:p>
            <w:pPr>
              <w:snapToGrid w:val="0"/>
              <w:jc w:val="center"/>
              <w:rPr>
                <w:rFonts w:cs="宋体" w:asciiTheme="minorEastAsia" w:hAnsiTheme="minorEastAsia" w:eastAsiaTheme="minorEastAsia"/>
                <w:b/>
                <w:bCs/>
                <w:sz w:val="20"/>
                <w:szCs w:val="20"/>
              </w:rPr>
            </w:pPr>
            <w:r>
              <w:rPr>
                <w:rFonts w:hint="eastAsia" w:cs="宋体" w:asciiTheme="minorEastAsia" w:hAnsiTheme="minorEastAsia" w:eastAsiaTheme="minorEastAsia"/>
                <w:b/>
                <w:bCs/>
                <w:sz w:val="20"/>
                <w:szCs w:val="20"/>
              </w:rPr>
              <w:t>范围</w:t>
            </w:r>
          </w:p>
        </w:tc>
        <w:tc>
          <w:tcPr>
            <w:tcW w:w="840" w:type="dxa"/>
            <w:vAlign w:val="center"/>
          </w:tcPr>
          <w:p>
            <w:pPr>
              <w:snapToGrid w:val="0"/>
              <w:jc w:val="center"/>
              <w:rPr>
                <w:rFonts w:cs="宋体" w:asciiTheme="minorEastAsia" w:hAnsiTheme="minorEastAsia" w:eastAsiaTheme="minorEastAsia"/>
                <w:b/>
                <w:bCs/>
                <w:sz w:val="20"/>
                <w:szCs w:val="20"/>
              </w:rPr>
            </w:pPr>
            <w:r>
              <w:rPr>
                <w:rFonts w:hint="eastAsia" w:cs="宋体" w:asciiTheme="minorEastAsia" w:hAnsiTheme="minorEastAsia" w:eastAsiaTheme="minorEastAsia"/>
                <w:b/>
                <w:bCs/>
                <w:sz w:val="20"/>
                <w:szCs w:val="20"/>
              </w:rPr>
              <w:t>E值范围</w:t>
            </w:r>
          </w:p>
        </w:tc>
        <w:tc>
          <w:tcPr>
            <w:tcW w:w="840" w:type="dxa"/>
            <w:vAlign w:val="center"/>
          </w:tcPr>
          <w:p>
            <w:pPr>
              <w:snapToGrid w:val="0"/>
              <w:jc w:val="center"/>
              <w:rPr>
                <w:rFonts w:cs="宋体" w:asciiTheme="minorEastAsia" w:hAnsiTheme="minorEastAsia" w:eastAsiaTheme="minorEastAsia"/>
                <w:b/>
                <w:bCs/>
                <w:sz w:val="20"/>
                <w:szCs w:val="20"/>
              </w:rPr>
            </w:pPr>
            <w:r>
              <w:rPr>
                <w:rFonts w:hint="eastAsia" w:cs="宋体" w:asciiTheme="minorEastAsia" w:hAnsiTheme="minorEastAsia" w:eastAsiaTheme="minorEastAsia"/>
                <w:b/>
                <w:bCs/>
                <w:sz w:val="20"/>
                <w:szCs w:val="20"/>
              </w:rPr>
              <w:t>S值或</w:t>
            </w:r>
          </w:p>
          <w:p>
            <w:pPr>
              <w:snapToGrid w:val="0"/>
              <w:jc w:val="center"/>
              <w:rPr>
                <w:rFonts w:cs="宋体" w:asciiTheme="minorEastAsia" w:hAnsiTheme="minorEastAsia" w:eastAsiaTheme="minorEastAsia"/>
                <w:b/>
                <w:bCs/>
                <w:sz w:val="20"/>
                <w:szCs w:val="20"/>
              </w:rPr>
            </w:pPr>
            <w:r>
              <w:rPr>
                <w:rFonts w:hint="eastAsia" w:cs="宋体" w:asciiTheme="minorEastAsia" w:hAnsiTheme="minorEastAsia" w:eastAsiaTheme="minorEastAsia"/>
                <w:b/>
                <w:bCs/>
                <w:sz w:val="20"/>
                <w:szCs w:val="20"/>
              </w:rPr>
              <w:t>C值范围</w:t>
            </w:r>
          </w:p>
        </w:tc>
        <w:tc>
          <w:tcPr>
            <w:tcW w:w="1116" w:type="dxa"/>
            <w:vAlign w:val="center"/>
          </w:tcPr>
          <w:p>
            <w:pPr>
              <w:snapToGrid w:val="0"/>
              <w:jc w:val="center"/>
              <w:rPr>
                <w:rFonts w:cs="宋体" w:asciiTheme="minorEastAsia" w:hAnsiTheme="minorEastAsia" w:eastAsiaTheme="minorEastAsia"/>
                <w:b/>
                <w:bCs/>
                <w:sz w:val="20"/>
                <w:szCs w:val="20"/>
              </w:rPr>
            </w:pPr>
            <w:r>
              <w:rPr>
                <w:rFonts w:hint="eastAsia" w:cs="宋体" w:asciiTheme="minorEastAsia" w:hAnsiTheme="minorEastAsia" w:eastAsiaTheme="minorEastAsia"/>
                <w:b/>
                <w:bCs/>
                <w:sz w:val="20"/>
                <w:szCs w:val="20"/>
              </w:rPr>
              <w:t>R值或</w:t>
            </w:r>
          </w:p>
          <w:p>
            <w:pPr>
              <w:snapToGrid w:val="0"/>
              <w:jc w:val="center"/>
              <w:rPr>
                <w:rFonts w:cs="宋体" w:asciiTheme="minorEastAsia" w:hAnsiTheme="minorEastAsia" w:eastAsiaTheme="minorEastAsia"/>
                <w:b/>
                <w:bCs/>
                <w:sz w:val="20"/>
                <w:szCs w:val="20"/>
              </w:rPr>
            </w:pPr>
            <w:r>
              <w:rPr>
                <w:rFonts w:hint="eastAsia" w:cs="宋体" w:asciiTheme="minorEastAsia" w:hAnsiTheme="minorEastAsia" w:eastAsiaTheme="minorEastAsia"/>
                <w:b/>
                <w:bCs/>
                <w:sz w:val="20"/>
                <w:szCs w:val="20"/>
              </w:rPr>
              <w:t>D值范围</w:t>
            </w:r>
          </w:p>
        </w:tc>
        <w:tc>
          <w:tcPr>
            <w:tcW w:w="1080" w:type="dxa"/>
            <w:vAlign w:val="center"/>
          </w:tcPr>
          <w:p>
            <w:pPr>
              <w:snapToGrid w:val="0"/>
              <w:jc w:val="center"/>
              <w:rPr>
                <w:rFonts w:cs="宋体" w:asciiTheme="minorEastAsia" w:hAnsiTheme="minorEastAsia" w:eastAsiaTheme="minorEastAsia"/>
                <w:b/>
                <w:bCs/>
                <w:sz w:val="20"/>
                <w:szCs w:val="20"/>
              </w:rPr>
            </w:pPr>
            <w:r>
              <w:rPr>
                <w:rFonts w:hint="eastAsia" w:cs="宋体" w:asciiTheme="minorEastAsia" w:hAnsiTheme="minorEastAsia" w:eastAsiaTheme="minorEastAsia"/>
                <w:b/>
                <w:bCs/>
                <w:sz w:val="20"/>
                <w:szCs w:val="20"/>
              </w:rPr>
              <w:t>风险等级范围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19"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1</w:t>
            </w:r>
          </w:p>
        </w:tc>
        <w:tc>
          <w:tcPr>
            <w:tcW w:w="942" w:type="dxa"/>
            <w:vMerge w:val="restart"/>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构（建）筑物类</w:t>
            </w:r>
          </w:p>
        </w:tc>
        <w:tc>
          <w:tcPr>
            <w:tcW w:w="1048" w:type="dxa"/>
            <w:vMerge w:val="restart"/>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挡水建筑物</w:t>
            </w:r>
          </w:p>
        </w:tc>
        <w:tc>
          <w:tcPr>
            <w:tcW w:w="2352"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坝顶车辆行驶</w:t>
            </w:r>
          </w:p>
        </w:tc>
        <w:tc>
          <w:tcPr>
            <w:tcW w:w="172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车辆超载、超速、超高、碰撞</w:t>
            </w:r>
          </w:p>
        </w:tc>
        <w:tc>
          <w:tcPr>
            <w:tcW w:w="1927"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路面损坏、防浪墙损坏、坝体结构变形或破坏</w:t>
            </w:r>
          </w:p>
        </w:tc>
        <w:tc>
          <w:tcPr>
            <w:tcW w:w="869"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LS法</w:t>
            </w:r>
          </w:p>
        </w:tc>
        <w:tc>
          <w:tcPr>
            <w:tcW w:w="81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3～18</w:t>
            </w:r>
          </w:p>
        </w:tc>
        <w:tc>
          <w:tcPr>
            <w:tcW w:w="84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w:t>
            </w:r>
          </w:p>
        </w:tc>
        <w:tc>
          <w:tcPr>
            <w:tcW w:w="84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3～100</w:t>
            </w:r>
          </w:p>
        </w:tc>
        <w:tc>
          <w:tcPr>
            <w:tcW w:w="111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9～1800</w:t>
            </w:r>
          </w:p>
        </w:tc>
        <w:tc>
          <w:tcPr>
            <w:tcW w:w="108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低～重大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19"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2</w:t>
            </w:r>
          </w:p>
        </w:tc>
        <w:tc>
          <w:tcPr>
            <w:tcW w:w="942" w:type="dxa"/>
            <w:vMerge w:val="continue"/>
            <w:vAlign w:val="center"/>
          </w:tcPr>
          <w:p>
            <w:pPr>
              <w:snapToGrid w:val="0"/>
              <w:jc w:val="center"/>
              <w:rPr>
                <w:rFonts w:cs="宋体" w:asciiTheme="minorEastAsia" w:hAnsiTheme="minorEastAsia" w:eastAsiaTheme="minorEastAsia"/>
                <w:sz w:val="20"/>
                <w:szCs w:val="20"/>
              </w:rPr>
            </w:pPr>
          </w:p>
        </w:tc>
        <w:tc>
          <w:tcPr>
            <w:tcW w:w="1048" w:type="dxa"/>
            <w:vMerge w:val="continue"/>
            <w:vAlign w:val="center"/>
          </w:tcPr>
          <w:p>
            <w:pPr>
              <w:snapToGrid w:val="0"/>
              <w:jc w:val="left"/>
              <w:rPr>
                <w:rFonts w:cs="宋体" w:asciiTheme="minorEastAsia" w:hAnsiTheme="minorEastAsia" w:eastAsiaTheme="minorEastAsia"/>
                <w:sz w:val="20"/>
                <w:szCs w:val="20"/>
              </w:rPr>
            </w:pPr>
          </w:p>
        </w:tc>
        <w:tc>
          <w:tcPr>
            <w:tcW w:w="2352"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坝顶排水</w:t>
            </w:r>
          </w:p>
        </w:tc>
        <w:tc>
          <w:tcPr>
            <w:tcW w:w="172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排水设施失效、积水</w:t>
            </w:r>
          </w:p>
        </w:tc>
        <w:tc>
          <w:tcPr>
            <w:tcW w:w="1927"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交通中断、车辆损坏</w:t>
            </w:r>
          </w:p>
        </w:tc>
        <w:tc>
          <w:tcPr>
            <w:tcW w:w="869"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LS法</w:t>
            </w:r>
          </w:p>
        </w:tc>
        <w:tc>
          <w:tcPr>
            <w:tcW w:w="81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3～6</w:t>
            </w:r>
          </w:p>
        </w:tc>
        <w:tc>
          <w:tcPr>
            <w:tcW w:w="84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w:t>
            </w:r>
          </w:p>
        </w:tc>
        <w:tc>
          <w:tcPr>
            <w:tcW w:w="84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3～100</w:t>
            </w:r>
          </w:p>
        </w:tc>
        <w:tc>
          <w:tcPr>
            <w:tcW w:w="111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9～600</w:t>
            </w:r>
          </w:p>
        </w:tc>
        <w:tc>
          <w:tcPr>
            <w:tcW w:w="108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低～重大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19"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w:t>
            </w:r>
          </w:p>
        </w:tc>
        <w:tc>
          <w:tcPr>
            <w:tcW w:w="942" w:type="dxa"/>
            <w:vMerge w:val="continue"/>
            <w:vAlign w:val="center"/>
          </w:tcPr>
          <w:p>
            <w:pPr>
              <w:snapToGrid w:val="0"/>
              <w:jc w:val="center"/>
              <w:rPr>
                <w:rFonts w:cs="宋体" w:asciiTheme="minorEastAsia" w:hAnsiTheme="minorEastAsia" w:eastAsiaTheme="minorEastAsia"/>
                <w:sz w:val="20"/>
                <w:szCs w:val="20"/>
              </w:rPr>
            </w:pPr>
          </w:p>
        </w:tc>
        <w:tc>
          <w:tcPr>
            <w:tcW w:w="1048" w:type="dxa"/>
            <w:vMerge w:val="continue"/>
            <w:vAlign w:val="center"/>
          </w:tcPr>
          <w:p>
            <w:pPr>
              <w:snapToGrid w:val="0"/>
              <w:jc w:val="left"/>
              <w:rPr>
                <w:rFonts w:cs="宋体" w:asciiTheme="minorEastAsia" w:hAnsiTheme="minorEastAsia" w:eastAsiaTheme="minorEastAsia"/>
                <w:sz w:val="20"/>
                <w:szCs w:val="20"/>
              </w:rPr>
            </w:pPr>
          </w:p>
        </w:tc>
        <w:tc>
          <w:tcPr>
            <w:tcW w:w="2352"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混凝土、浆砌石坝坝体渗漏</w:t>
            </w:r>
          </w:p>
        </w:tc>
        <w:tc>
          <w:tcPr>
            <w:tcW w:w="172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接缝破损、止水失效</w:t>
            </w:r>
          </w:p>
        </w:tc>
        <w:tc>
          <w:tcPr>
            <w:tcW w:w="1927"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结构破坏</w:t>
            </w:r>
          </w:p>
        </w:tc>
        <w:tc>
          <w:tcPr>
            <w:tcW w:w="869"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LS法</w:t>
            </w:r>
          </w:p>
        </w:tc>
        <w:tc>
          <w:tcPr>
            <w:tcW w:w="816" w:type="dxa"/>
            <w:vAlign w:val="center"/>
          </w:tcPr>
          <w:p>
            <w:pPr>
              <w:snapToGrid w:val="0"/>
              <w:jc w:val="center"/>
              <w:rPr>
                <w:rFonts w:cs="宋体" w:asciiTheme="minorEastAsia" w:hAnsiTheme="minorEastAsia" w:eastAsiaTheme="minorEastAsia"/>
                <w:sz w:val="20"/>
                <w:szCs w:val="20"/>
              </w:rPr>
            </w:pPr>
            <w:r>
              <w:rPr>
                <w:rFonts w:cs="宋体" w:asciiTheme="minorEastAsia" w:hAnsiTheme="minorEastAsia" w:eastAsiaTheme="minorEastAsia"/>
                <w:sz w:val="20"/>
                <w:szCs w:val="20"/>
              </w:rPr>
              <w:t>3～36</w:t>
            </w:r>
          </w:p>
        </w:tc>
        <w:tc>
          <w:tcPr>
            <w:tcW w:w="84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w:t>
            </w:r>
          </w:p>
        </w:tc>
        <w:tc>
          <w:tcPr>
            <w:tcW w:w="84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3～100</w:t>
            </w:r>
          </w:p>
        </w:tc>
        <w:tc>
          <w:tcPr>
            <w:tcW w:w="1116" w:type="dxa"/>
            <w:vAlign w:val="center"/>
          </w:tcPr>
          <w:p>
            <w:pPr>
              <w:snapToGrid w:val="0"/>
              <w:jc w:val="center"/>
              <w:rPr>
                <w:rFonts w:cs="宋体" w:asciiTheme="minorEastAsia" w:hAnsiTheme="minorEastAsia" w:eastAsiaTheme="minorEastAsia"/>
                <w:sz w:val="20"/>
                <w:szCs w:val="20"/>
              </w:rPr>
            </w:pPr>
            <w:r>
              <w:rPr>
                <w:rFonts w:cs="宋体" w:asciiTheme="minorEastAsia" w:hAnsiTheme="minorEastAsia" w:eastAsiaTheme="minorEastAsia"/>
                <w:sz w:val="20"/>
                <w:szCs w:val="20"/>
              </w:rPr>
              <w:t>9～3600</w:t>
            </w:r>
          </w:p>
        </w:tc>
        <w:tc>
          <w:tcPr>
            <w:tcW w:w="108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低～重大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19"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4</w:t>
            </w:r>
          </w:p>
        </w:tc>
        <w:tc>
          <w:tcPr>
            <w:tcW w:w="942" w:type="dxa"/>
            <w:vMerge w:val="continue"/>
            <w:vAlign w:val="center"/>
          </w:tcPr>
          <w:p>
            <w:pPr>
              <w:snapToGrid w:val="0"/>
              <w:jc w:val="center"/>
              <w:rPr>
                <w:rFonts w:cs="宋体" w:asciiTheme="minorEastAsia" w:hAnsiTheme="minorEastAsia" w:eastAsiaTheme="minorEastAsia"/>
                <w:sz w:val="20"/>
                <w:szCs w:val="20"/>
              </w:rPr>
            </w:pPr>
          </w:p>
        </w:tc>
        <w:tc>
          <w:tcPr>
            <w:tcW w:w="1048" w:type="dxa"/>
            <w:vMerge w:val="continue"/>
            <w:vAlign w:val="center"/>
          </w:tcPr>
          <w:p>
            <w:pPr>
              <w:snapToGrid w:val="0"/>
              <w:jc w:val="left"/>
              <w:rPr>
                <w:rFonts w:cs="宋体" w:asciiTheme="minorEastAsia" w:hAnsiTheme="minorEastAsia" w:eastAsiaTheme="minorEastAsia"/>
                <w:sz w:val="20"/>
                <w:szCs w:val="20"/>
              </w:rPr>
            </w:pPr>
          </w:p>
        </w:tc>
        <w:tc>
          <w:tcPr>
            <w:tcW w:w="2352"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混凝土、浆砌石坝坝体内部廊道渗漏</w:t>
            </w:r>
          </w:p>
        </w:tc>
        <w:tc>
          <w:tcPr>
            <w:tcW w:w="172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接缝破损、止水失效</w:t>
            </w:r>
          </w:p>
        </w:tc>
        <w:tc>
          <w:tcPr>
            <w:tcW w:w="1927"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沉降、设备损坏</w:t>
            </w:r>
          </w:p>
        </w:tc>
        <w:tc>
          <w:tcPr>
            <w:tcW w:w="869"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LS法</w:t>
            </w:r>
          </w:p>
        </w:tc>
        <w:tc>
          <w:tcPr>
            <w:tcW w:w="81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3～18</w:t>
            </w:r>
          </w:p>
        </w:tc>
        <w:tc>
          <w:tcPr>
            <w:tcW w:w="84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w:t>
            </w:r>
          </w:p>
        </w:tc>
        <w:tc>
          <w:tcPr>
            <w:tcW w:w="84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3～100</w:t>
            </w:r>
          </w:p>
        </w:tc>
        <w:tc>
          <w:tcPr>
            <w:tcW w:w="111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9～1800</w:t>
            </w:r>
          </w:p>
        </w:tc>
        <w:tc>
          <w:tcPr>
            <w:tcW w:w="108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低～重大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19"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5</w:t>
            </w:r>
          </w:p>
        </w:tc>
        <w:tc>
          <w:tcPr>
            <w:tcW w:w="942" w:type="dxa"/>
            <w:vMerge w:val="continue"/>
            <w:vAlign w:val="center"/>
          </w:tcPr>
          <w:p>
            <w:pPr>
              <w:snapToGrid w:val="0"/>
              <w:jc w:val="left"/>
              <w:rPr>
                <w:rFonts w:cs="宋体" w:asciiTheme="minorEastAsia" w:hAnsiTheme="minorEastAsia" w:eastAsiaTheme="minorEastAsia"/>
                <w:sz w:val="20"/>
                <w:szCs w:val="20"/>
              </w:rPr>
            </w:pPr>
          </w:p>
        </w:tc>
        <w:tc>
          <w:tcPr>
            <w:tcW w:w="1048" w:type="dxa"/>
            <w:vMerge w:val="continue"/>
            <w:vAlign w:val="center"/>
          </w:tcPr>
          <w:p>
            <w:pPr>
              <w:snapToGrid w:val="0"/>
              <w:jc w:val="left"/>
              <w:rPr>
                <w:rFonts w:cs="宋体" w:asciiTheme="minorEastAsia" w:hAnsiTheme="minorEastAsia" w:eastAsiaTheme="minorEastAsia"/>
                <w:sz w:val="20"/>
                <w:szCs w:val="20"/>
              </w:rPr>
            </w:pPr>
          </w:p>
        </w:tc>
        <w:tc>
          <w:tcPr>
            <w:tcW w:w="2352"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混凝土、浆砌石坝坝体内部廊道排水</w:t>
            </w:r>
          </w:p>
        </w:tc>
        <w:tc>
          <w:tcPr>
            <w:tcW w:w="172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排水设施失效、积水</w:t>
            </w:r>
          </w:p>
        </w:tc>
        <w:tc>
          <w:tcPr>
            <w:tcW w:w="1927"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沉降、设备损坏</w:t>
            </w:r>
          </w:p>
        </w:tc>
        <w:tc>
          <w:tcPr>
            <w:tcW w:w="869"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LS法</w:t>
            </w:r>
          </w:p>
        </w:tc>
        <w:tc>
          <w:tcPr>
            <w:tcW w:w="81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3～18</w:t>
            </w:r>
          </w:p>
        </w:tc>
        <w:tc>
          <w:tcPr>
            <w:tcW w:w="84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w:t>
            </w:r>
          </w:p>
        </w:tc>
        <w:tc>
          <w:tcPr>
            <w:tcW w:w="84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3～100</w:t>
            </w:r>
          </w:p>
        </w:tc>
        <w:tc>
          <w:tcPr>
            <w:tcW w:w="111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9～1800</w:t>
            </w:r>
          </w:p>
        </w:tc>
        <w:tc>
          <w:tcPr>
            <w:tcW w:w="108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低～重大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19"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6</w:t>
            </w:r>
          </w:p>
        </w:tc>
        <w:tc>
          <w:tcPr>
            <w:tcW w:w="942" w:type="dxa"/>
            <w:vMerge w:val="continue"/>
            <w:vAlign w:val="center"/>
          </w:tcPr>
          <w:p>
            <w:pPr>
              <w:snapToGrid w:val="0"/>
              <w:jc w:val="left"/>
              <w:rPr>
                <w:rFonts w:cs="宋体" w:asciiTheme="minorEastAsia" w:hAnsiTheme="minorEastAsia" w:eastAsiaTheme="minorEastAsia"/>
                <w:sz w:val="20"/>
                <w:szCs w:val="20"/>
              </w:rPr>
            </w:pPr>
          </w:p>
        </w:tc>
        <w:tc>
          <w:tcPr>
            <w:tcW w:w="1048" w:type="dxa"/>
            <w:vMerge w:val="continue"/>
            <w:vAlign w:val="center"/>
          </w:tcPr>
          <w:p>
            <w:pPr>
              <w:snapToGrid w:val="0"/>
              <w:jc w:val="left"/>
              <w:rPr>
                <w:rFonts w:cs="宋体" w:asciiTheme="minorEastAsia" w:hAnsiTheme="minorEastAsia" w:eastAsiaTheme="minorEastAsia"/>
                <w:sz w:val="20"/>
                <w:szCs w:val="20"/>
              </w:rPr>
            </w:pPr>
          </w:p>
        </w:tc>
        <w:tc>
          <w:tcPr>
            <w:tcW w:w="2352"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上游坡坡面</w:t>
            </w:r>
          </w:p>
        </w:tc>
        <w:tc>
          <w:tcPr>
            <w:tcW w:w="172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滑坡、裂缝</w:t>
            </w:r>
          </w:p>
        </w:tc>
        <w:tc>
          <w:tcPr>
            <w:tcW w:w="1927"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结构破坏、坝坡失稳</w:t>
            </w:r>
          </w:p>
        </w:tc>
        <w:tc>
          <w:tcPr>
            <w:tcW w:w="869"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LS法</w:t>
            </w:r>
          </w:p>
        </w:tc>
        <w:tc>
          <w:tcPr>
            <w:tcW w:w="81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3～36</w:t>
            </w:r>
          </w:p>
        </w:tc>
        <w:tc>
          <w:tcPr>
            <w:tcW w:w="84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w:t>
            </w:r>
          </w:p>
        </w:tc>
        <w:tc>
          <w:tcPr>
            <w:tcW w:w="84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3～100</w:t>
            </w:r>
          </w:p>
        </w:tc>
        <w:tc>
          <w:tcPr>
            <w:tcW w:w="111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9～3600</w:t>
            </w:r>
          </w:p>
        </w:tc>
        <w:tc>
          <w:tcPr>
            <w:tcW w:w="108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低～重大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19"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7</w:t>
            </w:r>
          </w:p>
        </w:tc>
        <w:tc>
          <w:tcPr>
            <w:tcW w:w="942" w:type="dxa"/>
            <w:vMerge w:val="continue"/>
            <w:vAlign w:val="center"/>
          </w:tcPr>
          <w:p>
            <w:pPr>
              <w:snapToGrid w:val="0"/>
              <w:jc w:val="left"/>
              <w:rPr>
                <w:rFonts w:cs="宋体" w:asciiTheme="minorEastAsia" w:hAnsiTheme="minorEastAsia" w:eastAsiaTheme="minorEastAsia"/>
                <w:sz w:val="20"/>
                <w:szCs w:val="20"/>
              </w:rPr>
            </w:pPr>
          </w:p>
        </w:tc>
        <w:tc>
          <w:tcPr>
            <w:tcW w:w="1048" w:type="dxa"/>
            <w:vMerge w:val="continue"/>
            <w:vAlign w:val="center"/>
          </w:tcPr>
          <w:p>
            <w:pPr>
              <w:snapToGrid w:val="0"/>
              <w:jc w:val="left"/>
              <w:rPr>
                <w:rFonts w:cs="宋体" w:asciiTheme="minorEastAsia" w:hAnsiTheme="minorEastAsia" w:eastAsiaTheme="minorEastAsia"/>
                <w:sz w:val="20"/>
                <w:szCs w:val="20"/>
              </w:rPr>
            </w:pPr>
          </w:p>
        </w:tc>
        <w:tc>
          <w:tcPr>
            <w:tcW w:w="2352"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上游坡受波浪冲刷</w:t>
            </w:r>
          </w:p>
        </w:tc>
        <w:tc>
          <w:tcPr>
            <w:tcW w:w="172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护坡结构破损</w:t>
            </w:r>
          </w:p>
        </w:tc>
        <w:tc>
          <w:tcPr>
            <w:tcW w:w="1927"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结构破坏</w:t>
            </w:r>
          </w:p>
        </w:tc>
        <w:tc>
          <w:tcPr>
            <w:tcW w:w="869"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LS法</w:t>
            </w:r>
          </w:p>
        </w:tc>
        <w:tc>
          <w:tcPr>
            <w:tcW w:w="81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3～18</w:t>
            </w:r>
          </w:p>
        </w:tc>
        <w:tc>
          <w:tcPr>
            <w:tcW w:w="84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w:t>
            </w:r>
          </w:p>
        </w:tc>
        <w:tc>
          <w:tcPr>
            <w:tcW w:w="84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3～100</w:t>
            </w:r>
          </w:p>
        </w:tc>
        <w:tc>
          <w:tcPr>
            <w:tcW w:w="111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9～1800</w:t>
            </w:r>
          </w:p>
        </w:tc>
        <w:tc>
          <w:tcPr>
            <w:tcW w:w="108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低～重大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19"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8</w:t>
            </w:r>
          </w:p>
        </w:tc>
        <w:tc>
          <w:tcPr>
            <w:tcW w:w="942" w:type="dxa"/>
            <w:vMerge w:val="continue"/>
            <w:vAlign w:val="center"/>
          </w:tcPr>
          <w:p>
            <w:pPr>
              <w:snapToGrid w:val="0"/>
              <w:jc w:val="left"/>
              <w:rPr>
                <w:rFonts w:cs="宋体" w:asciiTheme="minorEastAsia" w:hAnsiTheme="minorEastAsia" w:eastAsiaTheme="minorEastAsia"/>
                <w:sz w:val="20"/>
                <w:szCs w:val="20"/>
              </w:rPr>
            </w:pPr>
          </w:p>
        </w:tc>
        <w:tc>
          <w:tcPr>
            <w:tcW w:w="1048" w:type="dxa"/>
            <w:vMerge w:val="continue"/>
            <w:vAlign w:val="center"/>
          </w:tcPr>
          <w:p>
            <w:pPr>
              <w:snapToGrid w:val="0"/>
              <w:jc w:val="left"/>
              <w:rPr>
                <w:rFonts w:cs="宋体" w:asciiTheme="minorEastAsia" w:hAnsiTheme="minorEastAsia" w:eastAsiaTheme="minorEastAsia"/>
                <w:sz w:val="20"/>
                <w:szCs w:val="20"/>
              </w:rPr>
            </w:pPr>
          </w:p>
        </w:tc>
        <w:tc>
          <w:tcPr>
            <w:tcW w:w="2352"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下游坡坡面</w:t>
            </w:r>
          </w:p>
        </w:tc>
        <w:tc>
          <w:tcPr>
            <w:tcW w:w="172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滑坡、裂缝</w:t>
            </w:r>
          </w:p>
        </w:tc>
        <w:tc>
          <w:tcPr>
            <w:tcW w:w="1927"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结构破坏、坝坡失稳</w:t>
            </w:r>
          </w:p>
        </w:tc>
        <w:tc>
          <w:tcPr>
            <w:tcW w:w="869"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LS法</w:t>
            </w:r>
          </w:p>
        </w:tc>
        <w:tc>
          <w:tcPr>
            <w:tcW w:w="81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3～36</w:t>
            </w:r>
          </w:p>
        </w:tc>
        <w:tc>
          <w:tcPr>
            <w:tcW w:w="84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w:t>
            </w:r>
          </w:p>
        </w:tc>
        <w:tc>
          <w:tcPr>
            <w:tcW w:w="84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3～100</w:t>
            </w:r>
          </w:p>
        </w:tc>
        <w:tc>
          <w:tcPr>
            <w:tcW w:w="111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9～3600</w:t>
            </w:r>
          </w:p>
        </w:tc>
        <w:tc>
          <w:tcPr>
            <w:tcW w:w="108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低～重大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19"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9</w:t>
            </w:r>
          </w:p>
        </w:tc>
        <w:tc>
          <w:tcPr>
            <w:tcW w:w="942" w:type="dxa"/>
            <w:vMerge w:val="continue"/>
            <w:vAlign w:val="center"/>
          </w:tcPr>
          <w:p>
            <w:pPr>
              <w:snapToGrid w:val="0"/>
              <w:jc w:val="left"/>
              <w:rPr>
                <w:rFonts w:cs="宋体" w:asciiTheme="minorEastAsia" w:hAnsiTheme="minorEastAsia" w:eastAsiaTheme="minorEastAsia"/>
                <w:sz w:val="20"/>
                <w:szCs w:val="20"/>
              </w:rPr>
            </w:pPr>
          </w:p>
        </w:tc>
        <w:tc>
          <w:tcPr>
            <w:tcW w:w="1048" w:type="dxa"/>
            <w:vMerge w:val="continue"/>
            <w:vAlign w:val="center"/>
          </w:tcPr>
          <w:p>
            <w:pPr>
              <w:snapToGrid w:val="0"/>
              <w:jc w:val="left"/>
              <w:rPr>
                <w:rFonts w:cs="宋体" w:asciiTheme="minorEastAsia" w:hAnsiTheme="minorEastAsia" w:eastAsiaTheme="minorEastAsia"/>
                <w:sz w:val="20"/>
                <w:szCs w:val="20"/>
              </w:rPr>
            </w:pPr>
          </w:p>
        </w:tc>
        <w:tc>
          <w:tcPr>
            <w:tcW w:w="2352"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下游坡受水流冲刷</w:t>
            </w:r>
          </w:p>
        </w:tc>
        <w:tc>
          <w:tcPr>
            <w:tcW w:w="172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护坡结构破损</w:t>
            </w:r>
          </w:p>
        </w:tc>
        <w:tc>
          <w:tcPr>
            <w:tcW w:w="1927"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护坡剥蚀</w:t>
            </w:r>
          </w:p>
        </w:tc>
        <w:tc>
          <w:tcPr>
            <w:tcW w:w="869"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LS法</w:t>
            </w:r>
          </w:p>
        </w:tc>
        <w:tc>
          <w:tcPr>
            <w:tcW w:w="81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3～6</w:t>
            </w:r>
          </w:p>
        </w:tc>
        <w:tc>
          <w:tcPr>
            <w:tcW w:w="84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w:t>
            </w:r>
          </w:p>
        </w:tc>
        <w:tc>
          <w:tcPr>
            <w:tcW w:w="84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3～100</w:t>
            </w:r>
          </w:p>
        </w:tc>
        <w:tc>
          <w:tcPr>
            <w:tcW w:w="111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9～600</w:t>
            </w:r>
          </w:p>
        </w:tc>
        <w:tc>
          <w:tcPr>
            <w:tcW w:w="108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低～重大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19"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10</w:t>
            </w:r>
          </w:p>
        </w:tc>
        <w:tc>
          <w:tcPr>
            <w:tcW w:w="942" w:type="dxa"/>
            <w:vMerge w:val="continue"/>
            <w:vAlign w:val="center"/>
          </w:tcPr>
          <w:p>
            <w:pPr>
              <w:snapToGrid w:val="0"/>
              <w:jc w:val="left"/>
              <w:rPr>
                <w:rFonts w:cs="宋体" w:asciiTheme="minorEastAsia" w:hAnsiTheme="minorEastAsia" w:eastAsiaTheme="minorEastAsia"/>
                <w:sz w:val="20"/>
                <w:szCs w:val="20"/>
              </w:rPr>
            </w:pPr>
          </w:p>
        </w:tc>
        <w:tc>
          <w:tcPr>
            <w:tcW w:w="1048" w:type="dxa"/>
            <w:vMerge w:val="continue"/>
            <w:tcBorders>
              <w:bottom w:val="single" w:color="auto" w:sz="4" w:space="0"/>
            </w:tcBorders>
            <w:vAlign w:val="center"/>
          </w:tcPr>
          <w:p>
            <w:pPr>
              <w:snapToGrid w:val="0"/>
              <w:jc w:val="left"/>
              <w:rPr>
                <w:rFonts w:cs="宋体" w:asciiTheme="minorEastAsia" w:hAnsiTheme="minorEastAsia" w:eastAsiaTheme="minorEastAsia"/>
                <w:sz w:val="20"/>
                <w:szCs w:val="20"/>
              </w:rPr>
            </w:pPr>
          </w:p>
        </w:tc>
        <w:tc>
          <w:tcPr>
            <w:tcW w:w="2352"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坝肩排水</w:t>
            </w:r>
          </w:p>
        </w:tc>
        <w:tc>
          <w:tcPr>
            <w:tcW w:w="172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排水设施失效</w:t>
            </w:r>
          </w:p>
        </w:tc>
        <w:tc>
          <w:tcPr>
            <w:tcW w:w="1927"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位移、变形</w:t>
            </w:r>
          </w:p>
        </w:tc>
        <w:tc>
          <w:tcPr>
            <w:tcW w:w="869"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LS法</w:t>
            </w:r>
          </w:p>
        </w:tc>
        <w:tc>
          <w:tcPr>
            <w:tcW w:w="81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3～18</w:t>
            </w:r>
          </w:p>
        </w:tc>
        <w:tc>
          <w:tcPr>
            <w:tcW w:w="84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w:t>
            </w:r>
          </w:p>
        </w:tc>
        <w:tc>
          <w:tcPr>
            <w:tcW w:w="84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3～100</w:t>
            </w:r>
          </w:p>
        </w:tc>
        <w:tc>
          <w:tcPr>
            <w:tcW w:w="111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9～1800</w:t>
            </w:r>
          </w:p>
        </w:tc>
        <w:tc>
          <w:tcPr>
            <w:tcW w:w="108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低～重大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19"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11</w:t>
            </w:r>
          </w:p>
        </w:tc>
        <w:tc>
          <w:tcPr>
            <w:tcW w:w="942" w:type="dxa"/>
            <w:vMerge w:val="restart"/>
            <w:tcBorders>
              <w:right w:val="single" w:color="auto" w:sz="4" w:space="0"/>
            </w:tcBorders>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构（建）筑物类</w:t>
            </w:r>
          </w:p>
        </w:tc>
        <w:tc>
          <w:tcPr>
            <w:tcW w:w="1048" w:type="dxa"/>
            <w:vMerge w:val="restart"/>
            <w:tcBorders>
              <w:top w:val="single" w:color="auto" w:sz="4" w:space="0"/>
              <w:left w:val="single" w:color="auto" w:sz="4" w:space="0"/>
              <w:bottom w:val="single" w:color="auto" w:sz="4" w:space="0"/>
              <w:right w:val="single" w:color="auto" w:sz="4" w:space="0"/>
            </w:tcBorders>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泄水建筑物</w:t>
            </w:r>
          </w:p>
        </w:tc>
        <w:tc>
          <w:tcPr>
            <w:tcW w:w="2352" w:type="dxa"/>
            <w:tcBorders>
              <w:left w:val="single" w:color="auto" w:sz="4" w:space="0"/>
            </w:tcBorders>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溢洪道进水段、泄槽段坡面</w:t>
            </w:r>
          </w:p>
        </w:tc>
        <w:tc>
          <w:tcPr>
            <w:tcW w:w="172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水流冲刷</w:t>
            </w:r>
          </w:p>
        </w:tc>
        <w:tc>
          <w:tcPr>
            <w:tcW w:w="1927"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崩塌、开裂</w:t>
            </w:r>
          </w:p>
        </w:tc>
        <w:tc>
          <w:tcPr>
            <w:tcW w:w="869"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LS法</w:t>
            </w:r>
          </w:p>
        </w:tc>
        <w:tc>
          <w:tcPr>
            <w:tcW w:w="81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3～36</w:t>
            </w:r>
          </w:p>
        </w:tc>
        <w:tc>
          <w:tcPr>
            <w:tcW w:w="84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w:t>
            </w:r>
          </w:p>
        </w:tc>
        <w:tc>
          <w:tcPr>
            <w:tcW w:w="84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3～100</w:t>
            </w:r>
          </w:p>
        </w:tc>
        <w:tc>
          <w:tcPr>
            <w:tcW w:w="111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9～3600</w:t>
            </w:r>
          </w:p>
        </w:tc>
        <w:tc>
          <w:tcPr>
            <w:tcW w:w="108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低～重大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19"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12</w:t>
            </w:r>
          </w:p>
        </w:tc>
        <w:tc>
          <w:tcPr>
            <w:tcW w:w="942" w:type="dxa"/>
            <w:vMerge w:val="continue"/>
            <w:tcBorders>
              <w:right w:val="single" w:color="auto" w:sz="4" w:space="0"/>
            </w:tcBorders>
            <w:vAlign w:val="center"/>
          </w:tcPr>
          <w:p>
            <w:pPr>
              <w:snapToGrid w:val="0"/>
              <w:jc w:val="left"/>
              <w:rPr>
                <w:rFonts w:cs="宋体" w:asciiTheme="minorEastAsia" w:hAnsiTheme="minorEastAsia" w:eastAsiaTheme="minorEastAsia"/>
                <w:sz w:val="20"/>
                <w:szCs w:val="20"/>
              </w:rPr>
            </w:pPr>
          </w:p>
        </w:tc>
        <w:tc>
          <w:tcPr>
            <w:tcW w:w="1048" w:type="dxa"/>
            <w:vMerge w:val="continue"/>
            <w:tcBorders>
              <w:top w:val="single" w:color="auto" w:sz="4" w:space="0"/>
              <w:left w:val="single" w:color="auto" w:sz="4" w:space="0"/>
              <w:bottom w:val="single" w:color="auto" w:sz="4" w:space="0"/>
              <w:right w:val="single" w:color="auto" w:sz="4" w:space="0"/>
            </w:tcBorders>
            <w:vAlign w:val="center"/>
          </w:tcPr>
          <w:p>
            <w:pPr>
              <w:snapToGrid w:val="0"/>
              <w:jc w:val="center"/>
              <w:rPr>
                <w:rFonts w:cs="宋体" w:asciiTheme="minorEastAsia" w:hAnsiTheme="minorEastAsia" w:eastAsiaTheme="minorEastAsia"/>
                <w:sz w:val="20"/>
                <w:szCs w:val="20"/>
              </w:rPr>
            </w:pPr>
          </w:p>
        </w:tc>
        <w:tc>
          <w:tcPr>
            <w:tcW w:w="2352" w:type="dxa"/>
            <w:tcBorders>
              <w:left w:val="single" w:color="auto" w:sz="4" w:space="0"/>
            </w:tcBorders>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溢洪道结构表面</w:t>
            </w:r>
          </w:p>
        </w:tc>
        <w:tc>
          <w:tcPr>
            <w:tcW w:w="172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水流冲刷</w:t>
            </w:r>
          </w:p>
        </w:tc>
        <w:tc>
          <w:tcPr>
            <w:tcW w:w="1927"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结构破坏、裂缝、剥蚀、空蚀</w:t>
            </w:r>
          </w:p>
        </w:tc>
        <w:tc>
          <w:tcPr>
            <w:tcW w:w="869"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LS法</w:t>
            </w:r>
          </w:p>
        </w:tc>
        <w:tc>
          <w:tcPr>
            <w:tcW w:w="81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3～18</w:t>
            </w:r>
          </w:p>
        </w:tc>
        <w:tc>
          <w:tcPr>
            <w:tcW w:w="84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w:t>
            </w:r>
          </w:p>
        </w:tc>
        <w:tc>
          <w:tcPr>
            <w:tcW w:w="84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3～100</w:t>
            </w:r>
          </w:p>
        </w:tc>
        <w:tc>
          <w:tcPr>
            <w:tcW w:w="111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9～1800</w:t>
            </w:r>
          </w:p>
        </w:tc>
        <w:tc>
          <w:tcPr>
            <w:tcW w:w="108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低～重大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19"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13</w:t>
            </w:r>
          </w:p>
        </w:tc>
        <w:tc>
          <w:tcPr>
            <w:tcW w:w="942" w:type="dxa"/>
            <w:vMerge w:val="continue"/>
            <w:tcBorders>
              <w:right w:val="single" w:color="auto" w:sz="4" w:space="0"/>
            </w:tcBorders>
            <w:vAlign w:val="center"/>
          </w:tcPr>
          <w:p>
            <w:pPr>
              <w:snapToGrid w:val="0"/>
              <w:jc w:val="left"/>
              <w:rPr>
                <w:rFonts w:cs="宋体" w:asciiTheme="minorEastAsia" w:hAnsiTheme="minorEastAsia" w:eastAsiaTheme="minorEastAsia"/>
                <w:sz w:val="20"/>
                <w:szCs w:val="20"/>
              </w:rPr>
            </w:pPr>
          </w:p>
        </w:tc>
        <w:tc>
          <w:tcPr>
            <w:tcW w:w="1048" w:type="dxa"/>
            <w:vMerge w:val="continue"/>
            <w:tcBorders>
              <w:top w:val="single" w:color="auto" w:sz="4" w:space="0"/>
              <w:left w:val="single" w:color="auto" w:sz="4" w:space="0"/>
              <w:bottom w:val="single" w:color="auto" w:sz="4" w:space="0"/>
              <w:right w:val="single" w:color="auto" w:sz="4" w:space="0"/>
            </w:tcBorders>
            <w:vAlign w:val="center"/>
          </w:tcPr>
          <w:p>
            <w:pPr>
              <w:snapToGrid w:val="0"/>
              <w:jc w:val="left"/>
              <w:rPr>
                <w:rFonts w:cs="宋体" w:asciiTheme="minorEastAsia" w:hAnsiTheme="minorEastAsia" w:eastAsiaTheme="minorEastAsia"/>
                <w:sz w:val="20"/>
                <w:szCs w:val="20"/>
              </w:rPr>
            </w:pPr>
          </w:p>
        </w:tc>
        <w:tc>
          <w:tcPr>
            <w:tcW w:w="2352" w:type="dxa"/>
            <w:tcBorders>
              <w:left w:val="single" w:color="auto" w:sz="4" w:space="0"/>
            </w:tcBorders>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溢洪道渗漏</w:t>
            </w:r>
          </w:p>
        </w:tc>
        <w:tc>
          <w:tcPr>
            <w:tcW w:w="172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接缝破损、止水失效</w:t>
            </w:r>
          </w:p>
        </w:tc>
        <w:tc>
          <w:tcPr>
            <w:tcW w:w="1927"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位移、墙后土体塌陷</w:t>
            </w:r>
          </w:p>
        </w:tc>
        <w:tc>
          <w:tcPr>
            <w:tcW w:w="869"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LS法</w:t>
            </w:r>
          </w:p>
        </w:tc>
        <w:tc>
          <w:tcPr>
            <w:tcW w:w="81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3～18</w:t>
            </w:r>
          </w:p>
        </w:tc>
        <w:tc>
          <w:tcPr>
            <w:tcW w:w="84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w:t>
            </w:r>
          </w:p>
        </w:tc>
        <w:tc>
          <w:tcPr>
            <w:tcW w:w="84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3～100</w:t>
            </w:r>
          </w:p>
        </w:tc>
        <w:tc>
          <w:tcPr>
            <w:tcW w:w="111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9～1800</w:t>
            </w:r>
          </w:p>
        </w:tc>
        <w:tc>
          <w:tcPr>
            <w:tcW w:w="108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低～重大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19"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14</w:t>
            </w:r>
          </w:p>
        </w:tc>
        <w:tc>
          <w:tcPr>
            <w:tcW w:w="942" w:type="dxa"/>
            <w:vMerge w:val="continue"/>
            <w:tcBorders>
              <w:right w:val="single" w:color="auto" w:sz="4" w:space="0"/>
            </w:tcBorders>
            <w:vAlign w:val="center"/>
          </w:tcPr>
          <w:p>
            <w:pPr>
              <w:snapToGrid w:val="0"/>
              <w:jc w:val="left"/>
              <w:rPr>
                <w:rFonts w:cs="宋体" w:asciiTheme="minorEastAsia" w:hAnsiTheme="minorEastAsia" w:eastAsiaTheme="minorEastAsia"/>
                <w:sz w:val="20"/>
                <w:szCs w:val="20"/>
              </w:rPr>
            </w:pPr>
          </w:p>
        </w:tc>
        <w:tc>
          <w:tcPr>
            <w:tcW w:w="1048" w:type="dxa"/>
            <w:vMerge w:val="continue"/>
            <w:tcBorders>
              <w:top w:val="single" w:color="auto" w:sz="4" w:space="0"/>
              <w:left w:val="single" w:color="auto" w:sz="4" w:space="0"/>
              <w:bottom w:val="single" w:color="auto" w:sz="4" w:space="0"/>
              <w:right w:val="single" w:color="auto" w:sz="4" w:space="0"/>
            </w:tcBorders>
            <w:vAlign w:val="center"/>
          </w:tcPr>
          <w:p>
            <w:pPr>
              <w:snapToGrid w:val="0"/>
              <w:jc w:val="left"/>
              <w:rPr>
                <w:rFonts w:cs="宋体" w:asciiTheme="minorEastAsia" w:hAnsiTheme="minorEastAsia" w:eastAsiaTheme="minorEastAsia"/>
                <w:sz w:val="20"/>
                <w:szCs w:val="20"/>
              </w:rPr>
            </w:pPr>
          </w:p>
        </w:tc>
        <w:tc>
          <w:tcPr>
            <w:tcW w:w="2352" w:type="dxa"/>
            <w:tcBorders>
              <w:left w:val="single" w:color="auto" w:sz="4" w:space="0"/>
            </w:tcBorders>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溢洪道溢流堰体</w:t>
            </w:r>
          </w:p>
        </w:tc>
        <w:tc>
          <w:tcPr>
            <w:tcW w:w="172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水流冲刷</w:t>
            </w:r>
          </w:p>
        </w:tc>
        <w:tc>
          <w:tcPr>
            <w:tcW w:w="1927"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结构破坏、剥蚀、空蚀</w:t>
            </w:r>
          </w:p>
        </w:tc>
        <w:tc>
          <w:tcPr>
            <w:tcW w:w="869"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LS法</w:t>
            </w:r>
          </w:p>
        </w:tc>
        <w:tc>
          <w:tcPr>
            <w:tcW w:w="81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3～36</w:t>
            </w:r>
          </w:p>
        </w:tc>
        <w:tc>
          <w:tcPr>
            <w:tcW w:w="84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w:t>
            </w:r>
          </w:p>
        </w:tc>
        <w:tc>
          <w:tcPr>
            <w:tcW w:w="84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3～100</w:t>
            </w:r>
          </w:p>
        </w:tc>
        <w:tc>
          <w:tcPr>
            <w:tcW w:w="111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9～3600</w:t>
            </w:r>
          </w:p>
        </w:tc>
        <w:tc>
          <w:tcPr>
            <w:tcW w:w="108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低～重大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19"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15</w:t>
            </w:r>
          </w:p>
        </w:tc>
        <w:tc>
          <w:tcPr>
            <w:tcW w:w="942" w:type="dxa"/>
            <w:vMerge w:val="continue"/>
            <w:tcBorders>
              <w:right w:val="single" w:color="auto" w:sz="4" w:space="0"/>
            </w:tcBorders>
            <w:vAlign w:val="center"/>
          </w:tcPr>
          <w:p>
            <w:pPr>
              <w:snapToGrid w:val="0"/>
              <w:jc w:val="left"/>
              <w:rPr>
                <w:rFonts w:cs="宋体" w:asciiTheme="minorEastAsia" w:hAnsiTheme="minorEastAsia" w:eastAsiaTheme="minorEastAsia"/>
                <w:sz w:val="20"/>
                <w:szCs w:val="20"/>
              </w:rPr>
            </w:pPr>
          </w:p>
        </w:tc>
        <w:tc>
          <w:tcPr>
            <w:tcW w:w="1048" w:type="dxa"/>
            <w:vMerge w:val="continue"/>
            <w:tcBorders>
              <w:top w:val="single" w:color="auto" w:sz="4" w:space="0"/>
              <w:left w:val="single" w:color="auto" w:sz="4" w:space="0"/>
              <w:bottom w:val="single" w:color="auto" w:sz="4" w:space="0"/>
              <w:right w:val="single" w:color="auto" w:sz="4" w:space="0"/>
            </w:tcBorders>
            <w:vAlign w:val="center"/>
          </w:tcPr>
          <w:p>
            <w:pPr>
              <w:snapToGrid w:val="0"/>
              <w:jc w:val="left"/>
              <w:rPr>
                <w:rFonts w:cs="宋体" w:asciiTheme="minorEastAsia" w:hAnsiTheme="minorEastAsia" w:eastAsiaTheme="minorEastAsia"/>
                <w:sz w:val="20"/>
                <w:szCs w:val="20"/>
              </w:rPr>
            </w:pPr>
          </w:p>
        </w:tc>
        <w:tc>
          <w:tcPr>
            <w:tcW w:w="2352" w:type="dxa"/>
            <w:tcBorders>
              <w:left w:val="single" w:color="auto" w:sz="4" w:space="0"/>
            </w:tcBorders>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溢洪道渗流</w:t>
            </w:r>
          </w:p>
        </w:tc>
        <w:tc>
          <w:tcPr>
            <w:tcW w:w="172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防渗设施不完善</w:t>
            </w:r>
          </w:p>
        </w:tc>
        <w:tc>
          <w:tcPr>
            <w:tcW w:w="1927"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位移、沉降</w:t>
            </w:r>
          </w:p>
        </w:tc>
        <w:tc>
          <w:tcPr>
            <w:tcW w:w="869"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LS法</w:t>
            </w:r>
          </w:p>
        </w:tc>
        <w:tc>
          <w:tcPr>
            <w:tcW w:w="81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3～18</w:t>
            </w:r>
          </w:p>
        </w:tc>
        <w:tc>
          <w:tcPr>
            <w:tcW w:w="84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w:t>
            </w:r>
          </w:p>
        </w:tc>
        <w:tc>
          <w:tcPr>
            <w:tcW w:w="84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3～100</w:t>
            </w:r>
          </w:p>
        </w:tc>
        <w:tc>
          <w:tcPr>
            <w:tcW w:w="111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9～1800</w:t>
            </w:r>
          </w:p>
        </w:tc>
        <w:tc>
          <w:tcPr>
            <w:tcW w:w="108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低～重大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19"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16</w:t>
            </w:r>
          </w:p>
        </w:tc>
        <w:tc>
          <w:tcPr>
            <w:tcW w:w="942" w:type="dxa"/>
            <w:vMerge w:val="continue"/>
            <w:tcBorders>
              <w:right w:val="single" w:color="auto" w:sz="4" w:space="0"/>
            </w:tcBorders>
            <w:vAlign w:val="center"/>
          </w:tcPr>
          <w:p>
            <w:pPr>
              <w:snapToGrid w:val="0"/>
              <w:jc w:val="left"/>
              <w:rPr>
                <w:rFonts w:cs="宋体" w:asciiTheme="minorEastAsia" w:hAnsiTheme="minorEastAsia" w:eastAsiaTheme="minorEastAsia"/>
                <w:sz w:val="20"/>
                <w:szCs w:val="20"/>
              </w:rPr>
            </w:pPr>
          </w:p>
        </w:tc>
        <w:tc>
          <w:tcPr>
            <w:tcW w:w="1048" w:type="dxa"/>
            <w:vMerge w:val="continue"/>
            <w:tcBorders>
              <w:top w:val="single" w:color="auto" w:sz="4" w:space="0"/>
              <w:left w:val="single" w:color="auto" w:sz="4" w:space="0"/>
              <w:bottom w:val="single" w:color="auto" w:sz="4" w:space="0"/>
              <w:right w:val="single" w:color="auto" w:sz="4" w:space="0"/>
            </w:tcBorders>
            <w:vAlign w:val="center"/>
          </w:tcPr>
          <w:p>
            <w:pPr>
              <w:snapToGrid w:val="0"/>
              <w:jc w:val="left"/>
              <w:rPr>
                <w:rFonts w:cs="宋体" w:asciiTheme="minorEastAsia" w:hAnsiTheme="minorEastAsia" w:eastAsiaTheme="minorEastAsia"/>
                <w:sz w:val="20"/>
                <w:szCs w:val="20"/>
              </w:rPr>
            </w:pPr>
          </w:p>
        </w:tc>
        <w:tc>
          <w:tcPr>
            <w:tcW w:w="2352" w:type="dxa"/>
            <w:tcBorders>
              <w:left w:val="single" w:color="auto" w:sz="4" w:space="0"/>
            </w:tcBorders>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溢洪道下游河床、岸坡</w:t>
            </w:r>
          </w:p>
        </w:tc>
        <w:tc>
          <w:tcPr>
            <w:tcW w:w="172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水流冲刷、淤积物</w:t>
            </w:r>
          </w:p>
        </w:tc>
        <w:tc>
          <w:tcPr>
            <w:tcW w:w="1927"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凹陷、滑坡、堵塞</w:t>
            </w:r>
          </w:p>
        </w:tc>
        <w:tc>
          <w:tcPr>
            <w:tcW w:w="869"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LS法</w:t>
            </w:r>
          </w:p>
        </w:tc>
        <w:tc>
          <w:tcPr>
            <w:tcW w:w="81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3～18</w:t>
            </w:r>
          </w:p>
        </w:tc>
        <w:tc>
          <w:tcPr>
            <w:tcW w:w="84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w:t>
            </w:r>
          </w:p>
        </w:tc>
        <w:tc>
          <w:tcPr>
            <w:tcW w:w="84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3～100</w:t>
            </w:r>
          </w:p>
        </w:tc>
        <w:tc>
          <w:tcPr>
            <w:tcW w:w="111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9～1800</w:t>
            </w:r>
          </w:p>
        </w:tc>
        <w:tc>
          <w:tcPr>
            <w:tcW w:w="108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低～重大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19"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17</w:t>
            </w:r>
          </w:p>
        </w:tc>
        <w:tc>
          <w:tcPr>
            <w:tcW w:w="942" w:type="dxa"/>
            <w:vMerge w:val="continue"/>
            <w:tcBorders>
              <w:right w:val="single" w:color="auto" w:sz="4" w:space="0"/>
            </w:tcBorders>
            <w:vAlign w:val="center"/>
          </w:tcPr>
          <w:p>
            <w:pPr>
              <w:snapToGrid w:val="0"/>
              <w:jc w:val="left"/>
              <w:rPr>
                <w:rFonts w:cs="宋体" w:asciiTheme="minorEastAsia" w:hAnsiTheme="minorEastAsia" w:eastAsiaTheme="minorEastAsia"/>
                <w:sz w:val="20"/>
                <w:szCs w:val="20"/>
              </w:rPr>
            </w:pPr>
          </w:p>
        </w:tc>
        <w:tc>
          <w:tcPr>
            <w:tcW w:w="1048" w:type="dxa"/>
            <w:vMerge w:val="continue"/>
            <w:tcBorders>
              <w:top w:val="single" w:color="auto" w:sz="4" w:space="0"/>
              <w:left w:val="single" w:color="auto" w:sz="4" w:space="0"/>
              <w:bottom w:val="single" w:color="auto" w:sz="4" w:space="0"/>
              <w:right w:val="single" w:color="auto" w:sz="4" w:space="0"/>
            </w:tcBorders>
            <w:vAlign w:val="center"/>
          </w:tcPr>
          <w:p>
            <w:pPr>
              <w:snapToGrid w:val="0"/>
              <w:jc w:val="left"/>
              <w:rPr>
                <w:rFonts w:cs="宋体" w:asciiTheme="minorEastAsia" w:hAnsiTheme="minorEastAsia" w:eastAsiaTheme="minorEastAsia"/>
                <w:sz w:val="20"/>
                <w:szCs w:val="20"/>
              </w:rPr>
            </w:pPr>
          </w:p>
        </w:tc>
        <w:tc>
          <w:tcPr>
            <w:tcW w:w="2352" w:type="dxa"/>
            <w:tcBorders>
              <w:left w:val="single" w:color="auto" w:sz="4" w:space="0"/>
            </w:tcBorders>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泄洪（隧）洞进水段、出口段表面</w:t>
            </w:r>
          </w:p>
        </w:tc>
        <w:tc>
          <w:tcPr>
            <w:tcW w:w="172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水流冲刷</w:t>
            </w:r>
          </w:p>
        </w:tc>
        <w:tc>
          <w:tcPr>
            <w:tcW w:w="1927"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滑塌</w:t>
            </w:r>
          </w:p>
        </w:tc>
        <w:tc>
          <w:tcPr>
            <w:tcW w:w="869"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LS法</w:t>
            </w:r>
          </w:p>
        </w:tc>
        <w:tc>
          <w:tcPr>
            <w:tcW w:w="81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3～18</w:t>
            </w:r>
          </w:p>
        </w:tc>
        <w:tc>
          <w:tcPr>
            <w:tcW w:w="84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w:t>
            </w:r>
          </w:p>
        </w:tc>
        <w:tc>
          <w:tcPr>
            <w:tcW w:w="84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3～100</w:t>
            </w:r>
          </w:p>
        </w:tc>
        <w:tc>
          <w:tcPr>
            <w:tcW w:w="111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9～1800</w:t>
            </w:r>
          </w:p>
        </w:tc>
        <w:tc>
          <w:tcPr>
            <w:tcW w:w="108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低～重大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19"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18</w:t>
            </w:r>
          </w:p>
        </w:tc>
        <w:tc>
          <w:tcPr>
            <w:tcW w:w="942" w:type="dxa"/>
            <w:vMerge w:val="continue"/>
            <w:tcBorders>
              <w:right w:val="single" w:color="auto" w:sz="4" w:space="0"/>
            </w:tcBorders>
            <w:vAlign w:val="center"/>
          </w:tcPr>
          <w:p>
            <w:pPr>
              <w:snapToGrid w:val="0"/>
              <w:jc w:val="left"/>
              <w:rPr>
                <w:rFonts w:cs="宋体" w:asciiTheme="minorEastAsia" w:hAnsiTheme="minorEastAsia" w:eastAsiaTheme="minorEastAsia"/>
                <w:sz w:val="20"/>
                <w:szCs w:val="20"/>
              </w:rPr>
            </w:pPr>
          </w:p>
        </w:tc>
        <w:tc>
          <w:tcPr>
            <w:tcW w:w="1048" w:type="dxa"/>
            <w:vMerge w:val="continue"/>
            <w:tcBorders>
              <w:top w:val="single" w:color="auto" w:sz="4" w:space="0"/>
              <w:left w:val="single" w:color="auto" w:sz="4" w:space="0"/>
              <w:bottom w:val="single" w:color="auto" w:sz="4" w:space="0"/>
              <w:right w:val="single" w:color="auto" w:sz="4" w:space="0"/>
            </w:tcBorders>
            <w:vAlign w:val="center"/>
          </w:tcPr>
          <w:p>
            <w:pPr>
              <w:snapToGrid w:val="0"/>
              <w:jc w:val="left"/>
              <w:rPr>
                <w:rFonts w:cs="宋体" w:asciiTheme="minorEastAsia" w:hAnsiTheme="minorEastAsia" w:eastAsiaTheme="minorEastAsia"/>
                <w:sz w:val="20"/>
                <w:szCs w:val="20"/>
              </w:rPr>
            </w:pPr>
          </w:p>
        </w:tc>
        <w:tc>
          <w:tcPr>
            <w:tcW w:w="2352" w:type="dxa"/>
            <w:tcBorders>
              <w:left w:val="single" w:color="auto" w:sz="4" w:space="0"/>
            </w:tcBorders>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泄洪（隧）洞隧洞段表面</w:t>
            </w:r>
          </w:p>
        </w:tc>
        <w:tc>
          <w:tcPr>
            <w:tcW w:w="172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水流冲刷</w:t>
            </w:r>
          </w:p>
        </w:tc>
        <w:tc>
          <w:tcPr>
            <w:tcW w:w="1927"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结构破坏、裂缝、剥蚀、空蚀</w:t>
            </w:r>
          </w:p>
        </w:tc>
        <w:tc>
          <w:tcPr>
            <w:tcW w:w="869"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LS法</w:t>
            </w:r>
          </w:p>
        </w:tc>
        <w:tc>
          <w:tcPr>
            <w:tcW w:w="81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3～36</w:t>
            </w:r>
          </w:p>
        </w:tc>
        <w:tc>
          <w:tcPr>
            <w:tcW w:w="84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w:t>
            </w:r>
          </w:p>
        </w:tc>
        <w:tc>
          <w:tcPr>
            <w:tcW w:w="84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3～100</w:t>
            </w:r>
          </w:p>
        </w:tc>
        <w:tc>
          <w:tcPr>
            <w:tcW w:w="111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9～3600</w:t>
            </w:r>
          </w:p>
        </w:tc>
        <w:tc>
          <w:tcPr>
            <w:tcW w:w="108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低～重大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19"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19</w:t>
            </w:r>
          </w:p>
        </w:tc>
        <w:tc>
          <w:tcPr>
            <w:tcW w:w="942" w:type="dxa"/>
            <w:vMerge w:val="continue"/>
            <w:tcBorders>
              <w:right w:val="single" w:color="auto" w:sz="4" w:space="0"/>
            </w:tcBorders>
            <w:vAlign w:val="center"/>
          </w:tcPr>
          <w:p>
            <w:pPr>
              <w:snapToGrid w:val="0"/>
              <w:jc w:val="left"/>
              <w:rPr>
                <w:rFonts w:cs="宋体" w:asciiTheme="minorEastAsia" w:hAnsiTheme="minorEastAsia" w:eastAsiaTheme="minorEastAsia"/>
                <w:sz w:val="20"/>
                <w:szCs w:val="20"/>
              </w:rPr>
            </w:pPr>
          </w:p>
        </w:tc>
        <w:tc>
          <w:tcPr>
            <w:tcW w:w="1048" w:type="dxa"/>
            <w:vMerge w:val="continue"/>
            <w:tcBorders>
              <w:top w:val="single" w:color="auto" w:sz="4" w:space="0"/>
              <w:left w:val="single" w:color="auto" w:sz="4" w:space="0"/>
              <w:bottom w:val="single" w:color="auto" w:sz="4" w:space="0"/>
              <w:right w:val="single" w:color="auto" w:sz="4" w:space="0"/>
            </w:tcBorders>
            <w:vAlign w:val="center"/>
          </w:tcPr>
          <w:p>
            <w:pPr>
              <w:snapToGrid w:val="0"/>
              <w:jc w:val="left"/>
              <w:rPr>
                <w:rFonts w:cs="宋体" w:asciiTheme="minorEastAsia" w:hAnsiTheme="minorEastAsia" w:eastAsiaTheme="minorEastAsia"/>
                <w:sz w:val="20"/>
                <w:szCs w:val="20"/>
              </w:rPr>
            </w:pPr>
          </w:p>
        </w:tc>
        <w:tc>
          <w:tcPr>
            <w:tcW w:w="2352" w:type="dxa"/>
            <w:tcBorders>
              <w:left w:val="single" w:color="auto" w:sz="4" w:space="0"/>
            </w:tcBorders>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泄洪（隧）洞消能设施</w:t>
            </w:r>
          </w:p>
        </w:tc>
        <w:tc>
          <w:tcPr>
            <w:tcW w:w="172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水流冲刷</w:t>
            </w:r>
          </w:p>
        </w:tc>
        <w:tc>
          <w:tcPr>
            <w:tcW w:w="1927"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消能设施破坏</w:t>
            </w:r>
          </w:p>
        </w:tc>
        <w:tc>
          <w:tcPr>
            <w:tcW w:w="869"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LS法</w:t>
            </w:r>
          </w:p>
        </w:tc>
        <w:tc>
          <w:tcPr>
            <w:tcW w:w="81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3～18</w:t>
            </w:r>
          </w:p>
        </w:tc>
        <w:tc>
          <w:tcPr>
            <w:tcW w:w="84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w:t>
            </w:r>
          </w:p>
        </w:tc>
        <w:tc>
          <w:tcPr>
            <w:tcW w:w="84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3～100</w:t>
            </w:r>
          </w:p>
        </w:tc>
        <w:tc>
          <w:tcPr>
            <w:tcW w:w="111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9～1800</w:t>
            </w:r>
          </w:p>
        </w:tc>
        <w:tc>
          <w:tcPr>
            <w:tcW w:w="108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低～重大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19"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20</w:t>
            </w:r>
          </w:p>
        </w:tc>
        <w:tc>
          <w:tcPr>
            <w:tcW w:w="942" w:type="dxa"/>
            <w:vMerge w:val="continue"/>
            <w:tcBorders>
              <w:right w:val="single" w:color="auto" w:sz="4" w:space="0"/>
            </w:tcBorders>
            <w:vAlign w:val="center"/>
          </w:tcPr>
          <w:p>
            <w:pPr>
              <w:snapToGrid w:val="0"/>
              <w:jc w:val="left"/>
              <w:rPr>
                <w:rFonts w:cs="宋体" w:asciiTheme="minorEastAsia" w:hAnsiTheme="minorEastAsia" w:eastAsiaTheme="minorEastAsia"/>
                <w:sz w:val="20"/>
                <w:szCs w:val="20"/>
              </w:rPr>
            </w:pPr>
          </w:p>
        </w:tc>
        <w:tc>
          <w:tcPr>
            <w:tcW w:w="1048" w:type="dxa"/>
            <w:vMerge w:val="continue"/>
            <w:tcBorders>
              <w:top w:val="single" w:color="auto" w:sz="4" w:space="0"/>
              <w:left w:val="single" w:color="auto" w:sz="4" w:space="0"/>
              <w:bottom w:val="single" w:color="auto" w:sz="4" w:space="0"/>
              <w:right w:val="single" w:color="auto" w:sz="4" w:space="0"/>
            </w:tcBorders>
            <w:vAlign w:val="center"/>
          </w:tcPr>
          <w:p>
            <w:pPr>
              <w:snapToGrid w:val="0"/>
              <w:jc w:val="left"/>
              <w:rPr>
                <w:rFonts w:cs="宋体" w:asciiTheme="minorEastAsia" w:hAnsiTheme="minorEastAsia" w:eastAsiaTheme="minorEastAsia"/>
                <w:sz w:val="20"/>
                <w:szCs w:val="20"/>
              </w:rPr>
            </w:pPr>
          </w:p>
        </w:tc>
        <w:tc>
          <w:tcPr>
            <w:tcW w:w="2352" w:type="dxa"/>
            <w:tcBorders>
              <w:left w:val="single" w:color="auto" w:sz="4" w:space="0"/>
            </w:tcBorders>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泄洪（隧）洞排气设施</w:t>
            </w:r>
          </w:p>
        </w:tc>
        <w:tc>
          <w:tcPr>
            <w:tcW w:w="172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排气不畅</w:t>
            </w:r>
          </w:p>
        </w:tc>
        <w:tc>
          <w:tcPr>
            <w:tcW w:w="1927"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空蚀破坏、震动</w:t>
            </w:r>
          </w:p>
        </w:tc>
        <w:tc>
          <w:tcPr>
            <w:tcW w:w="869"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LS法</w:t>
            </w:r>
          </w:p>
        </w:tc>
        <w:tc>
          <w:tcPr>
            <w:tcW w:w="81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3～18</w:t>
            </w:r>
          </w:p>
        </w:tc>
        <w:tc>
          <w:tcPr>
            <w:tcW w:w="84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w:t>
            </w:r>
          </w:p>
        </w:tc>
        <w:tc>
          <w:tcPr>
            <w:tcW w:w="84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3～100</w:t>
            </w:r>
          </w:p>
        </w:tc>
        <w:tc>
          <w:tcPr>
            <w:tcW w:w="111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9～1800</w:t>
            </w:r>
          </w:p>
        </w:tc>
        <w:tc>
          <w:tcPr>
            <w:tcW w:w="108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低～重大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19"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21</w:t>
            </w:r>
          </w:p>
        </w:tc>
        <w:tc>
          <w:tcPr>
            <w:tcW w:w="942" w:type="dxa"/>
            <w:vMerge w:val="continue"/>
            <w:tcBorders>
              <w:right w:val="single" w:color="auto" w:sz="4" w:space="0"/>
            </w:tcBorders>
            <w:vAlign w:val="center"/>
          </w:tcPr>
          <w:p>
            <w:pPr>
              <w:snapToGrid w:val="0"/>
              <w:jc w:val="left"/>
              <w:rPr>
                <w:rFonts w:cs="宋体" w:asciiTheme="minorEastAsia" w:hAnsiTheme="minorEastAsia" w:eastAsiaTheme="minorEastAsia"/>
                <w:sz w:val="20"/>
                <w:szCs w:val="20"/>
              </w:rPr>
            </w:pPr>
          </w:p>
        </w:tc>
        <w:tc>
          <w:tcPr>
            <w:tcW w:w="1048" w:type="dxa"/>
            <w:vMerge w:val="continue"/>
            <w:tcBorders>
              <w:top w:val="single" w:color="auto" w:sz="4" w:space="0"/>
              <w:left w:val="single" w:color="auto" w:sz="4" w:space="0"/>
              <w:bottom w:val="single" w:color="auto" w:sz="4" w:space="0"/>
              <w:right w:val="single" w:color="auto" w:sz="4" w:space="0"/>
            </w:tcBorders>
            <w:vAlign w:val="center"/>
          </w:tcPr>
          <w:p>
            <w:pPr>
              <w:snapToGrid w:val="0"/>
              <w:jc w:val="left"/>
              <w:rPr>
                <w:rFonts w:cs="宋体" w:asciiTheme="minorEastAsia" w:hAnsiTheme="minorEastAsia" w:eastAsiaTheme="minorEastAsia"/>
                <w:sz w:val="20"/>
                <w:szCs w:val="20"/>
              </w:rPr>
            </w:pPr>
          </w:p>
        </w:tc>
        <w:tc>
          <w:tcPr>
            <w:tcW w:w="2352" w:type="dxa"/>
            <w:tcBorders>
              <w:left w:val="single" w:color="auto" w:sz="4" w:space="0"/>
            </w:tcBorders>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泄洪（隧）洞渗流</w:t>
            </w:r>
          </w:p>
        </w:tc>
        <w:tc>
          <w:tcPr>
            <w:tcW w:w="172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防渗设施不完善</w:t>
            </w:r>
          </w:p>
        </w:tc>
        <w:tc>
          <w:tcPr>
            <w:tcW w:w="1927"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位移、沉降</w:t>
            </w:r>
          </w:p>
        </w:tc>
        <w:tc>
          <w:tcPr>
            <w:tcW w:w="869"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LS法</w:t>
            </w:r>
          </w:p>
        </w:tc>
        <w:tc>
          <w:tcPr>
            <w:tcW w:w="81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3～18</w:t>
            </w:r>
          </w:p>
        </w:tc>
        <w:tc>
          <w:tcPr>
            <w:tcW w:w="84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w:t>
            </w:r>
          </w:p>
        </w:tc>
        <w:tc>
          <w:tcPr>
            <w:tcW w:w="84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3～100</w:t>
            </w:r>
          </w:p>
        </w:tc>
        <w:tc>
          <w:tcPr>
            <w:tcW w:w="111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9～1800</w:t>
            </w:r>
          </w:p>
        </w:tc>
        <w:tc>
          <w:tcPr>
            <w:tcW w:w="108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低～重大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19"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22</w:t>
            </w:r>
          </w:p>
        </w:tc>
        <w:tc>
          <w:tcPr>
            <w:tcW w:w="942" w:type="dxa"/>
            <w:vMerge w:val="continue"/>
            <w:tcBorders>
              <w:right w:val="single" w:color="auto" w:sz="4" w:space="0"/>
            </w:tcBorders>
            <w:vAlign w:val="center"/>
          </w:tcPr>
          <w:p>
            <w:pPr>
              <w:snapToGrid w:val="0"/>
              <w:jc w:val="left"/>
              <w:rPr>
                <w:rFonts w:cs="宋体" w:asciiTheme="minorEastAsia" w:hAnsiTheme="minorEastAsia" w:eastAsiaTheme="minorEastAsia"/>
                <w:sz w:val="20"/>
                <w:szCs w:val="20"/>
              </w:rPr>
            </w:pPr>
          </w:p>
        </w:tc>
        <w:tc>
          <w:tcPr>
            <w:tcW w:w="1048" w:type="dxa"/>
            <w:vMerge w:val="continue"/>
            <w:tcBorders>
              <w:top w:val="single" w:color="auto" w:sz="4" w:space="0"/>
              <w:left w:val="single" w:color="auto" w:sz="4" w:space="0"/>
              <w:bottom w:val="single" w:color="auto" w:sz="4" w:space="0"/>
              <w:right w:val="single" w:color="auto" w:sz="4" w:space="0"/>
            </w:tcBorders>
            <w:vAlign w:val="center"/>
          </w:tcPr>
          <w:p>
            <w:pPr>
              <w:snapToGrid w:val="0"/>
              <w:jc w:val="left"/>
              <w:rPr>
                <w:rFonts w:cs="宋体" w:asciiTheme="minorEastAsia" w:hAnsiTheme="minorEastAsia" w:eastAsiaTheme="minorEastAsia"/>
                <w:sz w:val="20"/>
                <w:szCs w:val="20"/>
              </w:rPr>
            </w:pPr>
          </w:p>
        </w:tc>
        <w:tc>
          <w:tcPr>
            <w:tcW w:w="2352" w:type="dxa"/>
            <w:tcBorders>
              <w:left w:val="single" w:color="auto" w:sz="4" w:space="0"/>
            </w:tcBorders>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泄洪（隧）洞围岩</w:t>
            </w:r>
          </w:p>
        </w:tc>
        <w:tc>
          <w:tcPr>
            <w:tcW w:w="172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不良地质</w:t>
            </w:r>
          </w:p>
        </w:tc>
        <w:tc>
          <w:tcPr>
            <w:tcW w:w="1927"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变形、位移</w:t>
            </w:r>
          </w:p>
        </w:tc>
        <w:tc>
          <w:tcPr>
            <w:tcW w:w="869"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LS法</w:t>
            </w:r>
          </w:p>
        </w:tc>
        <w:tc>
          <w:tcPr>
            <w:tcW w:w="81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3～18</w:t>
            </w:r>
          </w:p>
        </w:tc>
        <w:tc>
          <w:tcPr>
            <w:tcW w:w="84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w:t>
            </w:r>
          </w:p>
        </w:tc>
        <w:tc>
          <w:tcPr>
            <w:tcW w:w="84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3～100</w:t>
            </w:r>
          </w:p>
        </w:tc>
        <w:tc>
          <w:tcPr>
            <w:tcW w:w="111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9～1800</w:t>
            </w:r>
          </w:p>
        </w:tc>
        <w:tc>
          <w:tcPr>
            <w:tcW w:w="108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低～重大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19"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23</w:t>
            </w:r>
          </w:p>
        </w:tc>
        <w:tc>
          <w:tcPr>
            <w:tcW w:w="942" w:type="dxa"/>
            <w:vMerge w:val="continue"/>
            <w:tcBorders>
              <w:right w:val="single" w:color="auto" w:sz="4" w:space="0"/>
            </w:tcBorders>
            <w:vAlign w:val="center"/>
          </w:tcPr>
          <w:p>
            <w:pPr>
              <w:snapToGrid w:val="0"/>
              <w:jc w:val="left"/>
              <w:rPr>
                <w:rFonts w:cs="宋体" w:asciiTheme="minorEastAsia" w:hAnsiTheme="minorEastAsia" w:eastAsiaTheme="minorEastAsia"/>
                <w:sz w:val="20"/>
                <w:szCs w:val="20"/>
              </w:rPr>
            </w:pPr>
          </w:p>
        </w:tc>
        <w:tc>
          <w:tcPr>
            <w:tcW w:w="1048" w:type="dxa"/>
            <w:vMerge w:val="continue"/>
            <w:tcBorders>
              <w:top w:val="single" w:color="auto" w:sz="4" w:space="0"/>
              <w:left w:val="single" w:color="auto" w:sz="4" w:space="0"/>
              <w:bottom w:val="single" w:color="auto" w:sz="4" w:space="0"/>
              <w:right w:val="single" w:color="auto" w:sz="4" w:space="0"/>
            </w:tcBorders>
            <w:vAlign w:val="center"/>
          </w:tcPr>
          <w:p>
            <w:pPr>
              <w:snapToGrid w:val="0"/>
              <w:jc w:val="left"/>
              <w:rPr>
                <w:rFonts w:cs="宋体" w:asciiTheme="minorEastAsia" w:hAnsiTheme="minorEastAsia" w:eastAsiaTheme="minorEastAsia"/>
                <w:sz w:val="20"/>
                <w:szCs w:val="20"/>
              </w:rPr>
            </w:pPr>
          </w:p>
        </w:tc>
        <w:tc>
          <w:tcPr>
            <w:tcW w:w="2352" w:type="dxa"/>
            <w:tcBorders>
              <w:left w:val="single" w:color="auto" w:sz="4" w:space="0"/>
            </w:tcBorders>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泄洪（隧）洞下游河床、岸坡</w:t>
            </w:r>
          </w:p>
        </w:tc>
        <w:tc>
          <w:tcPr>
            <w:tcW w:w="172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水流冲刷、淤积物</w:t>
            </w:r>
          </w:p>
        </w:tc>
        <w:tc>
          <w:tcPr>
            <w:tcW w:w="1927"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凹陷、滑坡、堵塞</w:t>
            </w:r>
          </w:p>
        </w:tc>
        <w:tc>
          <w:tcPr>
            <w:tcW w:w="869"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LS法</w:t>
            </w:r>
          </w:p>
        </w:tc>
        <w:tc>
          <w:tcPr>
            <w:tcW w:w="81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3～18</w:t>
            </w:r>
          </w:p>
        </w:tc>
        <w:tc>
          <w:tcPr>
            <w:tcW w:w="84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w:t>
            </w:r>
          </w:p>
        </w:tc>
        <w:tc>
          <w:tcPr>
            <w:tcW w:w="84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3～100</w:t>
            </w:r>
          </w:p>
        </w:tc>
        <w:tc>
          <w:tcPr>
            <w:tcW w:w="111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9～1800</w:t>
            </w:r>
          </w:p>
        </w:tc>
        <w:tc>
          <w:tcPr>
            <w:tcW w:w="108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低～重大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19"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24</w:t>
            </w:r>
          </w:p>
        </w:tc>
        <w:tc>
          <w:tcPr>
            <w:tcW w:w="942" w:type="dxa"/>
            <w:vMerge w:val="restart"/>
            <w:tcBorders>
              <w:right w:val="single" w:color="auto" w:sz="4" w:space="0"/>
            </w:tcBorders>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构（建）筑物类</w:t>
            </w:r>
          </w:p>
        </w:tc>
        <w:tc>
          <w:tcPr>
            <w:tcW w:w="1048" w:type="dxa"/>
            <w:vMerge w:val="restart"/>
            <w:tcBorders>
              <w:top w:val="single" w:color="auto" w:sz="4" w:space="0"/>
              <w:left w:val="single" w:color="auto" w:sz="4" w:space="0"/>
              <w:bottom w:val="single" w:color="auto" w:sz="4" w:space="0"/>
              <w:right w:val="single" w:color="auto" w:sz="4" w:space="0"/>
            </w:tcBorders>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输水建筑物</w:t>
            </w:r>
          </w:p>
        </w:tc>
        <w:tc>
          <w:tcPr>
            <w:tcW w:w="2352" w:type="dxa"/>
            <w:tcBorders>
              <w:left w:val="single" w:color="auto" w:sz="4" w:space="0"/>
            </w:tcBorders>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输水（隧）洞（管）进水段、出口段表面</w:t>
            </w:r>
          </w:p>
        </w:tc>
        <w:tc>
          <w:tcPr>
            <w:tcW w:w="172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水流冲刷</w:t>
            </w:r>
          </w:p>
        </w:tc>
        <w:tc>
          <w:tcPr>
            <w:tcW w:w="1927"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结构破坏、滑塌</w:t>
            </w:r>
          </w:p>
        </w:tc>
        <w:tc>
          <w:tcPr>
            <w:tcW w:w="869"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LS法</w:t>
            </w:r>
          </w:p>
        </w:tc>
        <w:tc>
          <w:tcPr>
            <w:tcW w:w="81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3～18</w:t>
            </w:r>
          </w:p>
        </w:tc>
        <w:tc>
          <w:tcPr>
            <w:tcW w:w="84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w:t>
            </w:r>
          </w:p>
        </w:tc>
        <w:tc>
          <w:tcPr>
            <w:tcW w:w="84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3～100</w:t>
            </w:r>
          </w:p>
        </w:tc>
        <w:tc>
          <w:tcPr>
            <w:tcW w:w="111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9～1800</w:t>
            </w:r>
          </w:p>
        </w:tc>
        <w:tc>
          <w:tcPr>
            <w:tcW w:w="108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低～重大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19"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25</w:t>
            </w:r>
          </w:p>
        </w:tc>
        <w:tc>
          <w:tcPr>
            <w:tcW w:w="942" w:type="dxa"/>
            <w:vMerge w:val="continue"/>
            <w:tcBorders>
              <w:right w:val="single" w:color="auto" w:sz="4" w:space="0"/>
            </w:tcBorders>
            <w:vAlign w:val="center"/>
          </w:tcPr>
          <w:p>
            <w:pPr>
              <w:snapToGrid w:val="0"/>
              <w:jc w:val="left"/>
              <w:rPr>
                <w:rFonts w:cs="宋体" w:asciiTheme="minorEastAsia" w:hAnsiTheme="minorEastAsia" w:eastAsiaTheme="minorEastAsia"/>
                <w:sz w:val="20"/>
                <w:szCs w:val="20"/>
              </w:rPr>
            </w:pPr>
          </w:p>
        </w:tc>
        <w:tc>
          <w:tcPr>
            <w:tcW w:w="1048" w:type="dxa"/>
            <w:vMerge w:val="continue"/>
            <w:tcBorders>
              <w:top w:val="single" w:color="auto" w:sz="4" w:space="0"/>
              <w:left w:val="single" w:color="auto" w:sz="4" w:space="0"/>
              <w:bottom w:val="single" w:color="auto" w:sz="4" w:space="0"/>
              <w:right w:val="single" w:color="auto" w:sz="4" w:space="0"/>
            </w:tcBorders>
            <w:vAlign w:val="center"/>
          </w:tcPr>
          <w:p>
            <w:pPr>
              <w:snapToGrid w:val="0"/>
              <w:jc w:val="left"/>
              <w:rPr>
                <w:rFonts w:cs="宋体" w:asciiTheme="minorEastAsia" w:hAnsiTheme="minorEastAsia" w:eastAsiaTheme="minorEastAsia"/>
                <w:sz w:val="20"/>
                <w:szCs w:val="20"/>
              </w:rPr>
            </w:pPr>
          </w:p>
        </w:tc>
        <w:tc>
          <w:tcPr>
            <w:tcW w:w="2352" w:type="dxa"/>
            <w:tcBorders>
              <w:left w:val="single" w:color="auto" w:sz="4" w:space="0"/>
            </w:tcBorders>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输水（隧）洞（管）隧洞段表面</w:t>
            </w:r>
          </w:p>
        </w:tc>
        <w:tc>
          <w:tcPr>
            <w:tcW w:w="172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水流冲刷</w:t>
            </w:r>
          </w:p>
        </w:tc>
        <w:tc>
          <w:tcPr>
            <w:tcW w:w="1927"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结构破坏、裂缝、剥蚀、空蚀</w:t>
            </w:r>
          </w:p>
        </w:tc>
        <w:tc>
          <w:tcPr>
            <w:tcW w:w="869"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LS法</w:t>
            </w:r>
          </w:p>
        </w:tc>
        <w:tc>
          <w:tcPr>
            <w:tcW w:w="81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3～6</w:t>
            </w:r>
          </w:p>
        </w:tc>
        <w:tc>
          <w:tcPr>
            <w:tcW w:w="84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w:t>
            </w:r>
          </w:p>
        </w:tc>
        <w:tc>
          <w:tcPr>
            <w:tcW w:w="84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3～100</w:t>
            </w:r>
          </w:p>
        </w:tc>
        <w:tc>
          <w:tcPr>
            <w:tcW w:w="111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9～600</w:t>
            </w:r>
          </w:p>
        </w:tc>
        <w:tc>
          <w:tcPr>
            <w:tcW w:w="108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低～重大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19"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26</w:t>
            </w:r>
          </w:p>
        </w:tc>
        <w:tc>
          <w:tcPr>
            <w:tcW w:w="942" w:type="dxa"/>
            <w:vMerge w:val="continue"/>
            <w:tcBorders>
              <w:right w:val="single" w:color="auto" w:sz="4" w:space="0"/>
            </w:tcBorders>
            <w:vAlign w:val="center"/>
          </w:tcPr>
          <w:p>
            <w:pPr>
              <w:snapToGrid w:val="0"/>
              <w:jc w:val="left"/>
              <w:rPr>
                <w:rFonts w:cs="宋体" w:asciiTheme="minorEastAsia" w:hAnsiTheme="minorEastAsia" w:eastAsiaTheme="minorEastAsia"/>
                <w:sz w:val="20"/>
                <w:szCs w:val="20"/>
              </w:rPr>
            </w:pPr>
          </w:p>
        </w:tc>
        <w:tc>
          <w:tcPr>
            <w:tcW w:w="1048" w:type="dxa"/>
            <w:vMerge w:val="continue"/>
            <w:tcBorders>
              <w:top w:val="single" w:color="auto" w:sz="4" w:space="0"/>
              <w:left w:val="single" w:color="auto" w:sz="4" w:space="0"/>
              <w:bottom w:val="single" w:color="auto" w:sz="4" w:space="0"/>
              <w:right w:val="single" w:color="auto" w:sz="4" w:space="0"/>
            </w:tcBorders>
            <w:vAlign w:val="center"/>
          </w:tcPr>
          <w:p>
            <w:pPr>
              <w:snapToGrid w:val="0"/>
              <w:jc w:val="left"/>
              <w:rPr>
                <w:rFonts w:cs="宋体" w:asciiTheme="minorEastAsia" w:hAnsiTheme="minorEastAsia" w:eastAsiaTheme="minorEastAsia"/>
                <w:sz w:val="20"/>
                <w:szCs w:val="20"/>
              </w:rPr>
            </w:pPr>
          </w:p>
        </w:tc>
        <w:tc>
          <w:tcPr>
            <w:tcW w:w="2352" w:type="dxa"/>
            <w:tcBorders>
              <w:left w:val="single" w:color="auto" w:sz="4" w:space="0"/>
            </w:tcBorders>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输水（隧）洞（管）消能设施</w:t>
            </w:r>
          </w:p>
        </w:tc>
        <w:tc>
          <w:tcPr>
            <w:tcW w:w="172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水流冲刷</w:t>
            </w:r>
          </w:p>
        </w:tc>
        <w:tc>
          <w:tcPr>
            <w:tcW w:w="1927"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消能设施破坏</w:t>
            </w:r>
          </w:p>
        </w:tc>
        <w:tc>
          <w:tcPr>
            <w:tcW w:w="869"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LS法</w:t>
            </w:r>
          </w:p>
        </w:tc>
        <w:tc>
          <w:tcPr>
            <w:tcW w:w="81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3～18</w:t>
            </w:r>
          </w:p>
        </w:tc>
        <w:tc>
          <w:tcPr>
            <w:tcW w:w="84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w:t>
            </w:r>
          </w:p>
        </w:tc>
        <w:tc>
          <w:tcPr>
            <w:tcW w:w="84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3～100</w:t>
            </w:r>
          </w:p>
        </w:tc>
        <w:tc>
          <w:tcPr>
            <w:tcW w:w="111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9～1800</w:t>
            </w:r>
          </w:p>
        </w:tc>
        <w:tc>
          <w:tcPr>
            <w:tcW w:w="108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低～重大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19"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27</w:t>
            </w:r>
          </w:p>
        </w:tc>
        <w:tc>
          <w:tcPr>
            <w:tcW w:w="942" w:type="dxa"/>
            <w:vMerge w:val="continue"/>
            <w:tcBorders>
              <w:right w:val="single" w:color="auto" w:sz="4" w:space="0"/>
            </w:tcBorders>
            <w:vAlign w:val="center"/>
          </w:tcPr>
          <w:p>
            <w:pPr>
              <w:snapToGrid w:val="0"/>
              <w:jc w:val="left"/>
              <w:rPr>
                <w:rFonts w:cs="宋体" w:asciiTheme="minorEastAsia" w:hAnsiTheme="minorEastAsia" w:eastAsiaTheme="minorEastAsia"/>
                <w:sz w:val="20"/>
                <w:szCs w:val="20"/>
              </w:rPr>
            </w:pPr>
          </w:p>
        </w:tc>
        <w:tc>
          <w:tcPr>
            <w:tcW w:w="1048" w:type="dxa"/>
            <w:vMerge w:val="continue"/>
            <w:tcBorders>
              <w:top w:val="single" w:color="auto" w:sz="4" w:space="0"/>
              <w:left w:val="single" w:color="auto" w:sz="4" w:space="0"/>
              <w:bottom w:val="single" w:color="auto" w:sz="4" w:space="0"/>
              <w:right w:val="single" w:color="auto" w:sz="4" w:space="0"/>
            </w:tcBorders>
            <w:vAlign w:val="center"/>
          </w:tcPr>
          <w:p>
            <w:pPr>
              <w:snapToGrid w:val="0"/>
              <w:jc w:val="left"/>
              <w:rPr>
                <w:rFonts w:cs="宋体" w:asciiTheme="minorEastAsia" w:hAnsiTheme="minorEastAsia" w:eastAsiaTheme="minorEastAsia"/>
                <w:sz w:val="20"/>
                <w:szCs w:val="20"/>
              </w:rPr>
            </w:pPr>
          </w:p>
        </w:tc>
        <w:tc>
          <w:tcPr>
            <w:tcW w:w="2352" w:type="dxa"/>
            <w:tcBorders>
              <w:left w:val="single" w:color="auto" w:sz="4" w:space="0"/>
            </w:tcBorders>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输水（隧）洞（管）排气设施</w:t>
            </w:r>
          </w:p>
        </w:tc>
        <w:tc>
          <w:tcPr>
            <w:tcW w:w="172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排气不畅</w:t>
            </w:r>
          </w:p>
        </w:tc>
        <w:tc>
          <w:tcPr>
            <w:tcW w:w="1927"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空蚀破坏、震动</w:t>
            </w:r>
          </w:p>
        </w:tc>
        <w:tc>
          <w:tcPr>
            <w:tcW w:w="869"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LS法</w:t>
            </w:r>
          </w:p>
        </w:tc>
        <w:tc>
          <w:tcPr>
            <w:tcW w:w="81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3～6</w:t>
            </w:r>
          </w:p>
        </w:tc>
        <w:tc>
          <w:tcPr>
            <w:tcW w:w="84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w:t>
            </w:r>
          </w:p>
        </w:tc>
        <w:tc>
          <w:tcPr>
            <w:tcW w:w="84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3～100</w:t>
            </w:r>
          </w:p>
        </w:tc>
        <w:tc>
          <w:tcPr>
            <w:tcW w:w="111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9～600</w:t>
            </w:r>
          </w:p>
        </w:tc>
        <w:tc>
          <w:tcPr>
            <w:tcW w:w="108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低～重大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19"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28</w:t>
            </w:r>
          </w:p>
        </w:tc>
        <w:tc>
          <w:tcPr>
            <w:tcW w:w="942" w:type="dxa"/>
            <w:vMerge w:val="continue"/>
            <w:tcBorders>
              <w:right w:val="single" w:color="auto" w:sz="4" w:space="0"/>
            </w:tcBorders>
            <w:vAlign w:val="center"/>
          </w:tcPr>
          <w:p>
            <w:pPr>
              <w:snapToGrid w:val="0"/>
              <w:jc w:val="left"/>
              <w:rPr>
                <w:rFonts w:cs="宋体" w:asciiTheme="minorEastAsia" w:hAnsiTheme="minorEastAsia" w:eastAsiaTheme="minorEastAsia"/>
                <w:sz w:val="20"/>
                <w:szCs w:val="20"/>
              </w:rPr>
            </w:pPr>
          </w:p>
        </w:tc>
        <w:tc>
          <w:tcPr>
            <w:tcW w:w="1048" w:type="dxa"/>
            <w:vMerge w:val="continue"/>
            <w:tcBorders>
              <w:top w:val="single" w:color="auto" w:sz="4" w:space="0"/>
              <w:left w:val="single" w:color="auto" w:sz="4" w:space="0"/>
              <w:bottom w:val="single" w:color="auto" w:sz="4" w:space="0"/>
              <w:right w:val="single" w:color="auto" w:sz="4" w:space="0"/>
            </w:tcBorders>
            <w:vAlign w:val="center"/>
          </w:tcPr>
          <w:p>
            <w:pPr>
              <w:snapToGrid w:val="0"/>
              <w:jc w:val="left"/>
              <w:rPr>
                <w:rFonts w:cs="宋体" w:asciiTheme="minorEastAsia" w:hAnsiTheme="minorEastAsia" w:eastAsiaTheme="minorEastAsia"/>
                <w:sz w:val="20"/>
                <w:szCs w:val="20"/>
              </w:rPr>
            </w:pPr>
          </w:p>
        </w:tc>
        <w:tc>
          <w:tcPr>
            <w:tcW w:w="2352" w:type="dxa"/>
            <w:tcBorders>
              <w:left w:val="single" w:color="auto" w:sz="4" w:space="0"/>
            </w:tcBorders>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输水（隧）洞（管）渗流</w:t>
            </w:r>
          </w:p>
        </w:tc>
        <w:tc>
          <w:tcPr>
            <w:tcW w:w="172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防渗设施不完善</w:t>
            </w:r>
          </w:p>
        </w:tc>
        <w:tc>
          <w:tcPr>
            <w:tcW w:w="1927"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位移、沉降</w:t>
            </w:r>
          </w:p>
        </w:tc>
        <w:tc>
          <w:tcPr>
            <w:tcW w:w="869"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LS法</w:t>
            </w:r>
          </w:p>
        </w:tc>
        <w:tc>
          <w:tcPr>
            <w:tcW w:w="81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3～18</w:t>
            </w:r>
          </w:p>
        </w:tc>
        <w:tc>
          <w:tcPr>
            <w:tcW w:w="84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w:t>
            </w:r>
          </w:p>
        </w:tc>
        <w:tc>
          <w:tcPr>
            <w:tcW w:w="84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3～100</w:t>
            </w:r>
          </w:p>
        </w:tc>
        <w:tc>
          <w:tcPr>
            <w:tcW w:w="111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9～1800</w:t>
            </w:r>
          </w:p>
        </w:tc>
        <w:tc>
          <w:tcPr>
            <w:tcW w:w="108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低～重大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19"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29</w:t>
            </w:r>
          </w:p>
        </w:tc>
        <w:tc>
          <w:tcPr>
            <w:tcW w:w="942" w:type="dxa"/>
            <w:vMerge w:val="continue"/>
            <w:tcBorders>
              <w:right w:val="single" w:color="auto" w:sz="4" w:space="0"/>
            </w:tcBorders>
            <w:vAlign w:val="center"/>
          </w:tcPr>
          <w:p>
            <w:pPr>
              <w:snapToGrid w:val="0"/>
              <w:jc w:val="left"/>
              <w:rPr>
                <w:rFonts w:cs="宋体" w:asciiTheme="minorEastAsia" w:hAnsiTheme="minorEastAsia" w:eastAsiaTheme="minorEastAsia"/>
                <w:sz w:val="20"/>
                <w:szCs w:val="20"/>
              </w:rPr>
            </w:pPr>
          </w:p>
        </w:tc>
        <w:tc>
          <w:tcPr>
            <w:tcW w:w="1048" w:type="dxa"/>
            <w:vMerge w:val="continue"/>
            <w:tcBorders>
              <w:top w:val="single" w:color="auto" w:sz="4" w:space="0"/>
              <w:left w:val="single" w:color="auto" w:sz="4" w:space="0"/>
              <w:bottom w:val="single" w:color="auto" w:sz="4" w:space="0"/>
              <w:right w:val="single" w:color="auto" w:sz="4" w:space="0"/>
            </w:tcBorders>
            <w:vAlign w:val="center"/>
          </w:tcPr>
          <w:p>
            <w:pPr>
              <w:snapToGrid w:val="0"/>
              <w:jc w:val="left"/>
              <w:rPr>
                <w:rFonts w:cs="宋体" w:asciiTheme="minorEastAsia" w:hAnsiTheme="minorEastAsia" w:eastAsiaTheme="minorEastAsia"/>
                <w:sz w:val="20"/>
                <w:szCs w:val="20"/>
              </w:rPr>
            </w:pPr>
          </w:p>
        </w:tc>
        <w:tc>
          <w:tcPr>
            <w:tcW w:w="2352" w:type="dxa"/>
            <w:tcBorders>
              <w:left w:val="single" w:color="auto" w:sz="4" w:space="0"/>
            </w:tcBorders>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输水（隧）洞（管）隧洞围岩</w:t>
            </w:r>
          </w:p>
        </w:tc>
        <w:tc>
          <w:tcPr>
            <w:tcW w:w="172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不良地质</w:t>
            </w:r>
          </w:p>
        </w:tc>
        <w:tc>
          <w:tcPr>
            <w:tcW w:w="1927"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变形、位移</w:t>
            </w:r>
          </w:p>
        </w:tc>
        <w:tc>
          <w:tcPr>
            <w:tcW w:w="869"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LS法</w:t>
            </w:r>
          </w:p>
        </w:tc>
        <w:tc>
          <w:tcPr>
            <w:tcW w:w="81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3～18</w:t>
            </w:r>
          </w:p>
        </w:tc>
        <w:tc>
          <w:tcPr>
            <w:tcW w:w="84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w:t>
            </w:r>
          </w:p>
        </w:tc>
        <w:tc>
          <w:tcPr>
            <w:tcW w:w="84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3～100</w:t>
            </w:r>
          </w:p>
        </w:tc>
        <w:tc>
          <w:tcPr>
            <w:tcW w:w="111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9～1800</w:t>
            </w:r>
          </w:p>
        </w:tc>
        <w:tc>
          <w:tcPr>
            <w:tcW w:w="108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低～重大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19"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30</w:t>
            </w:r>
          </w:p>
        </w:tc>
        <w:tc>
          <w:tcPr>
            <w:tcW w:w="942" w:type="dxa"/>
            <w:vMerge w:val="continue"/>
            <w:tcBorders>
              <w:right w:val="single" w:color="auto" w:sz="4" w:space="0"/>
            </w:tcBorders>
            <w:vAlign w:val="center"/>
          </w:tcPr>
          <w:p>
            <w:pPr>
              <w:snapToGrid w:val="0"/>
              <w:jc w:val="left"/>
              <w:rPr>
                <w:rFonts w:cs="宋体" w:asciiTheme="minorEastAsia" w:hAnsiTheme="minorEastAsia" w:eastAsiaTheme="minorEastAsia"/>
                <w:sz w:val="20"/>
                <w:szCs w:val="20"/>
              </w:rPr>
            </w:pPr>
          </w:p>
        </w:tc>
        <w:tc>
          <w:tcPr>
            <w:tcW w:w="1048" w:type="dxa"/>
            <w:vMerge w:val="continue"/>
            <w:tcBorders>
              <w:top w:val="single" w:color="auto" w:sz="4" w:space="0"/>
              <w:left w:val="single" w:color="auto" w:sz="4" w:space="0"/>
              <w:bottom w:val="single" w:color="auto" w:sz="4" w:space="0"/>
              <w:right w:val="single" w:color="auto" w:sz="4" w:space="0"/>
            </w:tcBorders>
            <w:vAlign w:val="center"/>
          </w:tcPr>
          <w:p>
            <w:pPr>
              <w:snapToGrid w:val="0"/>
              <w:jc w:val="left"/>
              <w:rPr>
                <w:rFonts w:cs="宋体" w:asciiTheme="minorEastAsia" w:hAnsiTheme="minorEastAsia" w:eastAsiaTheme="minorEastAsia"/>
                <w:sz w:val="20"/>
                <w:szCs w:val="20"/>
              </w:rPr>
            </w:pPr>
          </w:p>
        </w:tc>
        <w:tc>
          <w:tcPr>
            <w:tcW w:w="2352" w:type="dxa"/>
            <w:tcBorders>
              <w:left w:val="single" w:color="auto" w:sz="4" w:space="0"/>
            </w:tcBorders>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输水（隧）洞（管）下游河床、岸坡</w:t>
            </w:r>
          </w:p>
        </w:tc>
        <w:tc>
          <w:tcPr>
            <w:tcW w:w="172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水流冲刷、淤积物</w:t>
            </w:r>
          </w:p>
        </w:tc>
        <w:tc>
          <w:tcPr>
            <w:tcW w:w="1927"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凹陷、滑坡、堵塞</w:t>
            </w:r>
          </w:p>
        </w:tc>
        <w:tc>
          <w:tcPr>
            <w:tcW w:w="869"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LS法</w:t>
            </w:r>
          </w:p>
        </w:tc>
        <w:tc>
          <w:tcPr>
            <w:tcW w:w="81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3～6</w:t>
            </w:r>
          </w:p>
        </w:tc>
        <w:tc>
          <w:tcPr>
            <w:tcW w:w="84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w:t>
            </w:r>
          </w:p>
        </w:tc>
        <w:tc>
          <w:tcPr>
            <w:tcW w:w="84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3～100</w:t>
            </w:r>
          </w:p>
        </w:tc>
        <w:tc>
          <w:tcPr>
            <w:tcW w:w="111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9～600</w:t>
            </w:r>
          </w:p>
        </w:tc>
        <w:tc>
          <w:tcPr>
            <w:tcW w:w="108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低～重大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19"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w:t>
            </w:r>
          </w:p>
        </w:tc>
        <w:tc>
          <w:tcPr>
            <w:tcW w:w="942" w:type="dxa"/>
            <w:vMerge w:val="continue"/>
            <w:tcBorders>
              <w:right w:val="single" w:color="auto" w:sz="4" w:space="0"/>
            </w:tcBorders>
            <w:vAlign w:val="center"/>
          </w:tcPr>
          <w:p>
            <w:pPr>
              <w:snapToGrid w:val="0"/>
              <w:jc w:val="left"/>
              <w:rPr>
                <w:rFonts w:cs="宋体" w:asciiTheme="minorEastAsia" w:hAnsiTheme="minorEastAsia" w:eastAsiaTheme="minorEastAsia"/>
                <w:sz w:val="20"/>
                <w:szCs w:val="20"/>
              </w:rPr>
            </w:pPr>
          </w:p>
        </w:tc>
        <w:tc>
          <w:tcPr>
            <w:tcW w:w="1048" w:type="dxa"/>
            <w:vMerge w:val="restart"/>
            <w:tcBorders>
              <w:top w:val="single" w:color="auto" w:sz="4" w:space="0"/>
              <w:left w:val="single" w:color="auto" w:sz="4" w:space="0"/>
            </w:tcBorders>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过船建筑物</w:t>
            </w:r>
          </w:p>
        </w:tc>
        <w:tc>
          <w:tcPr>
            <w:tcW w:w="2352"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过船建筑物中船只通行</w:t>
            </w:r>
          </w:p>
        </w:tc>
        <w:tc>
          <w:tcPr>
            <w:tcW w:w="172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船只碰撞</w:t>
            </w:r>
          </w:p>
        </w:tc>
        <w:tc>
          <w:tcPr>
            <w:tcW w:w="1927"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建筑物结构损坏、船体损坏、航道堵塞</w:t>
            </w:r>
          </w:p>
        </w:tc>
        <w:tc>
          <w:tcPr>
            <w:tcW w:w="869"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LS法</w:t>
            </w:r>
          </w:p>
        </w:tc>
        <w:tc>
          <w:tcPr>
            <w:tcW w:w="81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3～18</w:t>
            </w:r>
          </w:p>
        </w:tc>
        <w:tc>
          <w:tcPr>
            <w:tcW w:w="84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w:t>
            </w:r>
          </w:p>
        </w:tc>
        <w:tc>
          <w:tcPr>
            <w:tcW w:w="84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3～100</w:t>
            </w:r>
          </w:p>
        </w:tc>
        <w:tc>
          <w:tcPr>
            <w:tcW w:w="111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9～1800</w:t>
            </w:r>
          </w:p>
        </w:tc>
        <w:tc>
          <w:tcPr>
            <w:tcW w:w="108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低～重大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19"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32</w:t>
            </w:r>
          </w:p>
        </w:tc>
        <w:tc>
          <w:tcPr>
            <w:tcW w:w="942" w:type="dxa"/>
            <w:vMerge w:val="continue"/>
            <w:tcBorders>
              <w:right w:val="single" w:color="auto" w:sz="4" w:space="0"/>
            </w:tcBorders>
            <w:vAlign w:val="center"/>
          </w:tcPr>
          <w:p>
            <w:pPr>
              <w:snapToGrid w:val="0"/>
              <w:jc w:val="left"/>
              <w:rPr>
                <w:rFonts w:cs="宋体" w:asciiTheme="minorEastAsia" w:hAnsiTheme="minorEastAsia" w:eastAsiaTheme="minorEastAsia"/>
                <w:sz w:val="20"/>
                <w:szCs w:val="20"/>
              </w:rPr>
            </w:pPr>
          </w:p>
        </w:tc>
        <w:tc>
          <w:tcPr>
            <w:tcW w:w="1048" w:type="dxa"/>
            <w:vMerge w:val="continue"/>
            <w:tcBorders>
              <w:left w:val="single" w:color="auto" w:sz="4" w:space="0"/>
            </w:tcBorders>
            <w:vAlign w:val="center"/>
          </w:tcPr>
          <w:p>
            <w:pPr>
              <w:snapToGrid w:val="0"/>
              <w:jc w:val="center"/>
              <w:rPr>
                <w:rFonts w:cs="宋体" w:asciiTheme="minorEastAsia" w:hAnsiTheme="minorEastAsia" w:eastAsiaTheme="minorEastAsia"/>
                <w:sz w:val="20"/>
                <w:szCs w:val="20"/>
              </w:rPr>
            </w:pPr>
          </w:p>
        </w:tc>
        <w:tc>
          <w:tcPr>
            <w:tcW w:w="2352"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过船建筑物中船载物品</w:t>
            </w:r>
          </w:p>
        </w:tc>
        <w:tc>
          <w:tcPr>
            <w:tcW w:w="172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物品掉落</w:t>
            </w:r>
          </w:p>
        </w:tc>
        <w:tc>
          <w:tcPr>
            <w:tcW w:w="1927"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航道堵塞、环境污染</w:t>
            </w:r>
          </w:p>
        </w:tc>
        <w:tc>
          <w:tcPr>
            <w:tcW w:w="869"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LS法</w:t>
            </w:r>
          </w:p>
        </w:tc>
        <w:tc>
          <w:tcPr>
            <w:tcW w:w="81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3～6</w:t>
            </w:r>
          </w:p>
        </w:tc>
        <w:tc>
          <w:tcPr>
            <w:tcW w:w="84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w:t>
            </w:r>
          </w:p>
        </w:tc>
        <w:tc>
          <w:tcPr>
            <w:tcW w:w="84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3～100</w:t>
            </w:r>
          </w:p>
        </w:tc>
        <w:tc>
          <w:tcPr>
            <w:tcW w:w="111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9～600</w:t>
            </w:r>
          </w:p>
        </w:tc>
        <w:tc>
          <w:tcPr>
            <w:tcW w:w="108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低～重大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19"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33</w:t>
            </w:r>
          </w:p>
        </w:tc>
        <w:tc>
          <w:tcPr>
            <w:tcW w:w="942" w:type="dxa"/>
            <w:vMerge w:val="continue"/>
            <w:tcBorders>
              <w:right w:val="single" w:color="auto" w:sz="4" w:space="0"/>
            </w:tcBorders>
            <w:vAlign w:val="center"/>
          </w:tcPr>
          <w:p>
            <w:pPr>
              <w:snapToGrid w:val="0"/>
              <w:jc w:val="left"/>
              <w:rPr>
                <w:rFonts w:cs="宋体" w:asciiTheme="minorEastAsia" w:hAnsiTheme="minorEastAsia" w:eastAsiaTheme="minorEastAsia"/>
                <w:sz w:val="20"/>
                <w:szCs w:val="20"/>
              </w:rPr>
            </w:pPr>
          </w:p>
        </w:tc>
        <w:tc>
          <w:tcPr>
            <w:tcW w:w="1048" w:type="dxa"/>
            <w:vMerge w:val="restart"/>
            <w:tcBorders>
              <w:left w:val="single" w:color="auto" w:sz="4" w:space="0"/>
            </w:tcBorders>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桥梁</w:t>
            </w:r>
          </w:p>
        </w:tc>
        <w:tc>
          <w:tcPr>
            <w:tcW w:w="2352"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桥梁上车辆行驶</w:t>
            </w:r>
          </w:p>
        </w:tc>
        <w:tc>
          <w:tcPr>
            <w:tcW w:w="172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车辆超载、超高、碰撞</w:t>
            </w:r>
          </w:p>
        </w:tc>
        <w:tc>
          <w:tcPr>
            <w:tcW w:w="1927"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桥体损坏、垮塌</w:t>
            </w:r>
          </w:p>
        </w:tc>
        <w:tc>
          <w:tcPr>
            <w:tcW w:w="869"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LS法</w:t>
            </w:r>
          </w:p>
        </w:tc>
        <w:tc>
          <w:tcPr>
            <w:tcW w:w="81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3～18</w:t>
            </w:r>
          </w:p>
        </w:tc>
        <w:tc>
          <w:tcPr>
            <w:tcW w:w="84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w:t>
            </w:r>
          </w:p>
        </w:tc>
        <w:tc>
          <w:tcPr>
            <w:tcW w:w="84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3～100</w:t>
            </w:r>
          </w:p>
        </w:tc>
        <w:tc>
          <w:tcPr>
            <w:tcW w:w="111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9～1800</w:t>
            </w:r>
          </w:p>
        </w:tc>
        <w:tc>
          <w:tcPr>
            <w:tcW w:w="108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低～重大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19"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34</w:t>
            </w:r>
          </w:p>
        </w:tc>
        <w:tc>
          <w:tcPr>
            <w:tcW w:w="942" w:type="dxa"/>
            <w:vMerge w:val="continue"/>
            <w:tcBorders>
              <w:right w:val="single" w:color="auto" w:sz="4" w:space="0"/>
            </w:tcBorders>
            <w:vAlign w:val="center"/>
          </w:tcPr>
          <w:p>
            <w:pPr>
              <w:snapToGrid w:val="0"/>
              <w:jc w:val="left"/>
              <w:rPr>
                <w:rFonts w:cs="宋体" w:asciiTheme="minorEastAsia" w:hAnsiTheme="minorEastAsia" w:eastAsiaTheme="minorEastAsia"/>
                <w:sz w:val="20"/>
                <w:szCs w:val="20"/>
              </w:rPr>
            </w:pPr>
          </w:p>
        </w:tc>
        <w:tc>
          <w:tcPr>
            <w:tcW w:w="1048" w:type="dxa"/>
            <w:vMerge w:val="continue"/>
            <w:tcBorders>
              <w:left w:val="single" w:color="auto" w:sz="4" w:space="0"/>
            </w:tcBorders>
            <w:vAlign w:val="center"/>
          </w:tcPr>
          <w:p>
            <w:pPr>
              <w:snapToGrid w:val="0"/>
              <w:jc w:val="left"/>
              <w:rPr>
                <w:rFonts w:cs="宋体" w:asciiTheme="minorEastAsia" w:hAnsiTheme="minorEastAsia" w:eastAsiaTheme="minorEastAsia"/>
                <w:sz w:val="20"/>
                <w:szCs w:val="20"/>
              </w:rPr>
            </w:pPr>
          </w:p>
        </w:tc>
        <w:tc>
          <w:tcPr>
            <w:tcW w:w="2352"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桥梁下方船只通行</w:t>
            </w:r>
          </w:p>
        </w:tc>
        <w:tc>
          <w:tcPr>
            <w:tcW w:w="172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船只碰撞</w:t>
            </w:r>
          </w:p>
        </w:tc>
        <w:tc>
          <w:tcPr>
            <w:tcW w:w="1927"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桥体损坏、垮塌</w:t>
            </w:r>
          </w:p>
        </w:tc>
        <w:tc>
          <w:tcPr>
            <w:tcW w:w="869"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LS法</w:t>
            </w:r>
          </w:p>
        </w:tc>
        <w:tc>
          <w:tcPr>
            <w:tcW w:w="81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3～18</w:t>
            </w:r>
          </w:p>
        </w:tc>
        <w:tc>
          <w:tcPr>
            <w:tcW w:w="84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w:t>
            </w:r>
          </w:p>
        </w:tc>
        <w:tc>
          <w:tcPr>
            <w:tcW w:w="84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3～100</w:t>
            </w:r>
          </w:p>
        </w:tc>
        <w:tc>
          <w:tcPr>
            <w:tcW w:w="111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9～1800</w:t>
            </w:r>
          </w:p>
        </w:tc>
        <w:tc>
          <w:tcPr>
            <w:tcW w:w="108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低～重大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19"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35</w:t>
            </w:r>
          </w:p>
        </w:tc>
        <w:tc>
          <w:tcPr>
            <w:tcW w:w="942" w:type="dxa"/>
            <w:vMerge w:val="continue"/>
            <w:tcBorders>
              <w:right w:val="single" w:color="auto" w:sz="4" w:space="0"/>
            </w:tcBorders>
            <w:vAlign w:val="center"/>
          </w:tcPr>
          <w:p>
            <w:pPr>
              <w:snapToGrid w:val="0"/>
              <w:jc w:val="left"/>
              <w:rPr>
                <w:rFonts w:cs="宋体" w:asciiTheme="minorEastAsia" w:hAnsiTheme="minorEastAsia" w:eastAsiaTheme="minorEastAsia"/>
                <w:sz w:val="20"/>
                <w:szCs w:val="20"/>
              </w:rPr>
            </w:pPr>
          </w:p>
        </w:tc>
        <w:tc>
          <w:tcPr>
            <w:tcW w:w="1048" w:type="dxa"/>
            <w:vMerge w:val="continue"/>
            <w:tcBorders>
              <w:left w:val="single" w:color="auto" w:sz="4" w:space="0"/>
            </w:tcBorders>
            <w:vAlign w:val="center"/>
          </w:tcPr>
          <w:p>
            <w:pPr>
              <w:snapToGrid w:val="0"/>
              <w:jc w:val="left"/>
              <w:rPr>
                <w:rFonts w:cs="宋体" w:asciiTheme="minorEastAsia" w:hAnsiTheme="minorEastAsia" w:eastAsiaTheme="minorEastAsia"/>
                <w:sz w:val="20"/>
                <w:szCs w:val="20"/>
              </w:rPr>
            </w:pPr>
          </w:p>
        </w:tc>
        <w:tc>
          <w:tcPr>
            <w:tcW w:w="2352"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桥梁上有大型机械运行</w:t>
            </w:r>
          </w:p>
        </w:tc>
        <w:tc>
          <w:tcPr>
            <w:tcW w:w="172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超重、碰撞</w:t>
            </w:r>
          </w:p>
        </w:tc>
        <w:tc>
          <w:tcPr>
            <w:tcW w:w="1927"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桥体损坏、垮塌</w:t>
            </w:r>
          </w:p>
        </w:tc>
        <w:tc>
          <w:tcPr>
            <w:tcW w:w="869"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LS法</w:t>
            </w:r>
          </w:p>
        </w:tc>
        <w:tc>
          <w:tcPr>
            <w:tcW w:w="81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3～6</w:t>
            </w:r>
          </w:p>
        </w:tc>
        <w:tc>
          <w:tcPr>
            <w:tcW w:w="84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w:t>
            </w:r>
          </w:p>
        </w:tc>
        <w:tc>
          <w:tcPr>
            <w:tcW w:w="84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3～100</w:t>
            </w:r>
          </w:p>
        </w:tc>
        <w:tc>
          <w:tcPr>
            <w:tcW w:w="111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9～600</w:t>
            </w:r>
          </w:p>
        </w:tc>
        <w:tc>
          <w:tcPr>
            <w:tcW w:w="108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低～重大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19"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36</w:t>
            </w:r>
          </w:p>
        </w:tc>
        <w:tc>
          <w:tcPr>
            <w:tcW w:w="942" w:type="dxa"/>
            <w:vMerge w:val="continue"/>
            <w:tcBorders>
              <w:right w:val="single" w:color="auto" w:sz="4" w:space="0"/>
            </w:tcBorders>
            <w:vAlign w:val="center"/>
          </w:tcPr>
          <w:p>
            <w:pPr>
              <w:snapToGrid w:val="0"/>
              <w:jc w:val="left"/>
              <w:rPr>
                <w:rFonts w:cs="宋体" w:asciiTheme="minorEastAsia" w:hAnsiTheme="minorEastAsia" w:eastAsiaTheme="minorEastAsia"/>
                <w:sz w:val="20"/>
                <w:szCs w:val="20"/>
              </w:rPr>
            </w:pPr>
          </w:p>
        </w:tc>
        <w:tc>
          <w:tcPr>
            <w:tcW w:w="1048" w:type="dxa"/>
            <w:vMerge w:val="continue"/>
            <w:tcBorders>
              <w:left w:val="single" w:color="auto" w:sz="4" w:space="0"/>
            </w:tcBorders>
            <w:vAlign w:val="center"/>
          </w:tcPr>
          <w:p>
            <w:pPr>
              <w:snapToGrid w:val="0"/>
              <w:jc w:val="left"/>
              <w:rPr>
                <w:rFonts w:cs="宋体" w:asciiTheme="minorEastAsia" w:hAnsiTheme="minorEastAsia" w:eastAsiaTheme="minorEastAsia"/>
                <w:sz w:val="20"/>
                <w:szCs w:val="20"/>
              </w:rPr>
            </w:pPr>
          </w:p>
        </w:tc>
        <w:tc>
          <w:tcPr>
            <w:tcW w:w="2352"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桥梁表面排水</w:t>
            </w:r>
          </w:p>
        </w:tc>
        <w:tc>
          <w:tcPr>
            <w:tcW w:w="172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排水设施失效、积水</w:t>
            </w:r>
          </w:p>
        </w:tc>
        <w:tc>
          <w:tcPr>
            <w:tcW w:w="1927"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交通中断</w:t>
            </w:r>
          </w:p>
        </w:tc>
        <w:tc>
          <w:tcPr>
            <w:tcW w:w="869"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LS法</w:t>
            </w:r>
          </w:p>
        </w:tc>
        <w:tc>
          <w:tcPr>
            <w:tcW w:w="81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3～6</w:t>
            </w:r>
          </w:p>
        </w:tc>
        <w:tc>
          <w:tcPr>
            <w:tcW w:w="84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w:t>
            </w:r>
          </w:p>
        </w:tc>
        <w:tc>
          <w:tcPr>
            <w:tcW w:w="84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3～100</w:t>
            </w:r>
          </w:p>
        </w:tc>
        <w:tc>
          <w:tcPr>
            <w:tcW w:w="111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9～600</w:t>
            </w:r>
          </w:p>
        </w:tc>
        <w:tc>
          <w:tcPr>
            <w:tcW w:w="108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低～重大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19"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37</w:t>
            </w:r>
          </w:p>
        </w:tc>
        <w:tc>
          <w:tcPr>
            <w:tcW w:w="942" w:type="dxa"/>
            <w:vMerge w:val="restart"/>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构（建）筑物类</w:t>
            </w:r>
          </w:p>
        </w:tc>
        <w:tc>
          <w:tcPr>
            <w:tcW w:w="1048" w:type="dxa"/>
            <w:vMerge w:val="restart"/>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近坝岸坡</w:t>
            </w:r>
          </w:p>
        </w:tc>
        <w:tc>
          <w:tcPr>
            <w:tcW w:w="2352"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近坝岸坡地质条件</w:t>
            </w:r>
          </w:p>
        </w:tc>
        <w:tc>
          <w:tcPr>
            <w:tcW w:w="172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不良地质</w:t>
            </w:r>
          </w:p>
        </w:tc>
        <w:tc>
          <w:tcPr>
            <w:tcW w:w="1927"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变形、失稳、坍塌</w:t>
            </w:r>
          </w:p>
        </w:tc>
        <w:tc>
          <w:tcPr>
            <w:tcW w:w="869"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LS法</w:t>
            </w:r>
          </w:p>
        </w:tc>
        <w:tc>
          <w:tcPr>
            <w:tcW w:w="81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3～36</w:t>
            </w:r>
          </w:p>
        </w:tc>
        <w:tc>
          <w:tcPr>
            <w:tcW w:w="84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w:t>
            </w:r>
          </w:p>
        </w:tc>
        <w:tc>
          <w:tcPr>
            <w:tcW w:w="84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3～100</w:t>
            </w:r>
          </w:p>
        </w:tc>
        <w:tc>
          <w:tcPr>
            <w:tcW w:w="111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9～3600</w:t>
            </w:r>
          </w:p>
        </w:tc>
        <w:tc>
          <w:tcPr>
            <w:tcW w:w="108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低～重大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19"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38</w:t>
            </w:r>
          </w:p>
        </w:tc>
        <w:tc>
          <w:tcPr>
            <w:tcW w:w="942" w:type="dxa"/>
            <w:vMerge w:val="continue"/>
            <w:vAlign w:val="center"/>
          </w:tcPr>
          <w:p>
            <w:pPr>
              <w:snapToGrid w:val="0"/>
              <w:jc w:val="left"/>
              <w:rPr>
                <w:rFonts w:cs="宋体" w:asciiTheme="minorEastAsia" w:hAnsiTheme="minorEastAsia" w:eastAsiaTheme="minorEastAsia"/>
                <w:sz w:val="20"/>
                <w:szCs w:val="20"/>
              </w:rPr>
            </w:pPr>
          </w:p>
        </w:tc>
        <w:tc>
          <w:tcPr>
            <w:tcW w:w="1048" w:type="dxa"/>
            <w:vMerge w:val="continue"/>
            <w:vAlign w:val="center"/>
          </w:tcPr>
          <w:p>
            <w:pPr>
              <w:snapToGrid w:val="0"/>
              <w:jc w:val="left"/>
              <w:rPr>
                <w:rFonts w:cs="宋体" w:asciiTheme="minorEastAsia" w:hAnsiTheme="minorEastAsia" w:eastAsiaTheme="minorEastAsia"/>
                <w:sz w:val="20"/>
                <w:szCs w:val="20"/>
              </w:rPr>
            </w:pPr>
          </w:p>
        </w:tc>
        <w:tc>
          <w:tcPr>
            <w:tcW w:w="2352"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近坝岸坡表面</w:t>
            </w:r>
          </w:p>
        </w:tc>
        <w:tc>
          <w:tcPr>
            <w:tcW w:w="172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水流冲刷</w:t>
            </w:r>
          </w:p>
        </w:tc>
        <w:tc>
          <w:tcPr>
            <w:tcW w:w="1927"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岸坡损坏、变形、滑塌</w:t>
            </w:r>
          </w:p>
        </w:tc>
        <w:tc>
          <w:tcPr>
            <w:tcW w:w="869"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LS法</w:t>
            </w:r>
          </w:p>
        </w:tc>
        <w:tc>
          <w:tcPr>
            <w:tcW w:w="81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3～18</w:t>
            </w:r>
          </w:p>
        </w:tc>
        <w:tc>
          <w:tcPr>
            <w:tcW w:w="84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w:t>
            </w:r>
          </w:p>
        </w:tc>
        <w:tc>
          <w:tcPr>
            <w:tcW w:w="84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3～100</w:t>
            </w:r>
          </w:p>
        </w:tc>
        <w:tc>
          <w:tcPr>
            <w:tcW w:w="111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9～1800</w:t>
            </w:r>
          </w:p>
        </w:tc>
        <w:tc>
          <w:tcPr>
            <w:tcW w:w="108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低～重大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19"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39</w:t>
            </w:r>
          </w:p>
        </w:tc>
        <w:tc>
          <w:tcPr>
            <w:tcW w:w="942" w:type="dxa"/>
            <w:vMerge w:val="continue"/>
            <w:vAlign w:val="center"/>
          </w:tcPr>
          <w:p>
            <w:pPr>
              <w:snapToGrid w:val="0"/>
              <w:jc w:val="left"/>
              <w:rPr>
                <w:rFonts w:cs="宋体" w:asciiTheme="minorEastAsia" w:hAnsiTheme="minorEastAsia" w:eastAsiaTheme="minorEastAsia"/>
                <w:sz w:val="20"/>
                <w:szCs w:val="20"/>
              </w:rPr>
            </w:pPr>
          </w:p>
        </w:tc>
        <w:tc>
          <w:tcPr>
            <w:tcW w:w="1048" w:type="dxa"/>
            <w:vMerge w:val="continue"/>
            <w:vAlign w:val="center"/>
          </w:tcPr>
          <w:p>
            <w:pPr>
              <w:snapToGrid w:val="0"/>
              <w:jc w:val="left"/>
              <w:rPr>
                <w:rFonts w:cs="宋体" w:asciiTheme="minorEastAsia" w:hAnsiTheme="minorEastAsia" w:eastAsiaTheme="minorEastAsia"/>
                <w:sz w:val="20"/>
                <w:szCs w:val="20"/>
              </w:rPr>
            </w:pPr>
          </w:p>
        </w:tc>
        <w:tc>
          <w:tcPr>
            <w:tcW w:w="2352"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近坝岸坡排水</w:t>
            </w:r>
          </w:p>
        </w:tc>
        <w:tc>
          <w:tcPr>
            <w:tcW w:w="172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排水设施失效</w:t>
            </w:r>
          </w:p>
        </w:tc>
        <w:tc>
          <w:tcPr>
            <w:tcW w:w="1927"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变形、滑塌</w:t>
            </w:r>
          </w:p>
        </w:tc>
        <w:tc>
          <w:tcPr>
            <w:tcW w:w="869"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LS法</w:t>
            </w:r>
          </w:p>
        </w:tc>
        <w:tc>
          <w:tcPr>
            <w:tcW w:w="81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3～18</w:t>
            </w:r>
          </w:p>
        </w:tc>
        <w:tc>
          <w:tcPr>
            <w:tcW w:w="84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w:t>
            </w:r>
          </w:p>
        </w:tc>
        <w:tc>
          <w:tcPr>
            <w:tcW w:w="84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3～100</w:t>
            </w:r>
          </w:p>
        </w:tc>
        <w:tc>
          <w:tcPr>
            <w:tcW w:w="111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9～1800</w:t>
            </w:r>
          </w:p>
        </w:tc>
        <w:tc>
          <w:tcPr>
            <w:tcW w:w="108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低～重大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19"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40</w:t>
            </w:r>
          </w:p>
        </w:tc>
        <w:tc>
          <w:tcPr>
            <w:tcW w:w="942" w:type="dxa"/>
            <w:vMerge w:val="restart"/>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金属结构类</w:t>
            </w:r>
          </w:p>
        </w:tc>
        <w:tc>
          <w:tcPr>
            <w:tcW w:w="1048"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闸门</w:t>
            </w:r>
          </w:p>
        </w:tc>
        <w:tc>
          <w:tcPr>
            <w:tcW w:w="11565" w:type="dxa"/>
            <w:gridSpan w:val="9"/>
            <w:vMerge w:val="restart"/>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参考附件A</w:t>
            </w:r>
            <w:r>
              <w:rPr>
                <w:rFonts w:cs="宋体" w:asciiTheme="minorEastAsia" w:hAnsiTheme="minorEastAsia" w:eastAsiaTheme="minorEastAsia"/>
                <w:sz w:val="20"/>
                <w:szCs w:val="20"/>
              </w:rPr>
              <w:t>.</w:t>
            </w:r>
            <w:r>
              <w:rPr>
                <w:rFonts w:hint="eastAsia" w:cs="宋体" w:asciiTheme="minorEastAsia" w:hAnsiTheme="minorEastAsia" w:eastAsiaTheme="minorEastAsia"/>
                <w:sz w:val="20"/>
                <w:szCs w:val="20"/>
              </w:rPr>
              <w:t>6《水闸工程运行一般危险源风险评价赋分表（指南）》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19"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41</w:t>
            </w:r>
          </w:p>
        </w:tc>
        <w:tc>
          <w:tcPr>
            <w:tcW w:w="942" w:type="dxa"/>
            <w:vMerge w:val="continue"/>
            <w:vAlign w:val="center"/>
          </w:tcPr>
          <w:p>
            <w:pPr>
              <w:snapToGrid w:val="0"/>
              <w:jc w:val="left"/>
              <w:rPr>
                <w:rFonts w:cs="宋体" w:asciiTheme="minorEastAsia" w:hAnsiTheme="minorEastAsia" w:eastAsiaTheme="minorEastAsia"/>
                <w:sz w:val="20"/>
                <w:szCs w:val="20"/>
              </w:rPr>
            </w:pPr>
          </w:p>
        </w:tc>
        <w:tc>
          <w:tcPr>
            <w:tcW w:w="1048"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启闭机械</w:t>
            </w:r>
          </w:p>
        </w:tc>
        <w:tc>
          <w:tcPr>
            <w:tcW w:w="11565" w:type="dxa"/>
            <w:gridSpan w:val="9"/>
            <w:vMerge w:val="continue"/>
            <w:vAlign w:val="center"/>
          </w:tcPr>
          <w:p>
            <w:pPr>
              <w:snapToGrid w:val="0"/>
              <w:jc w:val="center"/>
              <w:rPr>
                <w:rFonts w:cs="宋体" w:asciiTheme="minorEastAsia" w:hAnsiTheme="minorEastAsia" w:eastAsiaTheme="minorEastAsia"/>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19"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42</w:t>
            </w:r>
          </w:p>
        </w:tc>
        <w:tc>
          <w:tcPr>
            <w:tcW w:w="942" w:type="dxa"/>
            <w:vMerge w:val="restart"/>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设备设施类</w:t>
            </w:r>
          </w:p>
        </w:tc>
        <w:tc>
          <w:tcPr>
            <w:tcW w:w="1048"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电气设备</w:t>
            </w:r>
          </w:p>
        </w:tc>
        <w:tc>
          <w:tcPr>
            <w:tcW w:w="11565" w:type="dxa"/>
            <w:gridSpan w:val="9"/>
            <w:vMerge w:val="continue"/>
            <w:vAlign w:val="center"/>
          </w:tcPr>
          <w:p>
            <w:pPr>
              <w:snapToGrid w:val="0"/>
              <w:jc w:val="center"/>
              <w:rPr>
                <w:rFonts w:cs="宋体" w:asciiTheme="minorEastAsia" w:hAnsiTheme="minorEastAsia" w:eastAsiaTheme="minorEastAsia"/>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19"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43</w:t>
            </w:r>
          </w:p>
        </w:tc>
        <w:tc>
          <w:tcPr>
            <w:tcW w:w="942" w:type="dxa"/>
            <w:vMerge w:val="continue"/>
            <w:vAlign w:val="center"/>
          </w:tcPr>
          <w:p>
            <w:pPr>
              <w:snapToGrid w:val="0"/>
              <w:jc w:val="left"/>
              <w:rPr>
                <w:rFonts w:cs="宋体" w:asciiTheme="minorEastAsia" w:hAnsiTheme="minorEastAsia" w:eastAsiaTheme="minorEastAsia"/>
                <w:sz w:val="20"/>
                <w:szCs w:val="20"/>
              </w:rPr>
            </w:pPr>
          </w:p>
        </w:tc>
        <w:tc>
          <w:tcPr>
            <w:tcW w:w="1048"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特种设备</w:t>
            </w:r>
          </w:p>
        </w:tc>
        <w:tc>
          <w:tcPr>
            <w:tcW w:w="11565" w:type="dxa"/>
            <w:gridSpan w:val="9"/>
            <w:vMerge w:val="continue"/>
            <w:vAlign w:val="center"/>
          </w:tcPr>
          <w:p>
            <w:pPr>
              <w:snapToGrid w:val="0"/>
              <w:jc w:val="center"/>
              <w:rPr>
                <w:rFonts w:cs="宋体" w:asciiTheme="minorEastAsia" w:hAnsiTheme="minorEastAsia" w:eastAsiaTheme="minorEastAsia"/>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19"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44</w:t>
            </w:r>
          </w:p>
        </w:tc>
        <w:tc>
          <w:tcPr>
            <w:tcW w:w="942" w:type="dxa"/>
            <w:vMerge w:val="continue"/>
            <w:vAlign w:val="center"/>
          </w:tcPr>
          <w:p>
            <w:pPr>
              <w:snapToGrid w:val="0"/>
              <w:jc w:val="center"/>
              <w:rPr>
                <w:rFonts w:cs="宋体" w:asciiTheme="minorEastAsia" w:hAnsiTheme="minorEastAsia" w:eastAsiaTheme="minorEastAsia"/>
                <w:sz w:val="20"/>
                <w:szCs w:val="20"/>
              </w:rPr>
            </w:pPr>
          </w:p>
        </w:tc>
        <w:tc>
          <w:tcPr>
            <w:tcW w:w="1048" w:type="dxa"/>
            <w:vMerge w:val="restart"/>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管理设施</w:t>
            </w:r>
          </w:p>
        </w:tc>
        <w:tc>
          <w:tcPr>
            <w:tcW w:w="2352"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水文测报站网及自动测报系统</w:t>
            </w:r>
          </w:p>
        </w:tc>
        <w:tc>
          <w:tcPr>
            <w:tcW w:w="172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功能失效</w:t>
            </w:r>
          </w:p>
        </w:tc>
        <w:tc>
          <w:tcPr>
            <w:tcW w:w="1927"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影响工程调度运行</w:t>
            </w:r>
          </w:p>
        </w:tc>
        <w:tc>
          <w:tcPr>
            <w:tcW w:w="869"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LS法</w:t>
            </w:r>
          </w:p>
        </w:tc>
        <w:tc>
          <w:tcPr>
            <w:tcW w:w="81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3～18</w:t>
            </w:r>
          </w:p>
        </w:tc>
        <w:tc>
          <w:tcPr>
            <w:tcW w:w="84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w:t>
            </w:r>
          </w:p>
        </w:tc>
        <w:tc>
          <w:tcPr>
            <w:tcW w:w="84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3～100</w:t>
            </w:r>
          </w:p>
        </w:tc>
        <w:tc>
          <w:tcPr>
            <w:tcW w:w="111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9～1800</w:t>
            </w:r>
          </w:p>
        </w:tc>
        <w:tc>
          <w:tcPr>
            <w:tcW w:w="108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低～重大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19"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45</w:t>
            </w:r>
          </w:p>
        </w:tc>
        <w:tc>
          <w:tcPr>
            <w:tcW w:w="942" w:type="dxa"/>
            <w:vMerge w:val="continue"/>
            <w:vAlign w:val="center"/>
          </w:tcPr>
          <w:p>
            <w:pPr>
              <w:snapToGrid w:val="0"/>
              <w:jc w:val="left"/>
              <w:rPr>
                <w:rFonts w:cs="宋体" w:asciiTheme="minorEastAsia" w:hAnsiTheme="minorEastAsia" w:eastAsiaTheme="minorEastAsia"/>
                <w:sz w:val="20"/>
                <w:szCs w:val="20"/>
              </w:rPr>
            </w:pPr>
          </w:p>
        </w:tc>
        <w:tc>
          <w:tcPr>
            <w:tcW w:w="1048" w:type="dxa"/>
            <w:vMerge w:val="continue"/>
            <w:vAlign w:val="center"/>
          </w:tcPr>
          <w:p>
            <w:pPr>
              <w:snapToGrid w:val="0"/>
              <w:jc w:val="left"/>
              <w:rPr>
                <w:rFonts w:cs="宋体" w:asciiTheme="minorEastAsia" w:hAnsiTheme="minorEastAsia" w:eastAsiaTheme="minorEastAsia"/>
                <w:sz w:val="20"/>
                <w:szCs w:val="20"/>
              </w:rPr>
            </w:pPr>
          </w:p>
        </w:tc>
        <w:tc>
          <w:tcPr>
            <w:tcW w:w="2352"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观测设施</w:t>
            </w:r>
          </w:p>
        </w:tc>
        <w:tc>
          <w:tcPr>
            <w:tcW w:w="172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设施损坏</w:t>
            </w:r>
          </w:p>
        </w:tc>
        <w:tc>
          <w:tcPr>
            <w:tcW w:w="1927"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影响工程调度运行</w:t>
            </w:r>
          </w:p>
        </w:tc>
        <w:tc>
          <w:tcPr>
            <w:tcW w:w="869"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LS法</w:t>
            </w:r>
          </w:p>
        </w:tc>
        <w:tc>
          <w:tcPr>
            <w:tcW w:w="81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3～6</w:t>
            </w:r>
          </w:p>
        </w:tc>
        <w:tc>
          <w:tcPr>
            <w:tcW w:w="84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w:t>
            </w:r>
          </w:p>
        </w:tc>
        <w:tc>
          <w:tcPr>
            <w:tcW w:w="84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3～100</w:t>
            </w:r>
          </w:p>
        </w:tc>
        <w:tc>
          <w:tcPr>
            <w:tcW w:w="111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9～600</w:t>
            </w:r>
          </w:p>
        </w:tc>
        <w:tc>
          <w:tcPr>
            <w:tcW w:w="108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低～重大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19"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46</w:t>
            </w:r>
          </w:p>
        </w:tc>
        <w:tc>
          <w:tcPr>
            <w:tcW w:w="942" w:type="dxa"/>
            <w:vMerge w:val="continue"/>
            <w:vAlign w:val="center"/>
          </w:tcPr>
          <w:p>
            <w:pPr>
              <w:snapToGrid w:val="0"/>
              <w:jc w:val="left"/>
              <w:rPr>
                <w:rFonts w:cs="宋体" w:asciiTheme="minorEastAsia" w:hAnsiTheme="minorEastAsia" w:eastAsiaTheme="minorEastAsia"/>
                <w:sz w:val="20"/>
                <w:szCs w:val="20"/>
              </w:rPr>
            </w:pPr>
          </w:p>
        </w:tc>
        <w:tc>
          <w:tcPr>
            <w:tcW w:w="1048" w:type="dxa"/>
            <w:vMerge w:val="continue"/>
            <w:vAlign w:val="center"/>
          </w:tcPr>
          <w:p>
            <w:pPr>
              <w:snapToGrid w:val="0"/>
              <w:jc w:val="left"/>
              <w:rPr>
                <w:rFonts w:cs="宋体" w:asciiTheme="minorEastAsia" w:hAnsiTheme="minorEastAsia" w:eastAsiaTheme="minorEastAsia"/>
                <w:sz w:val="20"/>
                <w:szCs w:val="20"/>
              </w:rPr>
            </w:pPr>
          </w:p>
        </w:tc>
        <w:tc>
          <w:tcPr>
            <w:tcW w:w="2352"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变形、渗流、应力应变、温度等安全监测系统</w:t>
            </w:r>
          </w:p>
        </w:tc>
        <w:tc>
          <w:tcPr>
            <w:tcW w:w="172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功能失效</w:t>
            </w:r>
          </w:p>
        </w:tc>
        <w:tc>
          <w:tcPr>
            <w:tcW w:w="1927"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不能及时发现工程隐患或险情</w:t>
            </w:r>
          </w:p>
        </w:tc>
        <w:tc>
          <w:tcPr>
            <w:tcW w:w="869"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LS法</w:t>
            </w:r>
          </w:p>
        </w:tc>
        <w:tc>
          <w:tcPr>
            <w:tcW w:w="81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3～18</w:t>
            </w:r>
          </w:p>
        </w:tc>
        <w:tc>
          <w:tcPr>
            <w:tcW w:w="84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w:t>
            </w:r>
          </w:p>
        </w:tc>
        <w:tc>
          <w:tcPr>
            <w:tcW w:w="84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3～100</w:t>
            </w:r>
          </w:p>
        </w:tc>
        <w:tc>
          <w:tcPr>
            <w:tcW w:w="111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9～1800</w:t>
            </w:r>
          </w:p>
        </w:tc>
        <w:tc>
          <w:tcPr>
            <w:tcW w:w="108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低～重大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19"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47</w:t>
            </w:r>
          </w:p>
        </w:tc>
        <w:tc>
          <w:tcPr>
            <w:tcW w:w="942" w:type="dxa"/>
            <w:vMerge w:val="continue"/>
            <w:vAlign w:val="center"/>
          </w:tcPr>
          <w:p>
            <w:pPr>
              <w:snapToGrid w:val="0"/>
              <w:jc w:val="left"/>
              <w:rPr>
                <w:rFonts w:cs="宋体" w:asciiTheme="minorEastAsia" w:hAnsiTheme="minorEastAsia" w:eastAsiaTheme="minorEastAsia"/>
                <w:sz w:val="20"/>
                <w:szCs w:val="20"/>
              </w:rPr>
            </w:pPr>
          </w:p>
        </w:tc>
        <w:tc>
          <w:tcPr>
            <w:tcW w:w="1048" w:type="dxa"/>
            <w:vMerge w:val="continue"/>
            <w:vAlign w:val="center"/>
          </w:tcPr>
          <w:p>
            <w:pPr>
              <w:snapToGrid w:val="0"/>
              <w:jc w:val="left"/>
              <w:rPr>
                <w:rFonts w:cs="宋体" w:asciiTheme="minorEastAsia" w:hAnsiTheme="minorEastAsia" w:eastAsiaTheme="minorEastAsia"/>
                <w:sz w:val="20"/>
                <w:szCs w:val="20"/>
              </w:rPr>
            </w:pPr>
          </w:p>
        </w:tc>
        <w:tc>
          <w:tcPr>
            <w:tcW w:w="2352"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水质监测系统</w:t>
            </w:r>
          </w:p>
        </w:tc>
        <w:tc>
          <w:tcPr>
            <w:tcW w:w="172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功能失效</w:t>
            </w:r>
          </w:p>
        </w:tc>
        <w:tc>
          <w:tcPr>
            <w:tcW w:w="1927"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不能及时发现水质问题</w:t>
            </w:r>
          </w:p>
        </w:tc>
        <w:tc>
          <w:tcPr>
            <w:tcW w:w="869"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LS法</w:t>
            </w:r>
          </w:p>
        </w:tc>
        <w:tc>
          <w:tcPr>
            <w:tcW w:w="81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3～6</w:t>
            </w:r>
          </w:p>
        </w:tc>
        <w:tc>
          <w:tcPr>
            <w:tcW w:w="84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w:t>
            </w:r>
          </w:p>
        </w:tc>
        <w:tc>
          <w:tcPr>
            <w:tcW w:w="84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3～100</w:t>
            </w:r>
          </w:p>
        </w:tc>
        <w:tc>
          <w:tcPr>
            <w:tcW w:w="111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9～600</w:t>
            </w:r>
          </w:p>
        </w:tc>
        <w:tc>
          <w:tcPr>
            <w:tcW w:w="108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低～重大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19"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48</w:t>
            </w:r>
          </w:p>
        </w:tc>
        <w:tc>
          <w:tcPr>
            <w:tcW w:w="942" w:type="dxa"/>
            <w:vMerge w:val="continue"/>
            <w:vAlign w:val="center"/>
          </w:tcPr>
          <w:p>
            <w:pPr>
              <w:snapToGrid w:val="0"/>
              <w:jc w:val="center"/>
              <w:rPr>
                <w:rFonts w:cs="宋体" w:asciiTheme="minorEastAsia" w:hAnsiTheme="minorEastAsia" w:eastAsiaTheme="minorEastAsia"/>
                <w:sz w:val="20"/>
                <w:szCs w:val="20"/>
              </w:rPr>
            </w:pPr>
          </w:p>
        </w:tc>
        <w:tc>
          <w:tcPr>
            <w:tcW w:w="1048" w:type="dxa"/>
            <w:vMerge w:val="continue"/>
            <w:vAlign w:val="center"/>
          </w:tcPr>
          <w:p>
            <w:pPr>
              <w:snapToGrid w:val="0"/>
              <w:jc w:val="center"/>
              <w:rPr>
                <w:rFonts w:cs="宋体" w:asciiTheme="minorEastAsia" w:hAnsiTheme="minorEastAsia" w:eastAsiaTheme="minorEastAsia"/>
                <w:sz w:val="20"/>
                <w:szCs w:val="20"/>
              </w:rPr>
            </w:pPr>
          </w:p>
        </w:tc>
        <w:tc>
          <w:tcPr>
            <w:tcW w:w="2352"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通信及预警设施</w:t>
            </w:r>
          </w:p>
        </w:tc>
        <w:tc>
          <w:tcPr>
            <w:tcW w:w="172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设施损坏</w:t>
            </w:r>
          </w:p>
        </w:tc>
        <w:tc>
          <w:tcPr>
            <w:tcW w:w="1927"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影响工程调度运行、防汛抢险</w:t>
            </w:r>
          </w:p>
        </w:tc>
        <w:tc>
          <w:tcPr>
            <w:tcW w:w="869"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LS法</w:t>
            </w:r>
          </w:p>
        </w:tc>
        <w:tc>
          <w:tcPr>
            <w:tcW w:w="81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3～18</w:t>
            </w:r>
          </w:p>
        </w:tc>
        <w:tc>
          <w:tcPr>
            <w:tcW w:w="84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w:t>
            </w:r>
          </w:p>
        </w:tc>
        <w:tc>
          <w:tcPr>
            <w:tcW w:w="84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3～100</w:t>
            </w:r>
          </w:p>
        </w:tc>
        <w:tc>
          <w:tcPr>
            <w:tcW w:w="111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9～1800</w:t>
            </w:r>
          </w:p>
        </w:tc>
        <w:tc>
          <w:tcPr>
            <w:tcW w:w="108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低～重大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19"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49</w:t>
            </w:r>
          </w:p>
        </w:tc>
        <w:tc>
          <w:tcPr>
            <w:tcW w:w="942" w:type="dxa"/>
            <w:vMerge w:val="continue"/>
            <w:vAlign w:val="center"/>
          </w:tcPr>
          <w:p>
            <w:pPr>
              <w:snapToGrid w:val="0"/>
              <w:jc w:val="left"/>
              <w:rPr>
                <w:rFonts w:cs="宋体" w:asciiTheme="minorEastAsia" w:hAnsiTheme="minorEastAsia" w:eastAsiaTheme="minorEastAsia"/>
                <w:sz w:val="20"/>
                <w:szCs w:val="20"/>
              </w:rPr>
            </w:pPr>
          </w:p>
        </w:tc>
        <w:tc>
          <w:tcPr>
            <w:tcW w:w="1048" w:type="dxa"/>
            <w:vMerge w:val="continue"/>
            <w:vAlign w:val="center"/>
          </w:tcPr>
          <w:p>
            <w:pPr>
              <w:snapToGrid w:val="0"/>
              <w:jc w:val="left"/>
              <w:rPr>
                <w:rFonts w:cs="宋体" w:asciiTheme="minorEastAsia" w:hAnsiTheme="minorEastAsia" w:eastAsiaTheme="minorEastAsia"/>
                <w:sz w:val="20"/>
                <w:szCs w:val="20"/>
              </w:rPr>
            </w:pPr>
          </w:p>
        </w:tc>
        <w:tc>
          <w:tcPr>
            <w:tcW w:w="2352"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闸门远程控制系统</w:t>
            </w:r>
          </w:p>
        </w:tc>
        <w:tc>
          <w:tcPr>
            <w:tcW w:w="172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功能失效</w:t>
            </w:r>
          </w:p>
        </w:tc>
        <w:tc>
          <w:tcPr>
            <w:tcW w:w="1927"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影响闸门启闭、工程调度运行</w:t>
            </w:r>
          </w:p>
        </w:tc>
        <w:tc>
          <w:tcPr>
            <w:tcW w:w="869"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LS法</w:t>
            </w:r>
          </w:p>
        </w:tc>
        <w:tc>
          <w:tcPr>
            <w:tcW w:w="81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3～18</w:t>
            </w:r>
          </w:p>
        </w:tc>
        <w:tc>
          <w:tcPr>
            <w:tcW w:w="84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w:t>
            </w:r>
          </w:p>
        </w:tc>
        <w:tc>
          <w:tcPr>
            <w:tcW w:w="84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3～100</w:t>
            </w:r>
          </w:p>
        </w:tc>
        <w:tc>
          <w:tcPr>
            <w:tcW w:w="111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9～1800</w:t>
            </w:r>
          </w:p>
        </w:tc>
        <w:tc>
          <w:tcPr>
            <w:tcW w:w="108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低～重大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19"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50</w:t>
            </w:r>
          </w:p>
        </w:tc>
        <w:tc>
          <w:tcPr>
            <w:tcW w:w="942" w:type="dxa"/>
            <w:vMerge w:val="continue"/>
            <w:vAlign w:val="center"/>
          </w:tcPr>
          <w:p>
            <w:pPr>
              <w:snapToGrid w:val="0"/>
              <w:jc w:val="left"/>
              <w:rPr>
                <w:rFonts w:cs="宋体" w:asciiTheme="minorEastAsia" w:hAnsiTheme="minorEastAsia" w:eastAsiaTheme="minorEastAsia"/>
                <w:sz w:val="20"/>
                <w:szCs w:val="20"/>
              </w:rPr>
            </w:pPr>
          </w:p>
        </w:tc>
        <w:tc>
          <w:tcPr>
            <w:tcW w:w="1048" w:type="dxa"/>
            <w:vMerge w:val="continue"/>
            <w:vAlign w:val="center"/>
          </w:tcPr>
          <w:p>
            <w:pPr>
              <w:snapToGrid w:val="0"/>
              <w:jc w:val="left"/>
              <w:rPr>
                <w:rFonts w:cs="宋体" w:asciiTheme="minorEastAsia" w:hAnsiTheme="minorEastAsia" w:eastAsiaTheme="minorEastAsia"/>
                <w:sz w:val="20"/>
                <w:szCs w:val="20"/>
              </w:rPr>
            </w:pPr>
          </w:p>
        </w:tc>
        <w:tc>
          <w:tcPr>
            <w:tcW w:w="2352"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网络设施</w:t>
            </w:r>
          </w:p>
        </w:tc>
        <w:tc>
          <w:tcPr>
            <w:tcW w:w="172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设施损坏</w:t>
            </w:r>
          </w:p>
        </w:tc>
        <w:tc>
          <w:tcPr>
            <w:tcW w:w="1927"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影响闸门启闭、工程调度运行、安全监测数据传输</w:t>
            </w:r>
          </w:p>
        </w:tc>
        <w:tc>
          <w:tcPr>
            <w:tcW w:w="869"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LS法</w:t>
            </w:r>
          </w:p>
        </w:tc>
        <w:tc>
          <w:tcPr>
            <w:tcW w:w="81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3～18</w:t>
            </w:r>
          </w:p>
        </w:tc>
        <w:tc>
          <w:tcPr>
            <w:tcW w:w="84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w:t>
            </w:r>
          </w:p>
        </w:tc>
        <w:tc>
          <w:tcPr>
            <w:tcW w:w="84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3～100</w:t>
            </w:r>
          </w:p>
        </w:tc>
        <w:tc>
          <w:tcPr>
            <w:tcW w:w="111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9～1800</w:t>
            </w:r>
          </w:p>
        </w:tc>
        <w:tc>
          <w:tcPr>
            <w:tcW w:w="108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低～重大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19"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51</w:t>
            </w:r>
          </w:p>
        </w:tc>
        <w:tc>
          <w:tcPr>
            <w:tcW w:w="942" w:type="dxa"/>
            <w:vMerge w:val="restart"/>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设备设施类</w:t>
            </w:r>
          </w:p>
        </w:tc>
        <w:tc>
          <w:tcPr>
            <w:tcW w:w="1048" w:type="dxa"/>
            <w:vMerge w:val="restart"/>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管理设施</w:t>
            </w:r>
          </w:p>
        </w:tc>
        <w:tc>
          <w:tcPr>
            <w:tcW w:w="2352"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防汛抢险照明设施</w:t>
            </w:r>
          </w:p>
        </w:tc>
        <w:tc>
          <w:tcPr>
            <w:tcW w:w="172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设施损坏</w:t>
            </w:r>
          </w:p>
        </w:tc>
        <w:tc>
          <w:tcPr>
            <w:tcW w:w="1927"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影响夜间防汛抢险</w:t>
            </w:r>
          </w:p>
        </w:tc>
        <w:tc>
          <w:tcPr>
            <w:tcW w:w="869"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LS法</w:t>
            </w:r>
          </w:p>
        </w:tc>
        <w:tc>
          <w:tcPr>
            <w:tcW w:w="81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3～6</w:t>
            </w:r>
          </w:p>
        </w:tc>
        <w:tc>
          <w:tcPr>
            <w:tcW w:w="84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w:t>
            </w:r>
          </w:p>
        </w:tc>
        <w:tc>
          <w:tcPr>
            <w:tcW w:w="84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3～100</w:t>
            </w:r>
          </w:p>
        </w:tc>
        <w:tc>
          <w:tcPr>
            <w:tcW w:w="111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9～600</w:t>
            </w:r>
          </w:p>
        </w:tc>
        <w:tc>
          <w:tcPr>
            <w:tcW w:w="108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低～重大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19"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52</w:t>
            </w:r>
          </w:p>
        </w:tc>
        <w:tc>
          <w:tcPr>
            <w:tcW w:w="942" w:type="dxa"/>
            <w:vMerge w:val="continue"/>
            <w:vAlign w:val="center"/>
          </w:tcPr>
          <w:p>
            <w:pPr>
              <w:snapToGrid w:val="0"/>
              <w:jc w:val="left"/>
              <w:rPr>
                <w:rFonts w:cs="宋体" w:asciiTheme="minorEastAsia" w:hAnsiTheme="minorEastAsia" w:eastAsiaTheme="minorEastAsia"/>
                <w:sz w:val="20"/>
                <w:szCs w:val="20"/>
              </w:rPr>
            </w:pPr>
          </w:p>
        </w:tc>
        <w:tc>
          <w:tcPr>
            <w:tcW w:w="1048" w:type="dxa"/>
            <w:vMerge w:val="continue"/>
            <w:vAlign w:val="center"/>
          </w:tcPr>
          <w:p>
            <w:pPr>
              <w:snapToGrid w:val="0"/>
              <w:jc w:val="left"/>
              <w:rPr>
                <w:rFonts w:cs="宋体" w:asciiTheme="minorEastAsia" w:hAnsiTheme="minorEastAsia" w:eastAsiaTheme="minorEastAsia"/>
                <w:sz w:val="20"/>
                <w:szCs w:val="20"/>
              </w:rPr>
            </w:pPr>
          </w:p>
        </w:tc>
        <w:tc>
          <w:tcPr>
            <w:tcW w:w="2352"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防汛上坝道路</w:t>
            </w:r>
          </w:p>
        </w:tc>
        <w:tc>
          <w:tcPr>
            <w:tcW w:w="172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设施损坏</w:t>
            </w:r>
          </w:p>
        </w:tc>
        <w:tc>
          <w:tcPr>
            <w:tcW w:w="1927"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影响防汛人员、物资等运送</w:t>
            </w:r>
          </w:p>
        </w:tc>
        <w:tc>
          <w:tcPr>
            <w:tcW w:w="869"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LS法</w:t>
            </w:r>
          </w:p>
        </w:tc>
        <w:tc>
          <w:tcPr>
            <w:tcW w:w="81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3～6</w:t>
            </w:r>
          </w:p>
        </w:tc>
        <w:tc>
          <w:tcPr>
            <w:tcW w:w="84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w:t>
            </w:r>
          </w:p>
        </w:tc>
        <w:tc>
          <w:tcPr>
            <w:tcW w:w="84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3～100</w:t>
            </w:r>
          </w:p>
        </w:tc>
        <w:tc>
          <w:tcPr>
            <w:tcW w:w="111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9～600</w:t>
            </w:r>
          </w:p>
        </w:tc>
        <w:tc>
          <w:tcPr>
            <w:tcW w:w="108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低～重大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19"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53</w:t>
            </w:r>
          </w:p>
        </w:tc>
        <w:tc>
          <w:tcPr>
            <w:tcW w:w="942" w:type="dxa"/>
            <w:vMerge w:val="continue"/>
            <w:vAlign w:val="center"/>
          </w:tcPr>
          <w:p>
            <w:pPr>
              <w:snapToGrid w:val="0"/>
              <w:jc w:val="left"/>
              <w:rPr>
                <w:rFonts w:cs="宋体" w:asciiTheme="minorEastAsia" w:hAnsiTheme="minorEastAsia" w:eastAsiaTheme="minorEastAsia"/>
                <w:sz w:val="20"/>
                <w:szCs w:val="20"/>
              </w:rPr>
            </w:pPr>
          </w:p>
        </w:tc>
        <w:tc>
          <w:tcPr>
            <w:tcW w:w="1048" w:type="dxa"/>
            <w:vMerge w:val="continue"/>
            <w:vAlign w:val="center"/>
          </w:tcPr>
          <w:p>
            <w:pPr>
              <w:snapToGrid w:val="0"/>
              <w:jc w:val="left"/>
              <w:rPr>
                <w:rFonts w:cs="宋体" w:asciiTheme="minorEastAsia" w:hAnsiTheme="minorEastAsia" w:eastAsiaTheme="minorEastAsia"/>
                <w:sz w:val="20"/>
                <w:szCs w:val="20"/>
              </w:rPr>
            </w:pPr>
          </w:p>
        </w:tc>
        <w:tc>
          <w:tcPr>
            <w:tcW w:w="2352"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与外界联系交通道路</w:t>
            </w:r>
          </w:p>
        </w:tc>
        <w:tc>
          <w:tcPr>
            <w:tcW w:w="172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设施损坏</w:t>
            </w:r>
          </w:p>
        </w:tc>
        <w:tc>
          <w:tcPr>
            <w:tcW w:w="1927"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影响工程防汛抢险</w:t>
            </w:r>
          </w:p>
        </w:tc>
        <w:tc>
          <w:tcPr>
            <w:tcW w:w="869"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LS法</w:t>
            </w:r>
          </w:p>
        </w:tc>
        <w:tc>
          <w:tcPr>
            <w:tcW w:w="81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3～6</w:t>
            </w:r>
          </w:p>
        </w:tc>
        <w:tc>
          <w:tcPr>
            <w:tcW w:w="84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w:t>
            </w:r>
          </w:p>
        </w:tc>
        <w:tc>
          <w:tcPr>
            <w:tcW w:w="84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3～100</w:t>
            </w:r>
          </w:p>
        </w:tc>
        <w:tc>
          <w:tcPr>
            <w:tcW w:w="111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9～600</w:t>
            </w:r>
          </w:p>
        </w:tc>
        <w:tc>
          <w:tcPr>
            <w:tcW w:w="108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低～重大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19"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54</w:t>
            </w:r>
          </w:p>
        </w:tc>
        <w:tc>
          <w:tcPr>
            <w:tcW w:w="942" w:type="dxa"/>
            <w:vMerge w:val="continue"/>
            <w:vAlign w:val="center"/>
          </w:tcPr>
          <w:p>
            <w:pPr>
              <w:snapToGrid w:val="0"/>
              <w:jc w:val="left"/>
              <w:rPr>
                <w:rFonts w:cs="宋体" w:asciiTheme="minorEastAsia" w:hAnsiTheme="minorEastAsia" w:eastAsiaTheme="minorEastAsia"/>
                <w:sz w:val="20"/>
                <w:szCs w:val="20"/>
              </w:rPr>
            </w:pPr>
          </w:p>
        </w:tc>
        <w:tc>
          <w:tcPr>
            <w:tcW w:w="1048" w:type="dxa"/>
            <w:vMerge w:val="continue"/>
            <w:vAlign w:val="center"/>
          </w:tcPr>
          <w:p>
            <w:pPr>
              <w:snapToGrid w:val="0"/>
              <w:jc w:val="left"/>
              <w:rPr>
                <w:rFonts w:cs="宋体" w:asciiTheme="minorEastAsia" w:hAnsiTheme="minorEastAsia" w:eastAsiaTheme="minorEastAsia"/>
                <w:sz w:val="20"/>
                <w:szCs w:val="20"/>
              </w:rPr>
            </w:pPr>
          </w:p>
        </w:tc>
        <w:tc>
          <w:tcPr>
            <w:tcW w:w="2352"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消防设施</w:t>
            </w:r>
          </w:p>
        </w:tc>
        <w:tc>
          <w:tcPr>
            <w:tcW w:w="172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设施损坏</w:t>
            </w:r>
          </w:p>
        </w:tc>
        <w:tc>
          <w:tcPr>
            <w:tcW w:w="1927"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不能及时扑灭火灾，影响工程运行安全</w:t>
            </w:r>
          </w:p>
        </w:tc>
        <w:tc>
          <w:tcPr>
            <w:tcW w:w="869"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LS法</w:t>
            </w:r>
          </w:p>
        </w:tc>
        <w:tc>
          <w:tcPr>
            <w:tcW w:w="81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3～18</w:t>
            </w:r>
          </w:p>
        </w:tc>
        <w:tc>
          <w:tcPr>
            <w:tcW w:w="84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w:t>
            </w:r>
          </w:p>
        </w:tc>
        <w:tc>
          <w:tcPr>
            <w:tcW w:w="84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3～100</w:t>
            </w:r>
          </w:p>
        </w:tc>
        <w:tc>
          <w:tcPr>
            <w:tcW w:w="111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9～1800</w:t>
            </w:r>
          </w:p>
        </w:tc>
        <w:tc>
          <w:tcPr>
            <w:tcW w:w="108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低～重大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19"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55</w:t>
            </w:r>
          </w:p>
        </w:tc>
        <w:tc>
          <w:tcPr>
            <w:tcW w:w="942" w:type="dxa"/>
            <w:vMerge w:val="continue"/>
            <w:vAlign w:val="center"/>
          </w:tcPr>
          <w:p>
            <w:pPr>
              <w:snapToGrid w:val="0"/>
              <w:jc w:val="left"/>
              <w:rPr>
                <w:rFonts w:cs="宋体" w:asciiTheme="minorEastAsia" w:hAnsiTheme="minorEastAsia" w:eastAsiaTheme="minorEastAsia"/>
                <w:sz w:val="20"/>
                <w:szCs w:val="20"/>
              </w:rPr>
            </w:pPr>
          </w:p>
        </w:tc>
        <w:tc>
          <w:tcPr>
            <w:tcW w:w="1048" w:type="dxa"/>
            <w:vMerge w:val="continue"/>
            <w:vAlign w:val="center"/>
          </w:tcPr>
          <w:p>
            <w:pPr>
              <w:snapToGrid w:val="0"/>
              <w:jc w:val="left"/>
              <w:rPr>
                <w:rFonts w:cs="宋体" w:asciiTheme="minorEastAsia" w:hAnsiTheme="minorEastAsia" w:eastAsiaTheme="minorEastAsia"/>
                <w:sz w:val="20"/>
                <w:szCs w:val="20"/>
              </w:rPr>
            </w:pPr>
          </w:p>
        </w:tc>
        <w:tc>
          <w:tcPr>
            <w:tcW w:w="2352"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防雷保护系统</w:t>
            </w:r>
          </w:p>
        </w:tc>
        <w:tc>
          <w:tcPr>
            <w:tcW w:w="172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功能失效</w:t>
            </w:r>
          </w:p>
        </w:tc>
        <w:tc>
          <w:tcPr>
            <w:tcW w:w="1927"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电气系统损坏，影响工程运行安全</w:t>
            </w:r>
          </w:p>
        </w:tc>
        <w:tc>
          <w:tcPr>
            <w:tcW w:w="869"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LS法</w:t>
            </w:r>
          </w:p>
        </w:tc>
        <w:tc>
          <w:tcPr>
            <w:tcW w:w="81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3～18</w:t>
            </w:r>
          </w:p>
        </w:tc>
        <w:tc>
          <w:tcPr>
            <w:tcW w:w="84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w:t>
            </w:r>
          </w:p>
        </w:tc>
        <w:tc>
          <w:tcPr>
            <w:tcW w:w="84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3～100</w:t>
            </w:r>
          </w:p>
        </w:tc>
        <w:tc>
          <w:tcPr>
            <w:tcW w:w="111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9～1800</w:t>
            </w:r>
          </w:p>
        </w:tc>
        <w:tc>
          <w:tcPr>
            <w:tcW w:w="108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低～重大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19"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56</w:t>
            </w:r>
          </w:p>
        </w:tc>
        <w:tc>
          <w:tcPr>
            <w:tcW w:w="942" w:type="dxa"/>
            <w:vMerge w:val="restart"/>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作业活动类</w:t>
            </w:r>
          </w:p>
        </w:tc>
        <w:tc>
          <w:tcPr>
            <w:tcW w:w="1048" w:type="dxa"/>
            <w:vMerge w:val="restart"/>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作业活动</w:t>
            </w:r>
          </w:p>
        </w:tc>
        <w:tc>
          <w:tcPr>
            <w:tcW w:w="2352"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机械作业</w:t>
            </w:r>
          </w:p>
        </w:tc>
        <w:tc>
          <w:tcPr>
            <w:tcW w:w="1725" w:type="dxa"/>
            <w:vMerge w:val="restart"/>
            <w:vAlign w:val="center"/>
          </w:tcPr>
          <w:p>
            <w:pPr>
              <w:snapToGrid w:val="0"/>
              <w:jc w:val="center"/>
              <w:rPr>
                <w:rFonts w:cs="宋体" w:asciiTheme="minorEastAsia" w:hAnsiTheme="minorEastAsia" w:eastAsiaTheme="minorEastAsia"/>
                <w:sz w:val="20"/>
                <w:szCs w:val="20"/>
              </w:rPr>
            </w:pPr>
            <w:r>
              <w:rPr>
                <w:rFonts w:cs="宋体" w:asciiTheme="minorEastAsia" w:hAnsiTheme="minorEastAsia" w:eastAsiaTheme="minorEastAsia"/>
                <w:sz w:val="20"/>
                <w:szCs w:val="20"/>
              </w:rPr>
              <w:t>违章指挥</w:t>
            </w:r>
            <w:r>
              <w:rPr>
                <w:rFonts w:hint="eastAsia" w:cs="宋体" w:asciiTheme="minorEastAsia" w:hAnsiTheme="minorEastAsia" w:eastAsiaTheme="minorEastAsia"/>
                <w:sz w:val="20"/>
                <w:szCs w:val="20"/>
              </w:rPr>
              <w:t>、</w:t>
            </w:r>
            <w:r>
              <w:rPr>
                <w:rFonts w:cs="宋体" w:asciiTheme="minorEastAsia" w:hAnsiTheme="minorEastAsia" w:eastAsiaTheme="minorEastAsia"/>
                <w:sz w:val="20"/>
                <w:szCs w:val="20"/>
              </w:rPr>
              <w:t>违章操作</w:t>
            </w:r>
            <w:r>
              <w:rPr>
                <w:rFonts w:hint="eastAsia" w:cs="宋体" w:asciiTheme="minorEastAsia" w:hAnsiTheme="minorEastAsia" w:eastAsiaTheme="minorEastAsia"/>
                <w:sz w:val="20"/>
                <w:szCs w:val="20"/>
              </w:rPr>
              <w:t>、</w:t>
            </w:r>
            <w:r>
              <w:rPr>
                <w:rFonts w:cs="宋体" w:asciiTheme="minorEastAsia" w:hAnsiTheme="minorEastAsia" w:eastAsiaTheme="minorEastAsia"/>
                <w:sz w:val="20"/>
                <w:szCs w:val="20"/>
              </w:rPr>
              <w:t>违反劳动纪律</w:t>
            </w:r>
            <w:r>
              <w:rPr>
                <w:rFonts w:hint="eastAsia" w:cs="宋体" w:asciiTheme="minorEastAsia" w:hAnsiTheme="minorEastAsia" w:eastAsiaTheme="minorEastAsia"/>
                <w:sz w:val="20"/>
                <w:szCs w:val="20"/>
              </w:rPr>
              <w:t>、未正确使用防护用品、未持证上岗</w:t>
            </w:r>
          </w:p>
        </w:tc>
        <w:tc>
          <w:tcPr>
            <w:tcW w:w="1927"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机械伤害</w:t>
            </w:r>
          </w:p>
        </w:tc>
        <w:tc>
          <w:tcPr>
            <w:tcW w:w="869"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LEC法</w:t>
            </w:r>
          </w:p>
        </w:tc>
        <w:tc>
          <w:tcPr>
            <w:tcW w:w="81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0.5～3</w:t>
            </w:r>
          </w:p>
        </w:tc>
        <w:tc>
          <w:tcPr>
            <w:tcW w:w="84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2～6</w:t>
            </w:r>
          </w:p>
        </w:tc>
        <w:tc>
          <w:tcPr>
            <w:tcW w:w="84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3～7</w:t>
            </w:r>
          </w:p>
        </w:tc>
        <w:tc>
          <w:tcPr>
            <w:tcW w:w="111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3～126</w:t>
            </w:r>
          </w:p>
        </w:tc>
        <w:tc>
          <w:tcPr>
            <w:tcW w:w="108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低～一般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19"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57</w:t>
            </w:r>
          </w:p>
        </w:tc>
        <w:tc>
          <w:tcPr>
            <w:tcW w:w="942" w:type="dxa"/>
            <w:vMerge w:val="continue"/>
            <w:vAlign w:val="center"/>
          </w:tcPr>
          <w:p>
            <w:pPr>
              <w:snapToGrid w:val="0"/>
              <w:jc w:val="left"/>
              <w:rPr>
                <w:rFonts w:cs="宋体" w:asciiTheme="minorEastAsia" w:hAnsiTheme="minorEastAsia" w:eastAsiaTheme="minorEastAsia"/>
                <w:sz w:val="20"/>
                <w:szCs w:val="20"/>
              </w:rPr>
            </w:pPr>
          </w:p>
        </w:tc>
        <w:tc>
          <w:tcPr>
            <w:tcW w:w="1048" w:type="dxa"/>
            <w:vMerge w:val="continue"/>
            <w:vAlign w:val="center"/>
          </w:tcPr>
          <w:p>
            <w:pPr>
              <w:snapToGrid w:val="0"/>
              <w:jc w:val="left"/>
              <w:rPr>
                <w:rFonts w:cs="宋体" w:asciiTheme="minorEastAsia" w:hAnsiTheme="minorEastAsia" w:eastAsiaTheme="minorEastAsia"/>
                <w:sz w:val="20"/>
                <w:szCs w:val="20"/>
              </w:rPr>
            </w:pPr>
          </w:p>
        </w:tc>
        <w:tc>
          <w:tcPr>
            <w:tcW w:w="2352"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起重、搬运作业</w:t>
            </w:r>
          </w:p>
        </w:tc>
        <w:tc>
          <w:tcPr>
            <w:tcW w:w="1725" w:type="dxa"/>
            <w:vMerge w:val="continue"/>
            <w:vAlign w:val="center"/>
          </w:tcPr>
          <w:p>
            <w:pPr>
              <w:snapToGrid w:val="0"/>
              <w:jc w:val="center"/>
              <w:rPr>
                <w:rFonts w:cs="宋体" w:asciiTheme="minorEastAsia" w:hAnsiTheme="minorEastAsia" w:eastAsiaTheme="minorEastAsia"/>
                <w:sz w:val="20"/>
                <w:szCs w:val="20"/>
              </w:rPr>
            </w:pPr>
          </w:p>
        </w:tc>
        <w:tc>
          <w:tcPr>
            <w:tcW w:w="1927"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起重伤害、物体打击</w:t>
            </w:r>
          </w:p>
        </w:tc>
        <w:tc>
          <w:tcPr>
            <w:tcW w:w="869"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LEC法</w:t>
            </w:r>
          </w:p>
        </w:tc>
        <w:tc>
          <w:tcPr>
            <w:tcW w:w="81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0.5～3</w:t>
            </w:r>
          </w:p>
        </w:tc>
        <w:tc>
          <w:tcPr>
            <w:tcW w:w="84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2～6</w:t>
            </w:r>
          </w:p>
        </w:tc>
        <w:tc>
          <w:tcPr>
            <w:tcW w:w="84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3～7</w:t>
            </w:r>
          </w:p>
        </w:tc>
        <w:tc>
          <w:tcPr>
            <w:tcW w:w="111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3～126</w:t>
            </w:r>
          </w:p>
        </w:tc>
        <w:tc>
          <w:tcPr>
            <w:tcW w:w="108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低～一般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19"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58</w:t>
            </w:r>
          </w:p>
        </w:tc>
        <w:tc>
          <w:tcPr>
            <w:tcW w:w="942" w:type="dxa"/>
            <w:vMerge w:val="continue"/>
            <w:vAlign w:val="center"/>
          </w:tcPr>
          <w:p>
            <w:pPr>
              <w:snapToGrid w:val="0"/>
              <w:jc w:val="left"/>
              <w:rPr>
                <w:rFonts w:cs="宋体" w:asciiTheme="minorEastAsia" w:hAnsiTheme="minorEastAsia" w:eastAsiaTheme="minorEastAsia"/>
                <w:sz w:val="20"/>
                <w:szCs w:val="20"/>
              </w:rPr>
            </w:pPr>
          </w:p>
        </w:tc>
        <w:tc>
          <w:tcPr>
            <w:tcW w:w="1048" w:type="dxa"/>
            <w:vMerge w:val="continue"/>
            <w:vAlign w:val="center"/>
          </w:tcPr>
          <w:p>
            <w:pPr>
              <w:snapToGrid w:val="0"/>
              <w:jc w:val="left"/>
              <w:rPr>
                <w:rFonts w:cs="宋体" w:asciiTheme="minorEastAsia" w:hAnsiTheme="minorEastAsia" w:eastAsiaTheme="minorEastAsia"/>
                <w:sz w:val="20"/>
                <w:szCs w:val="20"/>
              </w:rPr>
            </w:pPr>
          </w:p>
        </w:tc>
        <w:tc>
          <w:tcPr>
            <w:tcW w:w="2352"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高空作业</w:t>
            </w:r>
          </w:p>
        </w:tc>
        <w:tc>
          <w:tcPr>
            <w:tcW w:w="1725" w:type="dxa"/>
            <w:vMerge w:val="continue"/>
            <w:vAlign w:val="center"/>
          </w:tcPr>
          <w:p>
            <w:pPr>
              <w:snapToGrid w:val="0"/>
              <w:jc w:val="center"/>
              <w:rPr>
                <w:rFonts w:cs="宋体" w:asciiTheme="minorEastAsia" w:hAnsiTheme="minorEastAsia" w:eastAsiaTheme="minorEastAsia"/>
                <w:sz w:val="20"/>
                <w:szCs w:val="20"/>
              </w:rPr>
            </w:pPr>
          </w:p>
        </w:tc>
        <w:tc>
          <w:tcPr>
            <w:tcW w:w="1927"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高处坠落、物体打击</w:t>
            </w:r>
          </w:p>
        </w:tc>
        <w:tc>
          <w:tcPr>
            <w:tcW w:w="869"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LEC法</w:t>
            </w:r>
          </w:p>
        </w:tc>
        <w:tc>
          <w:tcPr>
            <w:tcW w:w="81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0.5～</w:t>
            </w:r>
            <w:r>
              <w:rPr>
                <w:rFonts w:cs="宋体" w:asciiTheme="minorEastAsia" w:hAnsiTheme="minorEastAsia" w:eastAsiaTheme="minorEastAsia"/>
                <w:sz w:val="20"/>
                <w:szCs w:val="20"/>
              </w:rPr>
              <w:t>6</w:t>
            </w:r>
          </w:p>
        </w:tc>
        <w:tc>
          <w:tcPr>
            <w:tcW w:w="84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2～6</w:t>
            </w:r>
          </w:p>
        </w:tc>
        <w:tc>
          <w:tcPr>
            <w:tcW w:w="84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3～7</w:t>
            </w:r>
          </w:p>
        </w:tc>
        <w:tc>
          <w:tcPr>
            <w:tcW w:w="111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w:t>
            </w:r>
            <w:r>
              <w:rPr>
                <w:rFonts w:cs="宋体" w:asciiTheme="minorEastAsia" w:hAnsiTheme="minorEastAsia" w:eastAsiaTheme="minorEastAsia"/>
                <w:sz w:val="20"/>
                <w:szCs w:val="20"/>
              </w:rPr>
              <w:t>252</w:t>
            </w:r>
          </w:p>
        </w:tc>
        <w:tc>
          <w:tcPr>
            <w:tcW w:w="108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低～较大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19"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59</w:t>
            </w:r>
          </w:p>
        </w:tc>
        <w:tc>
          <w:tcPr>
            <w:tcW w:w="942" w:type="dxa"/>
            <w:vMerge w:val="continue"/>
            <w:vAlign w:val="center"/>
          </w:tcPr>
          <w:p>
            <w:pPr>
              <w:snapToGrid w:val="0"/>
              <w:jc w:val="left"/>
              <w:rPr>
                <w:rFonts w:cs="宋体" w:asciiTheme="minorEastAsia" w:hAnsiTheme="minorEastAsia" w:eastAsiaTheme="minorEastAsia"/>
                <w:sz w:val="20"/>
                <w:szCs w:val="20"/>
              </w:rPr>
            </w:pPr>
          </w:p>
        </w:tc>
        <w:tc>
          <w:tcPr>
            <w:tcW w:w="1048" w:type="dxa"/>
            <w:vMerge w:val="continue"/>
            <w:vAlign w:val="center"/>
          </w:tcPr>
          <w:p>
            <w:pPr>
              <w:snapToGrid w:val="0"/>
              <w:jc w:val="left"/>
              <w:rPr>
                <w:rFonts w:cs="宋体" w:asciiTheme="minorEastAsia" w:hAnsiTheme="minorEastAsia" w:eastAsiaTheme="minorEastAsia"/>
                <w:sz w:val="20"/>
                <w:szCs w:val="20"/>
              </w:rPr>
            </w:pPr>
          </w:p>
        </w:tc>
        <w:tc>
          <w:tcPr>
            <w:tcW w:w="2352"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电焊作业</w:t>
            </w:r>
          </w:p>
        </w:tc>
        <w:tc>
          <w:tcPr>
            <w:tcW w:w="1725" w:type="dxa"/>
            <w:vMerge w:val="continue"/>
            <w:vAlign w:val="center"/>
          </w:tcPr>
          <w:p>
            <w:pPr>
              <w:snapToGrid w:val="0"/>
              <w:jc w:val="center"/>
              <w:rPr>
                <w:rFonts w:cs="宋体" w:asciiTheme="minorEastAsia" w:hAnsiTheme="minorEastAsia" w:eastAsiaTheme="minorEastAsia"/>
                <w:sz w:val="20"/>
                <w:szCs w:val="20"/>
              </w:rPr>
            </w:pPr>
          </w:p>
        </w:tc>
        <w:tc>
          <w:tcPr>
            <w:tcW w:w="1927"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灼烫、触电、火灾</w:t>
            </w:r>
          </w:p>
        </w:tc>
        <w:tc>
          <w:tcPr>
            <w:tcW w:w="869"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LEC法</w:t>
            </w:r>
          </w:p>
        </w:tc>
        <w:tc>
          <w:tcPr>
            <w:tcW w:w="81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0.5～3</w:t>
            </w:r>
          </w:p>
        </w:tc>
        <w:tc>
          <w:tcPr>
            <w:tcW w:w="84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2～6</w:t>
            </w:r>
          </w:p>
        </w:tc>
        <w:tc>
          <w:tcPr>
            <w:tcW w:w="84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3～7</w:t>
            </w:r>
          </w:p>
        </w:tc>
        <w:tc>
          <w:tcPr>
            <w:tcW w:w="111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3～126</w:t>
            </w:r>
          </w:p>
        </w:tc>
        <w:tc>
          <w:tcPr>
            <w:tcW w:w="108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低～一般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19"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60</w:t>
            </w:r>
          </w:p>
        </w:tc>
        <w:tc>
          <w:tcPr>
            <w:tcW w:w="942" w:type="dxa"/>
            <w:vMerge w:val="continue"/>
            <w:vAlign w:val="center"/>
          </w:tcPr>
          <w:p>
            <w:pPr>
              <w:snapToGrid w:val="0"/>
              <w:jc w:val="left"/>
              <w:rPr>
                <w:rFonts w:cs="宋体" w:asciiTheme="minorEastAsia" w:hAnsiTheme="minorEastAsia" w:eastAsiaTheme="minorEastAsia"/>
                <w:sz w:val="20"/>
                <w:szCs w:val="20"/>
              </w:rPr>
            </w:pPr>
          </w:p>
        </w:tc>
        <w:tc>
          <w:tcPr>
            <w:tcW w:w="1048" w:type="dxa"/>
            <w:vMerge w:val="continue"/>
            <w:vAlign w:val="center"/>
          </w:tcPr>
          <w:p>
            <w:pPr>
              <w:snapToGrid w:val="0"/>
              <w:jc w:val="left"/>
              <w:rPr>
                <w:rFonts w:cs="宋体" w:asciiTheme="minorEastAsia" w:hAnsiTheme="minorEastAsia" w:eastAsiaTheme="minorEastAsia"/>
                <w:sz w:val="20"/>
                <w:szCs w:val="20"/>
              </w:rPr>
            </w:pPr>
          </w:p>
        </w:tc>
        <w:tc>
          <w:tcPr>
            <w:tcW w:w="2352"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带电作业</w:t>
            </w:r>
          </w:p>
        </w:tc>
        <w:tc>
          <w:tcPr>
            <w:tcW w:w="1725" w:type="dxa"/>
            <w:vMerge w:val="continue"/>
            <w:vAlign w:val="center"/>
          </w:tcPr>
          <w:p>
            <w:pPr>
              <w:snapToGrid w:val="0"/>
              <w:jc w:val="center"/>
              <w:rPr>
                <w:rFonts w:cs="宋体" w:asciiTheme="minorEastAsia" w:hAnsiTheme="minorEastAsia" w:eastAsiaTheme="minorEastAsia"/>
                <w:sz w:val="20"/>
                <w:szCs w:val="20"/>
              </w:rPr>
            </w:pPr>
          </w:p>
        </w:tc>
        <w:tc>
          <w:tcPr>
            <w:tcW w:w="1927"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触电</w:t>
            </w:r>
          </w:p>
        </w:tc>
        <w:tc>
          <w:tcPr>
            <w:tcW w:w="869"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LEC法</w:t>
            </w:r>
          </w:p>
        </w:tc>
        <w:tc>
          <w:tcPr>
            <w:tcW w:w="81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0.5～3</w:t>
            </w:r>
          </w:p>
        </w:tc>
        <w:tc>
          <w:tcPr>
            <w:tcW w:w="84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2～6</w:t>
            </w:r>
          </w:p>
        </w:tc>
        <w:tc>
          <w:tcPr>
            <w:tcW w:w="84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3～7</w:t>
            </w:r>
          </w:p>
        </w:tc>
        <w:tc>
          <w:tcPr>
            <w:tcW w:w="111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3～126</w:t>
            </w:r>
          </w:p>
        </w:tc>
        <w:tc>
          <w:tcPr>
            <w:tcW w:w="108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低～一般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19"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61</w:t>
            </w:r>
          </w:p>
        </w:tc>
        <w:tc>
          <w:tcPr>
            <w:tcW w:w="942" w:type="dxa"/>
            <w:vMerge w:val="continue"/>
            <w:vAlign w:val="center"/>
          </w:tcPr>
          <w:p>
            <w:pPr>
              <w:snapToGrid w:val="0"/>
              <w:jc w:val="left"/>
              <w:rPr>
                <w:rFonts w:cs="宋体" w:asciiTheme="minorEastAsia" w:hAnsiTheme="minorEastAsia" w:eastAsiaTheme="minorEastAsia"/>
                <w:sz w:val="20"/>
                <w:szCs w:val="20"/>
              </w:rPr>
            </w:pPr>
          </w:p>
        </w:tc>
        <w:tc>
          <w:tcPr>
            <w:tcW w:w="1048" w:type="dxa"/>
            <w:vMerge w:val="continue"/>
            <w:vAlign w:val="center"/>
          </w:tcPr>
          <w:p>
            <w:pPr>
              <w:snapToGrid w:val="0"/>
              <w:jc w:val="left"/>
              <w:rPr>
                <w:rFonts w:cs="宋体" w:asciiTheme="minorEastAsia" w:hAnsiTheme="minorEastAsia" w:eastAsiaTheme="minorEastAsia"/>
                <w:sz w:val="20"/>
                <w:szCs w:val="20"/>
              </w:rPr>
            </w:pPr>
          </w:p>
        </w:tc>
        <w:tc>
          <w:tcPr>
            <w:tcW w:w="2352"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有限空间作业</w:t>
            </w:r>
          </w:p>
        </w:tc>
        <w:tc>
          <w:tcPr>
            <w:tcW w:w="1725" w:type="dxa"/>
            <w:vMerge w:val="continue"/>
            <w:vAlign w:val="center"/>
          </w:tcPr>
          <w:p>
            <w:pPr>
              <w:snapToGrid w:val="0"/>
              <w:jc w:val="center"/>
              <w:rPr>
                <w:rFonts w:cs="宋体" w:asciiTheme="minorEastAsia" w:hAnsiTheme="minorEastAsia" w:eastAsiaTheme="minorEastAsia"/>
                <w:sz w:val="20"/>
                <w:szCs w:val="20"/>
              </w:rPr>
            </w:pPr>
          </w:p>
        </w:tc>
        <w:tc>
          <w:tcPr>
            <w:tcW w:w="1927"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淹溺、窒息、坍塌</w:t>
            </w:r>
          </w:p>
        </w:tc>
        <w:tc>
          <w:tcPr>
            <w:tcW w:w="869"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LEC法</w:t>
            </w:r>
          </w:p>
        </w:tc>
        <w:tc>
          <w:tcPr>
            <w:tcW w:w="81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0.5～3</w:t>
            </w:r>
          </w:p>
        </w:tc>
        <w:tc>
          <w:tcPr>
            <w:tcW w:w="84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2～6</w:t>
            </w:r>
          </w:p>
        </w:tc>
        <w:tc>
          <w:tcPr>
            <w:tcW w:w="84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3～7</w:t>
            </w:r>
          </w:p>
        </w:tc>
        <w:tc>
          <w:tcPr>
            <w:tcW w:w="111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3～126</w:t>
            </w:r>
          </w:p>
        </w:tc>
        <w:tc>
          <w:tcPr>
            <w:tcW w:w="108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低～一般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19"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62</w:t>
            </w:r>
          </w:p>
        </w:tc>
        <w:tc>
          <w:tcPr>
            <w:tcW w:w="942" w:type="dxa"/>
            <w:vMerge w:val="continue"/>
            <w:vAlign w:val="center"/>
          </w:tcPr>
          <w:p>
            <w:pPr>
              <w:snapToGrid w:val="0"/>
              <w:jc w:val="left"/>
              <w:rPr>
                <w:rFonts w:cs="宋体" w:asciiTheme="minorEastAsia" w:hAnsiTheme="minorEastAsia" w:eastAsiaTheme="minorEastAsia"/>
                <w:sz w:val="20"/>
                <w:szCs w:val="20"/>
              </w:rPr>
            </w:pPr>
          </w:p>
        </w:tc>
        <w:tc>
          <w:tcPr>
            <w:tcW w:w="1048" w:type="dxa"/>
            <w:vMerge w:val="continue"/>
            <w:vAlign w:val="center"/>
          </w:tcPr>
          <w:p>
            <w:pPr>
              <w:snapToGrid w:val="0"/>
              <w:jc w:val="left"/>
              <w:rPr>
                <w:rFonts w:cs="宋体" w:asciiTheme="minorEastAsia" w:hAnsiTheme="minorEastAsia" w:eastAsiaTheme="minorEastAsia"/>
                <w:sz w:val="20"/>
                <w:szCs w:val="20"/>
              </w:rPr>
            </w:pPr>
          </w:p>
        </w:tc>
        <w:tc>
          <w:tcPr>
            <w:tcW w:w="2352"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水上观测与检查作业</w:t>
            </w:r>
          </w:p>
        </w:tc>
        <w:tc>
          <w:tcPr>
            <w:tcW w:w="1725" w:type="dxa"/>
            <w:vMerge w:val="continue"/>
            <w:vAlign w:val="center"/>
          </w:tcPr>
          <w:p>
            <w:pPr>
              <w:snapToGrid w:val="0"/>
              <w:jc w:val="center"/>
              <w:rPr>
                <w:rFonts w:cs="宋体" w:asciiTheme="minorEastAsia" w:hAnsiTheme="minorEastAsia" w:eastAsiaTheme="minorEastAsia"/>
                <w:sz w:val="20"/>
                <w:szCs w:val="20"/>
              </w:rPr>
            </w:pPr>
          </w:p>
        </w:tc>
        <w:tc>
          <w:tcPr>
            <w:tcW w:w="1927"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淹溺</w:t>
            </w:r>
          </w:p>
        </w:tc>
        <w:tc>
          <w:tcPr>
            <w:tcW w:w="869"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LEC法</w:t>
            </w:r>
          </w:p>
        </w:tc>
        <w:tc>
          <w:tcPr>
            <w:tcW w:w="81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0.5～3</w:t>
            </w:r>
          </w:p>
        </w:tc>
        <w:tc>
          <w:tcPr>
            <w:tcW w:w="84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2～6</w:t>
            </w:r>
          </w:p>
        </w:tc>
        <w:tc>
          <w:tcPr>
            <w:tcW w:w="84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3～7</w:t>
            </w:r>
          </w:p>
        </w:tc>
        <w:tc>
          <w:tcPr>
            <w:tcW w:w="111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3～126</w:t>
            </w:r>
          </w:p>
        </w:tc>
        <w:tc>
          <w:tcPr>
            <w:tcW w:w="108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低～一般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19"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63</w:t>
            </w:r>
          </w:p>
        </w:tc>
        <w:tc>
          <w:tcPr>
            <w:tcW w:w="942" w:type="dxa"/>
            <w:vMerge w:val="continue"/>
            <w:vAlign w:val="center"/>
          </w:tcPr>
          <w:p>
            <w:pPr>
              <w:snapToGrid w:val="0"/>
              <w:jc w:val="left"/>
              <w:rPr>
                <w:rFonts w:cs="宋体" w:asciiTheme="minorEastAsia" w:hAnsiTheme="minorEastAsia" w:eastAsiaTheme="minorEastAsia"/>
                <w:sz w:val="20"/>
                <w:szCs w:val="20"/>
              </w:rPr>
            </w:pPr>
          </w:p>
        </w:tc>
        <w:tc>
          <w:tcPr>
            <w:tcW w:w="1048" w:type="dxa"/>
            <w:vMerge w:val="continue"/>
            <w:vAlign w:val="center"/>
          </w:tcPr>
          <w:p>
            <w:pPr>
              <w:snapToGrid w:val="0"/>
              <w:jc w:val="left"/>
              <w:rPr>
                <w:rFonts w:cs="宋体" w:asciiTheme="minorEastAsia" w:hAnsiTheme="minorEastAsia" w:eastAsiaTheme="minorEastAsia"/>
                <w:sz w:val="20"/>
                <w:szCs w:val="20"/>
              </w:rPr>
            </w:pPr>
          </w:p>
        </w:tc>
        <w:tc>
          <w:tcPr>
            <w:tcW w:w="2352"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水下观测与检查作业</w:t>
            </w:r>
          </w:p>
        </w:tc>
        <w:tc>
          <w:tcPr>
            <w:tcW w:w="1725" w:type="dxa"/>
            <w:vMerge w:val="continue"/>
            <w:vAlign w:val="center"/>
          </w:tcPr>
          <w:p>
            <w:pPr>
              <w:snapToGrid w:val="0"/>
              <w:jc w:val="center"/>
              <w:rPr>
                <w:rFonts w:cs="宋体" w:asciiTheme="minorEastAsia" w:hAnsiTheme="minorEastAsia" w:eastAsiaTheme="minorEastAsia"/>
                <w:sz w:val="20"/>
                <w:szCs w:val="20"/>
              </w:rPr>
            </w:pPr>
          </w:p>
        </w:tc>
        <w:tc>
          <w:tcPr>
            <w:tcW w:w="1927"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淹溺</w:t>
            </w:r>
          </w:p>
        </w:tc>
        <w:tc>
          <w:tcPr>
            <w:tcW w:w="869"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LEC法</w:t>
            </w:r>
          </w:p>
        </w:tc>
        <w:tc>
          <w:tcPr>
            <w:tcW w:w="81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0.5～</w:t>
            </w:r>
            <w:r>
              <w:rPr>
                <w:rFonts w:cs="宋体" w:asciiTheme="minorEastAsia" w:hAnsiTheme="minorEastAsia" w:eastAsiaTheme="minorEastAsia"/>
                <w:sz w:val="20"/>
                <w:szCs w:val="20"/>
              </w:rPr>
              <w:t>6</w:t>
            </w:r>
          </w:p>
        </w:tc>
        <w:tc>
          <w:tcPr>
            <w:tcW w:w="84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2～6</w:t>
            </w:r>
          </w:p>
        </w:tc>
        <w:tc>
          <w:tcPr>
            <w:tcW w:w="84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3～7</w:t>
            </w:r>
          </w:p>
        </w:tc>
        <w:tc>
          <w:tcPr>
            <w:tcW w:w="111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w:t>
            </w:r>
            <w:r>
              <w:rPr>
                <w:rFonts w:cs="宋体" w:asciiTheme="minorEastAsia" w:hAnsiTheme="minorEastAsia" w:eastAsiaTheme="minorEastAsia"/>
                <w:sz w:val="20"/>
                <w:szCs w:val="20"/>
              </w:rPr>
              <w:t>252</w:t>
            </w:r>
          </w:p>
        </w:tc>
        <w:tc>
          <w:tcPr>
            <w:tcW w:w="108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低～较大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19"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64</w:t>
            </w:r>
          </w:p>
        </w:tc>
        <w:tc>
          <w:tcPr>
            <w:tcW w:w="942" w:type="dxa"/>
            <w:vMerge w:val="continue"/>
            <w:vAlign w:val="center"/>
          </w:tcPr>
          <w:p>
            <w:pPr>
              <w:snapToGrid w:val="0"/>
              <w:jc w:val="left"/>
              <w:rPr>
                <w:rFonts w:cs="宋体" w:asciiTheme="minorEastAsia" w:hAnsiTheme="minorEastAsia" w:eastAsiaTheme="minorEastAsia"/>
                <w:sz w:val="20"/>
                <w:szCs w:val="20"/>
              </w:rPr>
            </w:pPr>
          </w:p>
        </w:tc>
        <w:tc>
          <w:tcPr>
            <w:tcW w:w="1048" w:type="dxa"/>
            <w:vMerge w:val="continue"/>
            <w:vAlign w:val="center"/>
          </w:tcPr>
          <w:p>
            <w:pPr>
              <w:snapToGrid w:val="0"/>
              <w:jc w:val="left"/>
              <w:rPr>
                <w:rFonts w:cs="宋体" w:asciiTheme="minorEastAsia" w:hAnsiTheme="minorEastAsia" w:eastAsiaTheme="minorEastAsia"/>
                <w:sz w:val="20"/>
                <w:szCs w:val="20"/>
              </w:rPr>
            </w:pPr>
          </w:p>
        </w:tc>
        <w:tc>
          <w:tcPr>
            <w:tcW w:w="2352"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车辆行驶</w:t>
            </w:r>
          </w:p>
        </w:tc>
        <w:tc>
          <w:tcPr>
            <w:tcW w:w="1725" w:type="dxa"/>
            <w:vMerge w:val="continue"/>
            <w:vAlign w:val="center"/>
          </w:tcPr>
          <w:p>
            <w:pPr>
              <w:snapToGrid w:val="0"/>
              <w:jc w:val="center"/>
              <w:rPr>
                <w:rFonts w:cs="宋体" w:asciiTheme="minorEastAsia" w:hAnsiTheme="minorEastAsia" w:eastAsiaTheme="minorEastAsia"/>
                <w:sz w:val="20"/>
                <w:szCs w:val="20"/>
              </w:rPr>
            </w:pPr>
          </w:p>
        </w:tc>
        <w:tc>
          <w:tcPr>
            <w:tcW w:w="1927"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车辆伤害</w:t>
            </w:r>
          </w:p>
        </w:tc>
        <w:tc>
          <w:tcPr>
            <w:tcW w:w="869"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LEC法</w:t>
            </w:r>
          </w:p>
        </w:tc>
        <w:tc>
          <w:tcPr>
            <w:tcW w:w="81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0.5～3</w:t>
            </w:r>
          </w:p>
        </w:tc>
        <w:tc>
          <w:tcPr>
            <w:tcW w:w="84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2～6</w:t>
            </w:r>
          </w:p>
        </w:tc>
        <w:tc>
          <w:tcPr>
            <w:tcW w:w="84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3～15</w:t>
            </w:r>
          </w:p>
        </w:tc>
        <w:tc>
          <w:tcPr>
            <w:tcW w:w="111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3～270</w:t>
            </w:r>
          </w:p>
        </w:tc>
        <w:tc>
          <w:tcPr>
            <w:tcW w:w="108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低～较大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19"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65</w:t>
            </w:r>
          </w:p>
        </w:tc>
        <w:tc>
          <w:tcPr>
            <w:tcW w:w="942" w:type="dxa"/>
            <w:vMerge w:val="continue"/>
            <w:vAlign w:val="center"/>
          </w:tcPr>
          <w:p>
            <w:pPr>
              <w:snapToGrid w:val="0"/>
              <w:jc w:val="left"/>
              <w:rPr>
                <w:rFonts w:cs="宋体" w:asciiTheme="minorEastAsia" w:hAnsiTheme="minorEastAsia" w:eastAsiaTheme="minorEastAsia"/>
                <w:sz w:val="20"/>
                <w:szCs w:val="20"/>
              </w:rPr>
            </w:pPr>
          </w:p>
        </w:tc>
        <w:tc>
          <w:tcPr>
            <w:tcW w:w="1048" w:type="dxa"/>
            <w:vMerge w:val="continue"/>
            <w:vAlign w:val="center"/>
          </w:tcPr>
          <w:p>
            <w:pPr>
              <w:snapToGrid w:val="0"/>
              <w:jc w:val="left"/>
              <w:rPr>
                <w:rFonts w:cs="宋体" w:asciiTheme="minorEastAsia" w:hAnsiTheme="minorEastAsia" w:eastAsiaTheme="minorEastAsia"/>
                <w:sz w:val="20"/>
                <w:szCs w:val="20"/>
              </w:rPr>
            </w:pPr>
          </w:p>
        </w:tc>
        <w:tc>
          <w:tcPr>
            <w:tcW w:w="2352"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船舶行驶</w:t>
            </w:r>
          </w:p>
        </w:tc>
        <w:tc>
          <w:tcPr>
            <w:tcW w:w="1725" w:type="dxa"/>
            <w:vMerge w:val="continue"/>
            <w:vAlign w:val="center"/>
          </w:tcPr>
          <w:p>
            <w:pPr>
              <w:snapToGrid w:val="0"/>
              <w:jc w:val="center"/>
              <w:rPr>
                <w:rFonts w:cs="宋体" w:asciiTheme="minorEastAsia" w:hAnsiTheme="minorEastAsia" w:eastAsiaTheme="minorEastAsia"/>
                <w:sz w:val="20"/>
                <w:szCs w:val="20"/>
              </w:rPr>
            </w:pPr>
          </w:p>
        </w:tc>
        <w:tc>
          <w:tcPr>
            <w:tcW w:w="1927"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淹溺</w:t>
            </w:r>
          </w:p>
        </w:tc>
        <w:tc>
          <w:tcPr>
            <w:tcW w:w="869"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LEC法</w:t>
            </w:r>
          </w:p>
        </w:tc>
        <w:tc>
          <w:tcPr>
            <w:tcW w:w="81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0.5～3</w:t>
            </w:r>
          </w:p>
        </w:tc>
        <w:tc>
          <w:tcPr>
            <w:tcW w:w="84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2～6</w:t>
            </w:r>
          </w:p>
        </w:tc>
        <w:tc>
          <w:tcPr>
            <w:tcW w:w="84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3～15</w:t>
            </w:r>
          </w:p>
        </w:tc>
        <w:tc>
          <w:tcPr>
            <w:tcW w:w="111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3～270</w:t>
            </w:r>
          </w:p>
        </w:tc>
        <w:tc>
          <w:tcPr>
            <w:tcW w:w="108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低～较大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19"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66</w:t>
            </w:r>
          </w:p>
        </w:tc>
        <w:tc>
          <w:tcPr>
            <w:tcW w:w="942" w:type="dxa"/>
            <w:vMerge w:val="restart"/>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管理类</w:t>
            </w:r>
          </w:p>
        </w:tc>
        <w:tc>
          <w:tcPr>
            <w:tcW w:w="1048" w:type="dxa"/>
            <w:vMerge w:val="restart"/>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管理体系</w:t>
            </w:r>
          </w:p>
        </w:tc>
        <w:tc>
          <w:tcPr>
            <w:tcW w:w="2352"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机构组成与人员配备</w:t>
            </w:r>
          </w:p>
        </w:tc>
        <w:tc>
          <w:tcPr>
            <w:tcW w:w="172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机构不健全</w:t>
            </w:r>
          </w:p>
        </w:tc>
        <w:tc>
          <w:tcPr>
            <w:tcW w:w="1927"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影响工程运行管理</w:t>
            </w:r>
          </w:p>
        </w:tc>
        <w:tc>
          <w:tcPr>
            <w:tcW w:w="869"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LS法</w:t>
            </w:r>
          </w:p>
        </w:tc>
        <w:tc>
          <w:tcPr>
            <w:tcW w:w="81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3～18</w:t>
            </w:r>
          </w:p>
        </w:tc>
        <w:tc>
          <w:tcPr>
            <w:tcW w:w="84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w:t>
            </w:r>
          </w:p>
        </w:tc>
        <w:tc>
          <w:tcPr>
            <w:tcW w:w="84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3～100</w:t>
            </w:r>
          </w:p>
        </w:tc>
        <w:tc>
          <w:tcPr>
            <w:tcW w:w="111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9～1800</w:t>
            </w:r>
          </w:p>
        </w:tc>
        <w:tc>
          <w:tcPr>
            <w:tcW w:w="108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低～重大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19"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67</w:t>
            </w:r>
          </w:p>
        </w:tc>
        <w:tc>
          <w:tcPr>
            <w:tcW w:w="942" w:type="dxa"/>
            <w:vMerge w:val="continue"/>
            <w:vAlign w:val="center"/>
          </w:tcPr>
          <w:p>
            <w:pPr>
              <w:snapToGrid w:val="0"/>
              <w:jc w:val="center"/>
              <w:rPr>
                <w:rFonts w:cs="宋体" w:asciiTheme="minorEastAsia" w:hAnsiTheme="minorEastAsia" w:eastAsiaTheme="minorEastAsia"/>
                <w:sz w:val="20"/>
                <w:szCs w:val="20"/>
              </w:rPr>
            </w:pPr>
          </w:p>
        </w:tc>
        <w:tc>
          <w:tcPr>
            <w:tcW w:w="1048" w:type="dxa"/>
            <w:vMerge w:val="continue"/>
            <w:vAlign w:val="center"/>
          </w:tcPr>
          <w:p>
            <w:pPr>
              <w:snapToGrid w:val="0"/>
              <w:jc w:val="center"/>
              <w:rPr>
                <w:rFonts w:cs="宋体" w:asciiTheme="minorEastAsia" w:hAnsiTheme="minorEastAsia" w:eastAsiaTheme="minorEastAsia"/>
                <w:sz w:val="20"/>
                <w:szCs w:val="20"/>
              </w:rPr>
            </w:pPr>
          </w:p>
        </w:tc>
        <w:tc>
          <w:tcPr>
            <w:tcW w:w="2352"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安全管理规章制度与操作规程制定</w:t>
            </w:r>
          </w:p>
        </w:tc>
        <w:tc>
          <w:tcPr>
            <w:tcW w:w="172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制度不健全</w:t>
            </w:r>
          </w:p>
        </w:tc>
        <w:tc>
          <w:tcPr>
            <w:tcW w:w="1927"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影响工程运行管理</w:t>
            </w:r>
          </w:p>
        </w:tc>
        <w:tc>
          <w:tcPr>
            <w:tcW w:w="869"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LS法</w:t>
            </w:r>
          </w:p>
        </w:tc>
        <w:tc>
          <w:tcPr>
            <w:tcW w:w="81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3～18</w:t>
            </w:r>
          </w:p>
        </w:tc>
        <w:tc>
          <w:tcPr>
            <w:tcW w:w="84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w:t>
            </w:r>
          </w:p>
        </w:tc>
        <w:tc>
          <w:tcPr>
            <w:tcW w:w="84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3～100</w:t>
            </w:r>
          </w:p>
        </w:tc>
        <w:tc>
          <w:tcPr>
            <w:tcW w:w="111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9～1800</w:t>
            </w:r>
          </w:p>
        </w:tc>
        <w:tc>
          <w:tcPr>
            <w:tcW w:w="108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低～重大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19"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68</w:t>
            </w:r>
          </w:p>
        </w:tc>
        <w:tc>
          <w:tcPr>
            <w:tcW w:w="942" w:type="dxa"/>
            <w:vMerge w:val="continue"/>
            <w:vAlign w:val="center"/>
          </w:tcPr>
          <w:p>
            <w:pPr>
              <w:snapToGrid w:val="0"/>
              <w:jc w:val="center"/>
              <w:rPr>
                <w:rFonts w:cs="宋体" w:asciiTheme="minorEastAsia" w:hAnsiTheme="minorEastAsia" w:eastAsiaTheme="minorEastAsia"/>
                <w:sz w:val="20"/>
                <w:szCs w:val="20"/>
              </w:rPr>
            </w:pPr>
          </w:p>
        </w:tc>
        <w:tc>
          <w:tcPr>
            <w:tcW w:w="1048" w:type="dxa"/>
            <w:vMerge w:val="continue"/>
            <w:vAlign w:val="center"/>
          </w:tcPr>
          <w:p>
            <w:pPr>
              <w:snapToGrid w:val="0"/>
              <w:jc w:val="center"/>
              <w:rPr>
                <w:rFonts w:cs="宋体" w:asciiTheme="minorEastAsia" w:hAnsiTheme="minorEastAsia" w:eastAsiaTheme="minorEastAsia"/>
                <w:sz w:val="20"/>
                <w:szCs w:val="20"/>
              </w:rPr>
            </w:pPr>
          </w:p>
        </w:tc>
        <w:tc>
          <w:tcPr>
            <w:tcW w:w="2352"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防汛抢险物料准备</w:t>
            </w:r>
          </w:p>
        </w:tc>
        <w:tc>
          <w:tcPr>
            <w:tcW w:w="172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物料准备不足</w:t>
            </w:r>
          </w:p>
        </w:tc>
        <w:tc>
          <w:tcPr>
            <w:tcW w:w="1927"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影响工程防汛抢险</w:t>
            </w:r>
          </w:p>
        </w:tc>
        <w:tc>
          <w:tcPr>
            <w:tcW w:w="869"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LS法</w:t>
            </w:r>
          </w:p>
        </w:tc>
        <w:tc>
          <w:tcPr>
            <w:tcW w:w="81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3～6</w:t>
            </w:r>
          </w:p>
        </w:tc>
        <w:tc>
          <w:tcPr>
            <w:tcW w:w="84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w:t>
            </w:r>
          </w:p>
        </w:tc>
        <w:tc>
          <w:tcPr>
            <w:tcW w:w="84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3～100</w:t>
            </w:r>
          </w:p>
        </w:tc>
        <w:tc>
          <w:tcPr>
            <w:tcW w:w="111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9～600</w:t>
            </w:r>
          </w:p>
        </w:tc>
        <w:tc>
          <w:tcPr>
            <w:tcW w:w="108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低～重大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19"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69</w:t>
            </w:r>
          </w:p>
        </w:tc>
        <w:tc>
          <w:tcPr>
            <w:tcW w:w="942" w:type="dxa"/>
            <w:vMerge w:val="continue"/>
            <w:vAlign w:val="center"/>
          </w:tcPr>
          <w:p>
            <w:pPr>
              <w:snapToGrid w:val="0"/>
              <w:jc w:val="center"/>
              <w:rPr>
                <w:rFonts w:cs="宋体" w:asciiTheme="minorEastAsia" w:hAnsiTheme="minorEastAsia" w:eastAsiaTheme="minorEastAsia"/>
                <w:sz w:val="20"/>
                <w:szCs w:val="20"/>
              </w:rPr>
            </w:pPr>
          </w:p>
        </w:tc>
        <w:tc>
          <w:tcPr>
            <w:tcW w:w="1048" w:type="dxa"/>
            <w:vMerge w:val="continue"/>
            <w:vAlign w:val="center"/>
          </w:tcPr>
          <w:p>
            <w:pPr>
              <w:snapToGrid w:val="0"/>
              <w:jc w:val="center"/>
              <w:rPr>
                <w:rFonts w:cs="宋体" w:asciiTheme="minorEastAsia" w:hAnsiTheme="minorEastAsia" w:eastAsiaTheme="minorEastAsia"/>
                <w:sz w:val="20"/>
                <w:szCs w:val="20"/>
              </w:rPr>
            </w:pPr>
          </w:p>
        </w:tc>
        <w:tc>
          <w:tcPr>
            <w:tcW w:w="2352"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维修养护物资准备</w:t>
            </w:r>
          </w:p>
        </w:tc>
        <w:tc>
          <w:tcPr>
            <w:tcW w:w="172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物资准备不足</w:t>
            </w:r>
          </w:p>
        </w:tc>
        <w:tc>
          <w:tcPr>
            <w:tcW w:w="1927"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影响工程运行安全</w:t>
            </w:r>
          </w:p>
        </w:tc>
        <w:tc>
          <w:tcPr>
            <w:tcW w:w="869"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LS法</w:t>
            </w:r>
          </w:p>
        </w:tc>
        <w:tc>
          <w:tcPr>
            <w:tcW w:w="81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3～6</w:t>
            </w:r>
          </w:p>
        </w:tc>
        <w:tc>
          <w:tcPr>
            <w:tcW w:w="84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w:t>
            </w:r>
          </w:p>
        </w:tc>
        <w:tc>
          <w:tcPr>
            <w:tcW w:w="84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3～100</w:t>
            </w:r>
          </w:p>
        </w:tc>
        <w:tc>
          <w:tcPr>
            <w:tcW w:w="111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9～600</w:t>
            </w:r>
          </w:p>
        </w:tc>
        <w:tc>
          <w:tcPr>
            <w:tcW w:w="108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低～重大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19"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70</w:t>
            </w:r>
          </w:p>
        </w:tc>
        <w:tc>
          <w:tcPr>
            <w:tcW w:w="942" w:type="dxa"/>
            <w:vMerge w:val="continue"/>
            <w:vAlign w:val="center"/>
          </w:tcPr>
          <w:p>
            <w:pPr>
              <w:snapToGrid w:val="0"/>
              <w:jc w:val="center"/>
              <w:rPr>
                <w:rFonts w:cs="宋体" w:asciiTheme="minorEastAsia" w:hAnsiTheme="minorEastAsia" w:eastAsiaTheme="minorEastAsia"/>
                <w:sz w:val="20"/>
                <w:szCs w:val="20"/>
              </w:rPr>
            </w:pPr>
          </w:p>
        </w:tc>
        <w:tc>
          <w:tcPr>
            <w:tcW w:w="1048" w:type="dxa"/>
            <w:vMerge w:val="continue"/>
            <w:vAlign w:val="center"/>
          </w:tcPr>
          <w:p>
            <w:pPr>
              <w:snapToGrid w:val="0"/>
              <w:jc w:val="center"/>
              <w:rPr>
                <w:rFonts w:cs="宋体" w:asciiTheme="minorEastAsia" w:hAnsiTheme="minorEastAsia" w:eastAsiaTheme="minorEastAsia"/>
                <w:sz w:val="20"/>
                <w:szCs w:val="20"/>
              </w:rPr>
            </w:pPr>
          </w:p>
        </w:tc>
        <w:tc>
          <w:tcPr>
            <w:tcW w:w="2352"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人员基本支出和工程维修养护经费落实</w:t>
            </w:r>
          </w:p>
        </w:tc>
        <w:tc>
          <w:tcPr>
            <w:tcW w:w="172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经费未落实</w:t>
            </w:r>
          </w:p>
        </w:tc>
        <w:tc>
          <w:tcPr>
            <w:tcW w:w="1927"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影响工程运行管理</w:t>
            </w:r>
          </w:p>
        </w:tc>
        <w:tc>
          <w:tcPr>
            <w:tcW w:w="869"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LS法</w:t>
            </w:r>
          </w:p>
        </w:tc>
        <w:tc>
          <w:tcPr>
            <w:tcW w:w="81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3～18</w:t>
            </w:r>
          </w:p>
        </w:tc>
        <w:tc>
          <w:tcPr>
            <w:tcW w:w="84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w:t>
            </w:r>
          </w:p>
        </w:tc>
        <w:tc>
          <w:tcPr>
            <w:tcW w:w="84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3～100</w:t>
            </w:r>
          </w:p>
        </w:tc>
        <w:tc>
          <w:tcPr>
            <w:tcW w:w="111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9～1800</w:t>
            </w:r>
          </w:p>
        </w:tc>
        <w:tc>
          <w:tcPr>
            <w:tcW w:w="108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低～重大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19"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71</w:t>
            </w:r>
          </w:p>
        </w:tc>
        <w:tc>
          <w:tcPr>
            <w:tcW w:w="942" w:type="dxa"/>
            <w:vMerge w:val="continue"/>
            <w:vAlign w:val="center"/>
          </w:tcPr>
          <w:p>
            <w:pPr>
              <w:snapToGrid w:val="0"/>
              <w:jc w:val="left"/>
              <w:rPr>
                <w:rFonts w:cs="宋体" w:asciiTheme="minorEastAsia" w:hAnsiTheme="minorEastAsia" w:eastAsiaTheme="minorEastAsia"/>
                <w:sz w:val="20"/>
                <w:szCs w:val="20"/>
              </w:rPr>
            </w:pPr>
          </w:p>
        </w:tc>
        <w:tc>
          <w:tcPr>
            <w:tcW w:w="1048" w:type="dxa"/>
            <w:vMerge w:val="continue"/>
            <w:vAlign w:val="center"/>
          </w:tcPr>
          <w:p>
            <w:pPr>
              <w:snapToGrid w:val="0"/>
              <w:jc w:val="left"/>
              <w:rPr>
                <w:rFonts w:cs="宋体" w:asciiTheme="minorEastAsia" w:hAnsiTheme="minorEastAsia" w:eastAsiaTheme="minorEastAsia"/>
                <w:sz w:val="20"/>
                <w:szCs w:val="20"/>
              </w:rPr>
            </w:pPr>
          </w:p>
        </w:tc>
        <w:tc>
          <w:tcPr>
            <w:tcW w:w="2352"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管理、作业人员教育培训</w:t>
            </w:r>
          </w:p>
        </w:tc>
        <w:tc>
          <w:tcPr>
            <w:tcW w:w="172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培训不到位</w:t>
            </w:r>
          </w:p>
        </w:tc>
        <w:tc>
          <w:tcPr>
            <w:tcW w:w="1927"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影响工程运行安全、人员作业安全</w:t>
            </w:r>
          </w:p>
        </w:tc>
        <w:tc>
          <w:tcPr>
            <w:tcW w:w="869"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LS法</w:t>
            </w:r>
          </w:p>
        </w:tc>
        <w:tc>
          <w:tcPr>
            <w:tcW w:w="81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3～18</w:t>
            </w:r>
          </w:p>
        </w:tc>
        <w:tc>
          <w:tcPr>
            <w:tcW w:w="84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w:t>
            </w:r>
          </w:p>
        </w:tc>
        <w:tc>
          <w:tcPr>
            <w:tcW w:w="84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3～100</w:t>
            </w:r>
          </w:p>
        </w:tc>
        <w:tc>
          <w:tcPr>
            <w:tcW w:w="111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9～1800</w:t>
            </w:r>
          </w:p>
        </w:tc>
        <w:tc>
          <w:tcPr>
            <w:tcW w:w="108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低～重大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19"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72</w:t>
            </w:r>
          </w:p>
        </w:tc>
        <w:tc>
          <w:tcPr>
            <w:tcW w:w="942" w:type="dxa"/>
            <w:vMerge w:val="continue"/>
            <w:vAlign w:val="center"/>
          </w:tcPr>
          <w:p>
            <w:pPr>
              <w:snapToGrid w:val="0"/>
              <w:jc w:val="left"/>
              <w:rPr>
                <w:rFonts w:cs="宋体" w:asciiTheme="minorEastAsia" w:hAnsiTheme="minorEastAsia" w:eastAsiaTheme="minorEastAsia"/>
                <w:sz w:val="20"/>
                <w:szCs w:val="20"/>
              </w:rPr>
            </w:pPr>
          </w:p>
        </w:tc>
        <w:tc>
          <w:tcPr>
            <w:tcW w:w="1048" w:type="dxa"/>
            <w:vMerge w:val="restart"/>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运行管理</w:t>
            </w:r>
          </w:p>
        </w:tc>
        <w:tc>
          <w:tcPr>
            <w:tcW w:w="2352"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管理和保护范围划定</w:t>
            </w:r>
          </w:p>
        </w:tc>
        <w:tc>
          <w:tcPr>
            <w:tcW w:w="172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范围不明确</w:t>
            </w:r>
          </w:p>
        </w:tc>
        <w:tc>
          <w:tcPr>
            <w:tcW w:w="1927"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影响工程运行管理</w:t>
            </w:r>
          </w:p>
        </w:tc>
        <w:tc>
          <w:tcPr>
            <w:tcW w:w="869"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LS法</w:t>
            </w:r>
          </w:p>
        </w:tc>
        <w:tc>
          <w:tcPr>
            <w:tcW w:w="81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3～18</w:t>
            </w:r>
          </w:p>
        </w:tc>
        <w:tc>
          <w:tcPr>
            <w:tcW w:w="84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w:t>
            </w:r>
          </w:p>
        </w:tc>
        <w:tc>
          <w:tcPr>
            <w:tcW w:w="84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3～100</w:t>
            </w:r>
          </w:p>
        </w:tc>
        <w:tc>
          <w:tcPr>
            <w:tcW w:w="111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9～1800</w:t>
            </w:r>
          </w:p>
        </w:tc>
        <w:tc>
          <w:tcPr>
            <w:tcW w:w="108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低～重大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19"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73</w:t>
            </w:r>
          </w:p>
        </w:tc>
        <w:tc>
          <w:tcPr>
            <w:tcW w:w="942" w:type="dxa"/>
            <w:vMerge w:val="continue"/>
            <w:vAlign w:val="center"/>
          </w:tcPr>
          <w:p>
            <w:pPr>
              <w:snapToGrid w:val="0"/>
              <w:jc w:val="left"/>
              <w:rPr>
                <w:rFonts w:cs="宋体" w:asciiTheme="minorEastAsia" w:hAnsiTheme="minorEastAsia" w:eastAsiaTheme="minorEastAsia"/>
                <w:sz w:val="20"/>
                <w:szCs w:val="20"/>
              </w:rPr>
            </w:pPr>
          </w:p>
        </w:tc>
        <w:tc>
          <w:tcPr>
            <w:tcW w:w="1048" w:type="dxa"/>
            <w:vMerge w:val="continue"/>
            <w:vAlign w:val="center"/>
          </w:tcPr>
          <w:p>
            <w:pPr>
              <w:snapToGrid w:val="0"/>
              <w:jc w:val="left"/>
              <w:rPr>
                <w:rFonts w:cs="宋体" w:asciiTheme="minorEastAsia" w:hAnsiTheme="minorEastAsia" w:eastAsiaTheme="minorEastAsia"/>
                <w:sz w:val="20"/>
                <w:szCs w:val="20"/>
              </w:rPr>
            </w:pPr>
          </w:p>
        </w:tc>
        <w:tc>
          <w:tcPr>
            <w:tcW w:w="2352"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管理和保护范围内修建码头、鱼塘等</w:t>
            </w:r>
          </w:p>
        </w:tc>
        <w:tc>
          <w:tcPr>
            <w:tcW w:w="172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管理不到位</w:t>
            </w:r>
          </w:p>
        </w:tc>
        <w:tc>
          <w:tcPr>
            <w:tcW w:w="1927"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影响工程防汛抢险</w:t>
            </w:r>
          </w:p>
        </w:tc>
        <w:tc>
          <w:tcPr>
            <w:tcW w:w="869"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LS法</w:t>
            </w:r>
          </w:p>
        </w:tc>
        <w:tc>
          <w:tcPr>
            <w:tcW w:w="81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3～18</w:t>
            </w:r>
          </w:p>
        </w:tc>
        <w:tc>
          <w:tcPr>
            <w:tcW w:w="84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w:t>
            </w:r>
          </w:p>
        </w:tc>
        <w:tc>
          <w:tcPr>
            <w:tcW w:w="84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3～100</w:t>
            </w:r>
          </w:p>
        </w:tc>
        <w:tc>
          <w:tcPr>
            <w:tcW w:w="111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9～1800</w:t>
            </w:r>
          </w:p>
        </w:tc>
        <w:tc>
          <w:tcPr>
            <w:tcW w:w="108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低～重大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19"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74</w:t>
            </w:r>
          </w:p>
        </w:tc>
        <w:tc>
          <w:tcPr>
            <w:tcW w:w="942" w:type="dxa"/>
            <w:vMerge w:val="continue"/>
            <w:vAlign w:val="center"/>
          </w:tcPr>
          <w:p>
            <w:pPr>
              <w:snapToGrid w:val="0"/>
              <w:jc w:val="left"/>
              <w:rPr>
                <w:rFonts w:cs="宋体" w:asciiTheme="minorEastAsia" w:hAnsiTheme="minorEastAsia" w:eastAsiaTheme="minorEastAsia"/>
                <w:sz w:val="20"/>
                <w:szCs w:val="20"/>
              </w:rPr>
            </w:pPr>
          </w:p>
        </w:tc>
        <w:tc>
          <w:tcPr>
            <w:tcW w:w="1048" w:type="dxa"/>
            <w:vMerge w:val="continue"/>
            <w:vAlign w:val="center"/>
          </w:tcPr>
          <w:p>
            <w:pPr>
              <w:snapToGrid w:val="0"/>
              <w:jc w:val="left"/>
              <w:rPr>
                <w:rFonts w:cs="宋体" w:asciiTheme="minorEastAsia" w:hAnsiTheme="minorEastAsia" w:eastAsiaTheme="minorEastAsia"/>
                <w:sz w:val="20"/>
                <w:szCs w:val="20"/>
              </w:rPr>
            </w:pPr>
          </w:p>
        </w:tc>
        <w:tc>
          <w:tcPr>
            <w:tcW w:w="2352"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调度规程编制与报批</w:t>
            </w:r>
          </w:p>
        </w:tc>
        <w:tc>
          <w:tcPr>
            <w:tcW w:w="172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未编制、报批</w:t>
            </w:r>
          </w:p>
        </w:tc>
        <w:tc>
          <w:tcPr>
            <w:tcW w:w="1927"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影响工程运行安全</w:t>
            </w:r>
          </w:p>
        </w:tc>
        <w:tc>
          <w:tcPr>
            <w:tcW w:w="869"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LS法</w:t>
            </w:r>
          </w:p>
        </w:tc>
        <w:tc>
          <w:tcPr>
            <w:tcW w:w="81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3～6</w:t>
            </w:r>
          </w:p>
        </w:tc>
        <w:tc>
          <w:tcPr>
            <w:tcW w:w="84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w:t>
            </w:r>
          </w:p>
        </w:tc>
        <w:tc>
          <w:tcPr>
            <w:tcW w:w="84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3～100</w:t>
            </w:r>
          </w:p>
        </w:tc>
        <w:tc>
          <w:tcPr>
            <w:tcW w:w="111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9～600</w:t>
            </w:r>
          </w:p>
        </w:tc>
        <w:tc>
          <w:tcPr>
            <w:tcW w:w="108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低～重大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19"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75</w:t>
            </w:r>
          </w:p>
        </w:tc>
        <w:tc>
          <w:tcPr>
            <w:tcW w:w="942" w:type="dxa"/>
            <w:vMerge w:val="continue"/>
            <w:vAlign w:val="center"/>
          </w:tcPr>
          <w:p>
            <w:pPr>
              <w:snapToGrid w:val="0"/>
              <w:jc w:val="left"/>
              <w:rPr>
                <w:rFonts w:cs="宋体" w:asciiTheme="minorEastAsia" w:hAnsiTheme="minorEastAsia" w:eastAsiaTheme="minorEastAsia"/>
                <w:sz w:val="20"/>
                <w:szCs w:val="20"/>
              </w:rPr>
            </w:pPr>
          </w:p>
        </w:tc>
        <w:tc>
          <w:tcPr>
            <w:tcW w:w="1048" w:type="dxa"/>
            <w:vMerge w:val="continue"/>
            <w:vAlign w:val="center"/>
          </w:tcPr>
          <w:p>
            <w:pPr>
              <w:snapToGrid w:val="0"/>
              <w:jc w:val="left"/>
              <w:rPr>
                <w:rFonts w:cs="宋体" w:asciiTheme="minorEastAsia" w:hAnsiTheme="minorEastAsia" w:eastAsiaTheme="minorEastAsia"/>
                <w:sz w:val="20"/>
                <w:szCs w:val="20"/>
              </w:rPr>
            </w:pPr>
          </w:p>
        </w:tc>
        <w:tc>
          <w:tcPr>
            <w:tcW w:w="2352"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汛期调度运用计划编制与报批</w:t>
            </w:r>
          </w:p>
        </w:tc>
        <w:tc>
          <w:tcPr>
            <w:tcW w:w="172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未编制、报批</w:t>
            </w:r>
          </w:p>
        </w:tc>
        <w:tc>
          <w:tcPr>
            <w:tcW w:w="1927"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影响工程运行安全</w:t>
            </w:r>
          </w:p>
        </w:tc>
        <w:tc>
          <w:tcPr>
            <w:tcW w:w="869"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LS法</w:t>
            </w:r>
          </w:p>
        </w:tc>
        <w:tc>
          <w:tcPr>
            <w:tcW w:w="81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3～18</w:t>
            </w:r>
          </w:p>
        </w:tc>
        <w:tc>
          <w:tcPr>
            <w:tcW w:w="84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w:t>
            </w:r>
          </w:p>
        </w:tc>
        <w:tc>
          <w:tcPr>
            <w:tcW w:w="84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3～100</w:t>
            </w:r>
          </w:p>
        </w:tc>
        <w:tc>
          <w:tcPr>
            <w:tcW w:w="111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9～1800</w:t>
            </w:r>
          </w:p>
        </w:tc>
        <w:tc>
          <w:tcPr>
            <w:tcW w:w="108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低～重大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19"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76</w:t>
            </w:r>
          </w:p>
        </w:tc>
        <w:tc>
          <w:tcPr>
            <w:tcW w:w="942" w:type="dxa"/>
            <w:vMerge w:val="continue"/>
            <w:vAlign w:val="center"/>
          </w:tcPr>
          <w:p>
            <w:pPr>
              <w:snapToGrid w:val="0"/>
              <w:jc w:val="left"/>
              <w:rPr>
                <w:rFonts w:cs="宋体" w:asciiTheme="minorEastAsia" w:hAnsiTheme="minorEastAsia" w:eastAsiaTheme="minorEastAsia"/>
                <w:sz w:val="20"/>
                <w:szCs w:val="20"/>
              </w:rPr>
            </w:pPr>
          </w:p>
        </w:tc>
        <w:tc>
          <w:tcPr>
            <w:tcW w:w="1048" w:type="dxa"/>
            <w:vMerge w:val="continue"/>
            <w:vAlign w:val="center"/>
          </w:tcPr>
          <w:p>
            <w:pPr>
              <w:snapToGrid w:val="0"/>
              <w:jc w:val="left"/>
              <w:rPr>
                <w:rFonts w:cs="宋体" w:asciiTheme="minorEastAsia" w:hAnsiTheme="minorEastAsia" w:eastAsiaTheme="minorEastAsia"/>
                <w:sz w:val="20"/>
                <w:szCs w:val="20"/>
              </w:rPr>
            </w:pPr>
          </w:p>
        </w:tc>
        <w:tc>
          <w:tcPr>
            <w:tcW w:w="2352"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应急预案编制、报批、演练</w:t>
            </w:r>
          </w:p>
        </w:tc>
        <w:tc>
          <w:tcPr>
            <w:tcW w:w="172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未编制、报批或演练</w:t>
            </w:r>
          </w:p>
        </w:tc>
        <w:tc>
          <w:tcPr>
            <w:tcW w:w="1927"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影响工程防汛抢险</w:t>
            </w:r>
          </w:p>
        </w:tc>
        <w:tc>
          <w:tcPr>
            <w:tcW w:w="869"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LS法</w:t>
            </w:r>
          </w:p>
        </w:tc>
        <w:tc>
          <w:tcPr>
            <w:tcW w:w="81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3～18</w:t>
            </w:r>
          </w:p>
        </w:tc>
        <w:tc>
          <w:tcPr>
            <w:tcW w:w="84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w:t>
            </w:r>
          </w:p>
        </w:tc>
        <w:tc>
          <w:tcPr>
            <w:tcW w:w="84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3～100</w:t>
            </w:r>
          </w:p>
        </w:tc>
        <w:tc>
          <w:tcPr>
            <w:tcW w:w="111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9～1800</w:t>
            </w:r>
          </w:p>
        </w:tc>
        <w:tc>
          <w:tcPr>
            <w:tcW w:w="108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低～重大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19"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77</w:t>
            </w:r>
          </w:p>
        </w:tc>
        <w:tc>
          <w:tcPr>
            <w:tcW w:w="942" w:type="dxa"/>
            <w:vMerge w:val="continue"/>
            <w:vAlign w:val="center"/>
          </w:tcPr>
          <w:p>
            <w:pPr>
              <w:snapToGrid w:val="0"/>
              <w:jc w:val="left"/>
              <w:rPr>
                <w:rFonts w:cs="宋体" w:asciiTheme="minorEastAsia" w:hAnsiTheme="minorEastAsia" w:eastAsiaTheme="minorEastAsia"/>
                <w:sz w:val="20"/>
                <w:szCs w:val="20"/>
              </w:rPr>
            </w:pPr>
          </w:p>
        </w:tc>
        <w:tc>
          <w:tcPr>
            <w:tcW w:w="1048" w:type="dxa"/>
            <w:vMerge w:val="continue"/>
            <w:vAlign w:val="center"/>
          </w:tcPr>
          <w:p>
            <w:pPr>
              <w:snapToGrid w:val="0"/>
              <w:jc w:val="left"/>
              <w:rPr>
                <w:rFonts w:cs="宋体" w:asciiTheme="minorEastAsia" w:hAnsiTheme="minorEastAsia" w:eastAsiaTheme="minorEastAsia"/>
                <w:sz w:val="20"/>
                <w:szCs w:val="20"/>
              </w:rPr>
            </w:pPr>
          </w:p>
        </w:tc>
        <w:tc>
          <w:tcPr>
            <w:tcW w:w="2352"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监测资料整编分析</w:t>
            </w:r>
          </w:p>
        </w:tc>
        <w:tc>
          <w:tcPr>
            <w:tcW w:w="172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未落实</w:t>
            </w:r>
          </w:p>
        </w:tc>
        <w:tc>
          <w:tcPr>
            <w:tcW w:w="1927"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不能及时发现工程隐患</w:t>
            </w:r>
          </w:p>
        </w:tc>
        <w:tc>
          <w:tcPr>
            <w:tcW w:w="869"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LS法</w:t>
            </w:r>
          </w:p>
        </w:tc>
        <w:tc>
          <w:tcPr>
            <w:tcW w:w="81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3～18</w:t>
            </w:r>
          </w:p>
        </w:tc>
        <w:tc>
          <w:tcPr>
            <w:tcW w:w="84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w:t>
            </w:r>
          </w:p>
        </w:tc>
        <w:tc>
          <w:tcPr>
            <w:tcW w:w="84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3～100</w:t>
            </w:r>
          </w:p>
        </w:tc>
        <w:tc>
          <w:tcPr>
            <w:tcW w:w="111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9～1800</w:t>
            </w:r>
          </w:p>
        </w:tc>
        <w:tc>
          <w:tcPr>
            <w:tcW w:w="108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低～重大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19"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78</w:t>
            </w:r>
          </w:p>
        </w:tc>
        <w:tc>
          <w:tcPr>
            <w:tcW w:w="942" w:type="dxa"/>
            <w:vMerge w:val="continue"/>
            <w:vAlign w:val="center"/>
          </w:tcPr>
          <w:p>
            <w:pPr>
              <w:snapToGrid w:val="0"/>
              <w:jc w:val="left"/>
              <w:rPr>
                <w:rFonts w:cs="宋体" w:asciiTheme="minorEastAsia" w:hAnsiTheme="minorEastAsia" w:eastAsiaTheme="minorEastAsia"/>
                <w:sz w:val="20"/>
                <w:szCs w:val="20"/>
              </w:rPr>
            </w:pPr>
          </w:p>
        </w:tc>
        <w:tc>
          <w:tcPr>
            <w:tcW w:w="1048" w:type="dxa"/>
            <w:vMerge w:val="continue"/>
            <w:vAlign w:val="center"/>
          </w:tcPr>
          <w:p>
            <w:pPr>
              <w:snapToGrid w:val="0"/>
              <w:jc w:val="left"/>
              <w:rPr>
                <w:rFonts w:cs="宋体" w:asciiTheme="minorEastAsia" w:hAnsiTheme="minorEastAsia" w:eastAsiaTheme="minorEastAsia"/>
                <w:sz w:val="20"/>
                <w:szCs w:val="20"/>
              </w:rPr>
            </w:pPr>
          </w:p>
        </w:tc>
        <w:tc>
          <w:tcPr>
            <w:tcW w:w="2352"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维修养护计划制订</w:t>
            </w:r>
          </w:p>
        </w:tc>
        <w:tc>
          <w:tcPr>
            <w:tcW w:w="172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未制定</w:t>
            </w:r>
          </w:p>
        </w:tc>
        <w:tc>
          <w:tcPr>
            <w:tcW w:w="1927"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不能及时消除工程隐患</w:t>
            </w:r>
          </w:p>
        </w:tc>
        <w:tc>
          <w:tcPr>
            <w:tcW w:w="869"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LS法</w:t>
            </w:r>
          </w:p>
        </w:tc>
        <w:tc>
          <w:tcPr>
            <w:tcW w:w="81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3～6</w:t>
            </w:r>
          </w:p>
        </w:tc>
        <w:tc>
          <w:tcPr>
            <w:tcW w:w="84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w:t>
            </w:r>
          </w:p>
        </w:tc>
        <w:tc>
          <w:tcPr>
            <w:tcW w:w="84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3～100</w:t>
            </w:r>
          </w:p>
        </w:tc>
        <w:tc>
          <w:tcPr>
            <w:tcW w:w="111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9～600</w:t>
            </w:r>
          </w:p>
        </w:tc>
        <w:tc>
          <w:tcPr>
            <w:tcW w:w="108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低～重大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19"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79</w:t>
            </w:r>
          </w:p>
        </w:tc>
        <w:tc>
          <w:tcPr>
            <w:tcW w:w="942" w:type="dxa"/>
            <w:vMerge w:val="restart"/>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管理类</w:t>
            </w:r>
          </w:p>
        </w:tc>
        <w:tc>
          <w:tcPr>
            <w:tcW w:w="1048" w:type="dxa"/>
            <w:vMerge w:val="restart"/>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运行管理</w:t>
            </w:r>
          </w:p>
        </w:tc>
        <w:tc>
          <w:tcPr>
            <w:tcW w:w="2352"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操作票、工作票管理及使用</w:t>
            </w:r>
          </w:p>
        </w:tc>
        <w:tc>
          <w:tcPr>
            <w:tcW w:w="172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未落实</w:t>
            </w:r>
          </w:p>
        </w:tc>
        <w:tc>
          <w:tcPr>
            <w:tcW w:w="1927"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影响工程运行管理</w:t>
            </w:r>
          </w:p>
        </w:tc>
        <w:tc>
          <w:tcPr>
            <w:tcW w:w="869"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LS法</w:t>
            </w:r>
          </w:p>
        </w:tc>
        <w:tc>
          <w:tcPr>
            <w:tcW w:w="81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3～18</w:t>
            </w:r>
          </w:p>
        </w:tc>
        <w:tc>
          <w:tcPr>
            <w:tcW w:w="84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w:t>
            </w:r>
          </w:p>
        </w:tc>
        <w:tc>
          <w:tcPr>
            <w:tcW w:w="84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3～100</w:t>
            </w:r>
          </w:p>
        </w:tc>
        <w:tc>
          <w:tcPr>
            <w:tcW w:w="111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9～1800</w:t>
            </w:r>
          </w:p>
        </w:tc>
        <w:tc>
          <w:tcPr>
            <w:tcW w:w="108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低～重大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19"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80</w:t>
            </w:r>
          </w:p>
        </w:tc>
        <w:tc>
          <w:tcPr>
            <w:tcW w:w="942" w:type="dxa"/>
            <w:vMerge w:val="continue"/>
            <w:vAlign w:val="center"/>
          </w:tcPr>
          <w:p>
            <w:pPr>
              <w:snapToGrid w:val="0"/>
              <w:jc w:val="left"/>
              <w:rPr>
                <w:rFonts w:cs="宋体" w:asciiTheme="minorEastAsia" w:hAnsiTheme="minorEastAsia" w:eastAsiaTheme="minorEastAsia"/>
                <w:sz w:val="20"/>
                <w:szCs w:val="20"/>
              </w:rPr>
            </w:pPr>
          </w:p>
        </w:tc>
        <w:tc>
          <w:tcPr>
            <w:tcW w:w="1048" w:type="dxa"/>
            <w:vMerge w:val="continue"/>
            <w:vAlign w:val="center"/>
          </w:tcPr>
          <w:p>
            <w:pPr>
              <w:snapToGrid w:val="0"/>
              <w:jc w:val="left"/>
              <w:rPr>
                <w:rFonts w:cs="宋体" w:asciiTheme="minorEastAsia" w:hAnsiTheme="minorEastAsia" w:eastAsiaTheme="minorEastAsia"/>
                <w:sz w:val="20"/>
                <w:szCs w:val="20"/>
              </w:rPr>
            </w:pPr>
          </w:p>
        </w:tc>
        <w:tc>
          <w:tcPr>
            <w:tcW w:w="2352"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警示、禁止标识设置</w:t>
            </w:r>
          </w:p>
        </w:tc>
        <w:tc>
          <w:tcPr>
            <w:tcW w:w="172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设置不足</w:t>
            </w:r>
          </w:p>
        </w:tc>
        <w:tc>
          <w:tcPr>
            <w:tcW w:w="1927"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影响工程运行安全、人员安全</w:t>
            </w:r>
          </w:p>
        </w:tc>
        <w:tc>
          <w:tcPr>
            <w:tcW w:w="869"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LS法</w:t>
            </w:r>
          </w:p>
        </w:tc>
        <w:tc>
          <w:tcPr>
            <w:tcW w:w="81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3～18</w:t>
            </w:r>
          </w:p>
        </w:tc>
        <w:tc>
          <w:tcPr>
            <w:tcW w:w="84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w:t>
            </w:r>
          </w:p>
        </w:tc>
        <w:tc>
          <w:tcPr>
            <w:tcW w:w="84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3～100</w:t>
            </w:r>
          </w:p>
        </w:tc>
        <w:tc>
          <w:tcPr>
            <w:tcW w:w="111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9～1800</w:t>
            </w:r>
          </w:p>
        </w:tc>
        <w:tc>
          <w:tcPr>
            <w:tcW w:w="108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低～重大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19"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81</w:t>
            </w:r>
          </w:p>
        </w:tc>
        <w:tc>
          <w:tcPr>
            <w:tcW w:w="942" w:type="dxa"/>
            <w:vMerge w:val="continue"/>
            <w:vAlign w:val="center"/>
          </w:tcPr>
          <w:p>
            <w:pPr>
              <w:snapToGrid w:val="0"/>
              <w:jc w:val="left"/>
              <w:rPr>
                <w:rFonts w:cs="宋体" w:asciiTheme="minorEastAsia" w:hAnsiTheme="minorEastAsia" w:eastAsiaTheme="minorEastAsia"/>
                <w:sz w:val="20"/>
                <w:szCs w:val="20"/>
              </w:rPr>
            </w:pPr>
          </w:p>
        </w:tc>
        <w:tc>
          <w:tcPr>
            <w:tcW w:w="1048" w:type="dxa"/>
            <w:vMerge w:val="continue"/>
            <w:vAlign w:val="center"/>
          </w:tcPr>
          <w:p>
            <w:pPr>
              <w:snapToGrid w:val="0"/>
              <w:jc w:val="left"/>
              <w:rPr>
                <w:rFonts w:cs="宋体" w:asciiTheme="minorEastAsia" w:hAnsiTheme="minorEastAsia" w:eastAsiaTheme="minorEastAsia"/>
                <w:sz w:val="20"/>
                <w:szCs w:val="20"/>
              </w:rPr>
            </w:pPr>
          </w:p>
        </w:tc>
        <w:tc>
          <w:tcPr>
            <w:tcW w:w="2352"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上游水库泄洪</w:t>
            </w:r>
          </w:p>
        </w:tc>
        <w:tc>
          <w:tcPr>
            <w:tcW w:w="172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未及时通知</w:t>
            </w:r>
          </w:p>
        </w:tc>
        <w:tc>
          <w:tcPr>
            <w:tcW w:w="1927"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影响工程运行安全</w:t>
            </w:r>
          </w:p>
        </w:tc>
        <w:tc>
          <w:tcPr>
            <w:tcW w:w="869"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LS法</w:t>
            </w:r>
          </w:p>
        </w:tc>
        <w:tc>
          <w:tcPr>
            <w:tcW w:w="81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3～18</w:t>
            </w:r>
          </w:p>
        </w:tc>
        <w:tc>
          <w:tcPr>
            <w:tcW w:w="84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w:t>
            </w:r>
          </w:p>
        </w:tc>
        <w:tc>
          <w:tcPr>
            <w:tcW w:w="84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3～100</w:t>
            </w:r>
          </w:p>
        </w:tc>
        <w:tc>
          <w:tcPr>
            <w:tcW w:w="111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9～1800</w:t>
            </w:r>
          </w:p>
        </w:tc>
        <w:tc>
          <w:tcPr>
            <w:tcW w:w="108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低～重大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19"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82</w:t>
            </w:r>
          </w:p>
        </w:tc>
        <w:tc>
          <w:tcPr>
            <w:tcW w:w="942" w:type="dxa"/>
            <w:vMerge w:val="restart"/>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环境类</w:t>
            </w:r>
          </w:p>
        </w:tc>
        <w:tc>
          <w:tcPr>
            <w:tcW w:w="1048" w:type="dxa"/>
            <w:vMerge w:val="restart"/>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自然环境</w:t>
            </w:r>
          </w:p>
        </w:tc>
        <w:tc>
          <w:tcPr>
            <w:tcW w:w="2352" w:type="dxa"/>
            <w:vMerge w:val="restart"/>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管理和保护范围内山体（土体）存在潜在滑坡、落石区域</w:t>
            </w:r>
          </w:p>
        </w:tc>
        <w:tc>
          <w:tcPr>
            <w:tcW w:w="1725" w:type="dxa"/>
            <w:vMerge w:val="restart"/>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大风、暴雨、洪水等</w:t>
            </w:r>
          </w:p>
        </w:tc>
        <w:tc>
          <w:tcPr>
            <w:tcW w:w="1927"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坍塌、物体打击</w:t>
            </w:r>
          </w:p>
        </w:tc>
        <w:tc>
          <w:tcPr>
            <w:tcW w:w="869"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LEC法</w:t>
            </w:r>
          </w:p>
        </w:tc>
        <w:tc>
          <w:tcPr>
            <w:tcW w:w="81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0.5～3</w:t>
            </w:r>
          </w:p>
        </w:tc>
        <w:tc>
          <w:tcPr>
            <w:tcW w:w="84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0.5～3</w:t>
            </w:r>
          </w:p>
        </w:tc>
        <w:tc>
          <w:tcPr>
            <w:tcW w:w="84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3～15</w:t>
            </w:r>
          </w:p>
        </w:tc>
        <w:tc>
          <w:tcPr>
            <w:tcW w:w="111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0.75～135</w:t>
            </w:r>
          </w:p>
        </w:tc>
        <w:tc>
          <w:tcPr>
            <w:tcW w:w="108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低～一般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19"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83</w:t>
            </w:r>
          </w:p>
        </w:tc>
        <w:tc>
          <w:tcPr>
            <w:tcW w:w="942" w:type="dxa"/>
            <w:vMerge w:val="continue"/>
            <w:vAlign w:val="center"/>
          </w:tcPr>
          <w:p>
            <w:pPr>
              <w:snapToGrid w:val="0"/>
              <w:jc w:val="center"/>
              <w:rPr>
                <w:rFonts w:cs="宋体" w:asciiTheme="minorEastAsia" w:hAnsiTheme="minorEastAsia" w:eastAsiaTheme="minorEastAsia"/>
                <w:sz w:val="20"/>
                <w:szCs w:val="20"/>
              </w:rPr>
            </w:pPr>
          </w:p>
        </w:tc>
        <w:tc>
          <w:tcPr>
            <w:tcW w:w="1048" w:type="dxa"/>
            <w:vMerge w:val="continue"/>
            <w:vAlign w:val="center"/>
          </w:tcPr>
          <w:p>
            <w:pPr>
              <w:snapToGrid w:val="0"/>
              <w:jc w:val="center"/>
              <w:rPr>
                <w:rFonts w:cs="宋体" w:asciiTheme="minorEastAsia" w:hAnsiTheme="minorEastAsia" w:eastAsiaTheme="minorEastAsia"/>
                <w:sz w:val="20"/>
                <w:szCs w:val="20"/>
              </w:rPr>
            </w:pPr>
          </w:p>
        </w:tc>
        <w:tc>
          <w:tcPr>
            <w:tcW w:w="2352" w:type="dxa"/>
            <w:vMerge w:val="continue"/>
            <w:vAlign w:val="center"/>
          </w:tcPr>
          <w:p>
            <w:pPr>
              <w:snapToGrid w:val="0"/>
              <w:jc w:val="center"/>
              <w:rPr>
                <w:rFonts w:cs="宋体" w:asciiTheme="minorEastAsia" w:hAnsiTheme="minorEastAsia" w:eastAsiaTheme="minorEastAsia"/>
                <w:sz w:val="20"/>
                <w:szCs w:val="20"/>
              </w:rPr>
            </w:pPr>
          </w:p>
        </w:tc>
        <w:tc>
          <w:tcPr>
            <w:tcW w:w="1725" w:type="dxa"/>
            <w:vMerge w:val="continue"/>
            <w:vAlign w:val="center"/>
          </w:tcPr>
          <w:p>
            <w:pPr>
              <w:snapToGrid w:val="0"/>
              <w:jc w:val="center"/>
              <w:rPr>
                <w:rFonts w:cs="宋体" w:asciiTheme="minorEastAsia" w:hAnsiTheme="minorEastAsia" w:eastAsiaTheme="minorEastAsia"/>
                <w:sz w:val="20"/>
                <w:szCs w:val="20"/>
              </w:rPr>
            </w:pPr>
          </w:p>
        </w:tc>
        <w:tc>
          <w:tcPr>
            <w:tcW w:w="1927"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浪涌破坏</w:t>
            </w:r>
          </w:p>
        </w:tc>
        <w:tc>
          <w:tcPr>
            <w:tcW w:w="869"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LS法</w:t>
            </w:r>
          </w:p>
        </w:tc>
        <w:tc>
          <w:tcPr>
            <w:tcW w:w="81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3～18</w:t>
            </w:r>
          </w:p>
        </w:tc>
        <w:tc>
          <w:tcPr>
            <w:tcW w:w="84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w:t>
            </w:r>
          </w:p>
        </w:tc>
        <w:tc>
          <w:tcPr>
            <w:tcW w:w="84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3～100</w:t>
            </w:r>
          </w:p>
        </w:tc>
        <w:tc>
          <w:tcPr>
            <w:tcW w:w="111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9～1800</w:t>
            </w:r>
          </w:p>
        </w:tc>
        <w:tc>
          <w:tcPr>
            <w:tcW w:w="108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低～重大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19"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84</w:t>
            </w:r>
          </w:p>
        </w:tc>
        <w:tc>
          <w:tcPr>
            <w:tcW w:w="942" w:type="dxa"/>
            <w:vMerge w:val="continue"/>
            <w:vAlign w:val="center"/>
          </w:tcPr>
          <w:p>
            <w:pPr>
              <w:snapToGrid w:val="0"/>
              <w:jc w:val="left"/>
              <w:rPr>
                <w:rFonts w:cs="宋体" w:asciiTheme="minorEastAsia" w:hAnsiTheme="minorEastAsia" w:eastAsiaTheme="minorEastAsia"/>
                <w:sz w:val="20"/>
                <w:szCs w:val="20"/>
              </w:rPr>
            </w:pPr>
          </w:p>
        </w:tc>
        <w:tc>
          <w:tcPr>
            <w:tcW w:w="1048" w:type="dxa"/>
            <w:vMerge w:val="continue"/>
            <w:vAlign w:val="center"/>
          </w:tcPr>
          <w:p>
            <w:pPr>
              <w:snapToGrid w:val="0"/>
              <w:jc w:val="center"/>
              <w:rPr>
                <w:rFonts w:cs="宋体" w:asciiTheme="minorEastAsia" w:hAnsiTheme="minorEastAsia" w:eastAsiaTheme="minorEastAsia"/>
                <w:sz w:val="20"/>
                <w:szCs w:val="20"/>
              </w:rPr>
            </w:pPr>
          </w:p>
        </w:tc>
        <w:tc>
          <w:tcPr>
            <w:tcW w:w="2352"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库区淤积物</w:t>
            </w:r>
          </w:p>
        </w:tc>
        <w:tc>
          <w:tcPr>
            <w:tcW w:w="172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山体滑坡</w:t>
            </w:r>
          </w:p>
        </w:tc>
        <w:tc>
          <w:tcPr>
            <w:tcW w:w="1927"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影响工程运行安全</w:t>
            </w:r>
          </w:p>
        </w:tc>
        <w:tc>
          <w:tcPr>
            <w:tcW w:w="869"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LS法</w:t>
            </w:r>
          </w:p>
        </w:tc>
        <w:tc>
          <w:tcPr>
            <w:tcW w:w="81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3～18</w:t>
            </w:r>
          </w:p>
        </w:tc>
        <w:tc>
          <w:tcPr>
            <w:tcW w:w="84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w:t>
            </w:r>
          </w:p>
        </w:tc>
        <w:tc>
          <w:tcPr>
            <w:tcW w:w="84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3～100</w:t>
            </w:r>
          </w:p>
        </w:tc>
        <w:tc>
          <w:tcPr>
            <w:tcW w:w="111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9～1800</w:t>
            </w:r>
          </w:p>
        </w:tc>
        <w:tc>
          <w:tcPr>
            <w:tcW w:w="108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低～重大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19"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85</w:t>
            </w:r>
          </w:p>
        </w:tc>
        <w:tc>
          <w:tcPr>
            <w:tcW w:w="942" w:type="dxa"/>
            <w:vMerge w:val="continue"/>
            <w:vAlign w:val="center"/>
          </w:tcPr>
          <w:p>
            <w:pPr>
              <w:snapToGrid w:val="0"/>
              <w:jc w:val="left"/>
              <w:rPr>
                <w:rFonts w:cs="宋体" w:asciiTheme="minorEastAsia" w:hAnsiTheme="minorEastAsia" w:eastAsiaTheme="minorEastAsia"/>
                <w:sz w:val="20"/>
                <w:szCs w:val="20"/>
              </w:rPr>
            </w:pPr>
          </w:p>
        </w:tc>
        <w:tc>
          <w:tcPr>
            <w:tcW w:w="1048" w:type="dxa"/>
            <w:vMerge w:val="continue"/>
            <w:vAlign w:val="center"/>
          </w:tcPr>
          <w:p>
            <w:pPr>
              <w:snapToGrid w:val="0"/>
              <w:jc w:val="center"/>
              <w:rPr>
                <w:rFonts w:cs="宋体" w:asciiTheme="minorEastAsia" w:hAnsiTheme="minorEastAsia" w:eastAsiaTheme="minorEastAsia"/>
                <w:sz w:val="20"/>
                <w:szCs w:val="20"/>
              </w:rPr>
            </w:pPr>
          </w:p>
        </w:tc>
        <w:tc>
          <w:tcPr>
            <w:tcW w:w="2352"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船只、漂浮物</w:t>
            </w:r>
          </w:p>
        </w:tc>
        <w:tc>
          <w:tcPr>
            <w:tcW w:w="172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碰撞</w:t>
            </w:r>
          </w:p>
        </w:tc>
        <w:tc>
          <w:tcPr>
            <w:tcW w:w="1927"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影响工程运行安全</w:t>
            </w:r>
          </w:p>
        </w:tc>
        <w:tc>
          <w:tcPr>
            <w:tcW w:w="869"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LS法</w:t>
            </w:r>
          </w:p>
        </w:tc>
        <w:tc>
          <w:tcPr>
            <w:tcW w:w="81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3～18</w:t>
            </w:r>
          </w:p>
        </w:tc>
        <w:tc>
          <w:tcPr>
            <w:tcW w:w="84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w:t>
            </w:r>
          </w:p>
        </w:tc>
        <w:tc>
          <w:tcPr>
            <w:tcW w:w="84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3～100</w:t>
            </w:r>
          </w:p>
        </w:tc>
        <w:tc>
          <w:tcPr>
            <w:tcW w:w="111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9～1800</w:t>
            </w:r>
          </w:p>
        </w:tc>
        <w:tc>
          <w:tcPr>
            <w:tcW w:w="108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低～重大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19"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86</w:t>
            </w:r>
          </w:p>
        </w:tc>
        <w:tc>
          <w:tcPr>
            <w:tcW w:w="942" w:type="dxa"/>
            <w:vMerge w:val="continue"/>
            <w:vAlign w:val="center"/>
          </w:tcPr>
          <w:p>
            <w:pPr>
              <w:snapToGrid w:val="0"/>
              <w:jc w:val="left"/>
              <w:rPr>
                <w:rFonts w:cs="宋体" w:asciiTheme="minorEastAsia" w:hAnsiTheme="minorEastAsia" w:eastAsiaTheme="minorEastAsia"/>
                <w:sz w:val="20"/>
                <w:szCs w:val="20"/>
              </w:rPr>
            </w:pPr>
          </w:p>
        </w:tc>
        <w:tc>
          <w:tcPr>
            <w:tcW w:w="1048" w:type="dxa"/>
            <w:vMerge w:val="continue"/>
            <w:vAlign w:val="center"/>
          </w:tcPr>
          <w:p>
            <w:pPr>
              <w:snapToGrid w:val="0"/>
              <w:jc w:val="center"/>
              <w:rPr>
                <w:rFonts w:cs="宋体" w:asciiTheme="minorEastAsia" w:hAnsiTheme="minorEastAsia" w:eastAsiaTheme="minorEastAsia"/>
                <w:sz w:val="20"/>
                <w:szCs w:val="20"/>
              </w:rPr>
            </w:pPr>
          </w:p>
        </w:tc>
        <w:tc>
          <w:tcPr>
            <w:tcW w:w="2352"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雷电、暴雨雪、大风、冰雹、极端温度等恶劣气候</w:t>
            </w:r>
          </w:p>
        </w:tc>
        <w:tc>
          <w:tcPr>
            <w:tcW w:w="172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防护措施不到位、极端天气前后的安全检查不到位</w:t>
            </w:r>
          </w:p>
        </w:tc>
        <w:tc>
          <w:tcPr>
            <w:tcW w:w="1927"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影响工程运行安全</w:t>
            </w:r>
          </w:p>
        </w:tc>
        <w:tc>
          <w:tcPr>
            <w:tcW w:w="869"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LS法</w:t>
            </w:r>
          </w:p>
        </w:tc>
        <w:tc>
          <w:tcPr>
            <w:tcW w:w="81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3～18</w:t>
            </w:r>
          </w:p>
        </w:tc>
        <w:tc>
          <w:tcPr>
            <w:tcW w:w="84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w:t>
            </w:r>
          </w:p>
        </w:tc>
        <w:tc>
          <w:tcPr>
            <w:tcW w:w="84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3～100</w:t>
            </w:r>
          </w:p>
        </w:tc>
        <w:tc>
          <w:tcPr>
            <w:tcW w:w="111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9～1800</w:t>
            </w:r>
          </w:p>
        </w:tc>
        <w:tc>
          <w:tcPr>
            <w:tcW w:w="108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低～重大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19"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87</w:t>
            </w:r>
          </w:p>
        </w:tc>
        <w:tc>
          <w:tcPr>
            <w:tcW w:w="942" w:type="dxa"/>
            <w:vMerge w:val="continue"/>
            <w:vAlign w:val="center"/>
          </w:tcPr>
          <w:p>
            <w:pPr>
              <w:snapToGrid w:val="0"/>
              <w:jc w:val="left"/>
              <w:rPr>
                <w:rFonts w:cs="宋体" w:asciiTheme="minorEastAsia" w:hAnsiTheme="minorEastAsia" w:eastAsiaTheme="minorEastAsia"/>
                <w:sz w:val="20"/>
                <w:szCs w:val="20"/>
              </w:rPr>
            </w:pPr>
          </w:p>
        </w:tc>
        <w:tc>
          <w:tcPr>
            <w:tcW w:w="1048" w:type="dxa"/>
            <w:vMerge w:val="continue"/>
            <w:vAlign w:val="center"/>
          </w:tcPr>
          <w:p>
            <w:pPr>
              <w:snapToGrid w:val="0"/>
              <w:jc w:val="center"/>
              <w:rPr>
                <w:rFonts w:cs="宋体" w:asciiTheme="minorEastAsia" w:hAnsiTheme="minorEastAsia" w:eastAsiaTheme="minorEastAsia"/>
                <w:sz w:val="20"/>
                <w:szCs w:val="20"/>
              </w:rPr>
            </w:pPr>
          </w:p>
        </w:tc>
        <w:tc>
          <w:tcPr>
            <w:tcW w:w="2352"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结构受侵蚀性介质作用</w:t>
            </w:r>
          </w:p>
        </w:tc>
        <w:tc>
          <w:tcPr>
            <w:tcW w:w="172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侵蚀性介质接触</w:t>
            </w:r>
          </w:p>
        </w:tc>
        <w:tc>
          <w:tcPr>
            <w:tcW w:w="1927"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建筑物结构损坏</w:t>
            </w:r>
          </w:p>
        </w:tc>
        <w:tc>
          <w:tcPr>
            <w:tcW w:w="869"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LS法</w:t>
            </w:r>
          </w:p>
        </w:tc>
        <w:tc>
          <w:tcPr>
            <w:tcW w:w="81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3～18</w:t>
            </w:r>
          </w:p>
        </w:tc>
        <w:tc>
          <w:tcPr>
            <w:tcW w:w="84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w:t>
            </w:r>
          </w:p>
        </w:tc>
        <w:tc>
          <w:tcPr>
            <w:tcW w:w="84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3～100</w:t>
            </w:r>
          </w:p>
        </w:tc>
        <w:tc>
          <w:tcPr>
            <w:tcW w:w="111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9～1800</w:t>
            </w:r>
          </w:p>
        </w:tc>
        <w:tc>
          <w:tcPr>
            <w:tcW w:w="108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低～重大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19"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88</w:t>
            </w:r>
          </w:p>
        </w:tc>
        <w:tc>
          <w:tcPr>
            <w:tcW w:w="942" w:type="dxa"/>
            <w:vMerge w:val="continue"/>
            <w:vAlign w:val="center"/>
          </w:tcPr>
          <w:p>
            <w:pPr>
              <w:snapToGrid w:val="0"/>
              <w:jc w:val="left"/>
              <w:rPr>
                <w:rFonts w:cs="宋体" w:asciiTheme="minorEastAsia" w:hAnsiTheme="minorEastAsia" w:eastAsiaTheme="minorEastAsia"/>
                <w:sz w:val="20"/>
                <w:szCs w:val="20"/>
              </w:rPr>
            </w:pPr>
          </w:p>
        </w:tc>
        <w:tc>
          <w:tcPr>
            <w:tcW w:w="1048" w:type="dxa"/>
            <w:vMerge w:val="continue"/>
            <w:vAlign w:val="center"/>
          </w:tcPr>
          <w:p>
            <w:pPr>
              <w:snapToGrid w:val="0"/>
              <w:jc w:val="center"/>
              <w:rPr>
                <w:rFonts w:cs="宋体" w:asciiTheme="minorEastAsia" w:hAnsiTheme="minorEastAsia" w:eastAsiaTheme="minorEastAsia"/>
                <w:sz w:val="20"/>
                <w:szCs w:val="20"/>
              </w:rPr>
            </w:pPr>
          </w:p>
        </w:tc>
        <w:tc>
          <w:tcPr>
            <w:tcW w:w="2352"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水生生物</w:t>
            </w:r>
          </w:p>
        </w:tc>
        <w:tc>
          <w:tcPr>
            <w:tcW w:w="172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吸附在闸门、门槽上</w:t>
            </w:r>
          </w:p>
        </w:tc>
        <w:tc>
          <w:tcPr>
            <w:tcW w:w="1927"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影响闸门启闭</w:t>
            </w:r>
          </w:p>
        </w:tc>
        <w:tc>
          <w:tcPr>
            <w:tcW w:w="869"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LS法</w:t>
            </w:r>
          </w:p>
        </w:tc>
        <w:tc>
          <w:tcPr>
            <w:tcW w:w="81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3～6</w:t>
            </w:r>
          </w:p>
        </w:tc>
        <w:tc>
          <w:tcPr>
            <w:tcW w:w="84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w:t>
            </w:r>
          </w:p>
        </w:tc>
        <w:tc>
          <w:tcPr>
            <w:tcW w:w="84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3～100</w:t>
            </w:r>
          </w:p>
        </w:tc>
        <w:tc>
          <w:tcPr>
            <w:tcW w:w="111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9～600</w:t>
            </w:r>
          </w:p>
        </w:tc>
        <w:tc>
          <w:tcPr>
            <w:tcW w:w="108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低～重大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19"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89</w:t>
            </w:r>
          </w:p>
        </w:tc>
        <w:tc>
          <w:tcPr>
            <w:tcW w:w="942" w:type="dxa"/>
            <w:vMerge w:val="continue"/>
            <w:vAlign w:val="center"/>
          </w:tcPr>
          <w:p>
            <w:pPr>
              <w:snapToGrid w:val="0"/>
              <w:jc w:val="center"/>
              <w:rPr>
                <w:rFonts w:cs="宋体" w:asciiTheme="minorEastAsia" w:hAnsiTheme="minorEastAsia" w:eastAsiaTheme="minorEastAsia"/>
                <w:sz w:val="20"/>
                <w:szCs w:val="20"/>
              </w:rPr>
            </w:pPr>
          </w:p>
        </w:tc>
        <w:tc>
          <w:tcPr>
            <w:tcW w:w="1048" w:type="dxa"/>
            <w:vMerge w:val="continue"/>
            <w:vAlign w:val="center"/>
          </w:tcPr>
          <w:p>
            <w:pPr>
              <w:snapToGrid w:val="0"/>
              <w:jc w:val="center"/>
              <w:rPr>
                <w:rFonts w:cs="宋体" w:asciiTheme="minorEastAsia" w:hAnsiTheme="minorEastAsia" w:eastAsiaTheme="minorEastAsia"/>
                <w:sz w:val="20"/>
                <w:szCs w:val="20"/>
              </w:rPr>
            </w:pPr>
          </w:p>
        </w:tc>
        <w:tc>
          <w:tcPr>
            <w:tcW w:w="2352"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水面漂浮物、垃圾</w:t>
            </w:r>
          </w:p>
        </w:tc>
        <w:tc>
          <w:tcPr>
            <w:tcW w:w="172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门槽附近堆积</w:t>
            </w:r>
          </w:p>
        </w:tc>
        <w:tc>
          <w:tcPr>
            <w:tcW w:w="1927"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影响闸门启闭</w:t>
            </w:r>
          </w:p>
        </w:tc>
        <w:tc>
          <w:tcPr>
            <w:tcW w:w="869"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LS法</w:t>
            </w:r>
          </w:p>
        </w:tc>
        <w:tc>
          <w:tcPr>
            <w:tcW w:w="81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3～18</w:t>
            </w:r>
          </w:p>
        </w:tc>
        <w:tc>
          <w:tcPr>
            <w:tcW w:w="84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w:t>
            </w:r>
          </w:p>
        </w:tc>
        <w:tc>
          <w:tcPr>
            <w:tcW w:w="84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3～100</w:t>
            </w:r>
          </w:p>
        </w:tc>
        <w:tc>
          <w:tcPr>
            <w:tcW w:w="111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9～1800</w:t>
            </w:r>
          </w:p>
        </w:tc>
        <w:tc>
          <w:tcPr>
            <w:tcW w:w="108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低～重大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19"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90</w:t>
            </w:r>
          </w:p>
        </w:tc>
        <w:tc>
          <w:tcPr>
            <w:tcW w:w="942" w:type="dxa"/>
            <w:vMerge w:val="continue"/>
            <w:vAlign w:val="center"/>
          </w:tcPr>
          <w:p>
            <w:pPr>
              <w:snapToGrid w:val="0"/>
              <w:jc w:val="left"/>
              <w:rPr>
                <w:rFonts w:cs="宋体" w:asciiTheme="minorEastAsia" w:hAnsiTheme="minorEastAsia" w:eastAsiaTheme="minorEastAsia"/>
                <w:sz w:val="20"/>
                <w:szCs w:val="20"/>
              </w:rPr>
            </w:pPr>
          </w:p>
        </w:tc>
        <w:tc>
          <w:tcPr>
            <w:tcW w:w="1048" w:type="dxa"/>
            <w:vMerge w:val="continue"/>
            <w:vAlign w:val="center"/>
          </w:tcPr>
          <w:p>
            <w:pPr>
              <w:snapToGrid w:val="0"/>
              <w:jc w:val="left"/>
              <w:rPr>
                <w:rFonts w:cs="宋体" w:asciiTheme="minorEastAsia" w:hAnsiTheme="minorEastAsia" w:eastAsiaTheme="minorEastAsia"/>
                <w:sz w:val="20"/>
                <w:szCs w:val="20"/>
              </w:rPr>
            </w:pPr>
          </w:p>
        </w:tc>
        <w:tc>
          <w:tcPr>
            <w:tcW w:w="2352"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危险的动、植物</w:t>
            </w:r>
          </w:p>
        </w:tc>
        <w:tc>
          <w:tcPr>
            <w:tcW w:w="172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蜇伤、咬伤、扎伤等</w:t>
            </w:r>
          </w:p>
        </w:tc>
        <w:tc>
          <w:tcPr>
            <w:tcW w:w="1927"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影响人身安全</w:t>
            </w:r>
          </w:p>
        </w:tc>
        <w:tc>
          <w:tcPr>
            <w:tcW w:w="869"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LEC法</w:t>
            </w:r>
          </w:p>
        </w:tc>
        <w:tc>
          <w:tcPr>
            <w:tcW w:w="81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0.5～3</w:t>
            </w:r>
          </w:p>
        </w:tc>
        <w:tc>
          <w:tcPr>
            <w:tcW w:w="84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2～6</w:t>
            </w:r>
          </w:p>
        </w:tc>
        <w:tc>
          <w:tcPr>
            <w:tcW w:w="84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3～7</w:t>
            </w:r>
          </w:p>
        </w:tc>
        <w:tc>
          <w:tcPr>
            <w:tcW w:w="111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3～126</w:t>
            </w:r>
          </w:p>
        </w:tc>
        <w:tc>
          <w:tcPr>
            <w:tcW w:w="108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低～一般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19"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91</w:t>
            </w:r>
          </w:p>
        </w:tc>
        <w:tc>
          <w:tcPr>
            <w:tcW w:w="942" w:type="dxa"/>
            <w:vMerge w:val="continue"/>
            <w:vAlign w:val="center"/>
          </w:tcPr>
          <w:p>
            <w:pPr>
              <w:snapToGrid w:val="0"/>
              <w:jc w:val="left"/>
              <w:rPr>
                <w:rFonts w:cs="宋体" w:asciiTheme="minorEastAsia" w:hAnsiTheme="minorEastAsia" w:eastAsiaTheme="minorEastAsia"/>
                <w:sz w:val="20"/>
                <w:szCs w:val="20"/>
              </w:rPr>
            </w:pPr>
          </w:p>
        </w:tc>
        <w:tc>
          <w:tcPr>
            <w:tcW w:w="1048" w:type="dxa"/>
            <w:vMerge w:val="continue"/>
            <w:vAlign w:val="center"/>
          </w:tcPr>
          <w:p>
            <w:pPr>
              <w:snapToGrid w:val="0"/>
              <w:jc w:val="left"/>
              <w:rPr>
                <w:rFonts w:cs="宋体" w:asciiTheme="minorEastAsia" w:hAnsiTheme="minorEastAsia" w:eastAsiaTheme="minorEastAsia"/>
                <w:sz w:val="20"/>
                <w:szCs w:val="20"/>
              </w:rPr>
            </w:pPr>
          </w:p>
        </w:tc>
        <w:tc>
          <w:tcPr>
            <w:tcW w:w="2352"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老鼠、蛇等</w:t>
            </w:r>
          </w:p>
        </w:tc>
        <w:tc>
          <w:tcPr>
            <w:tcW w:w="172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打洞</w:t>
            </w:r>
          </w:p>
        </w:tc>
        <w:tc>
          <w:tcPr>
            <w:tcW w:w="1927"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影响工程运行安全</w:t>
            </w:r>
          </w:p>
        </w:tc>
        <w:tc>
          <w:tcPr>
            <w:tcW w:w="869"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LS法</w:t>
            </w:r>
          </w:p>
        </w:tc>
        <w:tc>
          <w:tcPr>
            <w:tcW w:w="81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3～18</w:t>
            </w:r>
          </w:p>
        </w:tc>
        <w:tc>
          <w:tcPr>
            <w:tcW w:w="84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w:t>
            </w:r>
          </w:p>
        </w:tc>
        <w:tc>
          <w:tcPr>
            <w:tcW w:w="84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3～100</w:t>
            </w:r>
          </w:p>
        </w:tc>
        <w:tc>
          <w:tcPr>
            <w:tcW w:w="111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9～1800</w:t>
            </w:r>
          </w:p>
        </w:tc>
        <w:tc>
          <w:tcPr>
            <w:tcW w:w="108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低～重大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19" w:type="dxa"/>
            <w:tcBorders>
              <w:bottom w:val="single" w:color="auto" w:sz="4" w:space="0"/>
            </w:tcBorders>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92</w:t>
            </w:r>
          </w:p>
        </w:tc>
        <w:tc>
          <w:tcPr>
            <w:tcW w:w="942" w:type="dxa"/>
            <w:vMerge w:val="continue"/>
            <w:vAlign w:val="center"/>
          </w:tcPr>
          <w:p>
            <w:pPr>
              <w:snapToGrid w:val="0"/>
              <w:jc w:val="left"/>
              <w:rPr>
                <w:rFonts w:cs="宋体" w:asciiTheme="minorEastAsia" w:hAnsiTheme="minorEastAsia" w:eastAsiaTheme="minorEastAsia"/>
                <w:sz w:val="20"/>
                <w:szCs w:val="20"/>
              </w:rPr>
            </w:pPr>
          </w:p>
        </w:tc>
        <w:tc>
          <w:tcPr>
            <w:tcW w:w="1048" w:type="dxa"/>
            <w:vMerge w:val="continue"/>
            <w:tcBorders>
              <w:bottom w:val="single" w:color="auto" w:sz="4" w:space="0"/>
            </w:tcBorders>
            <w:vAlign w:val="center"/>
          </w:tcPr>
          <w:p>
            <w:pPr>
              <w:snapToGrid w:val="0"/>
              <w:jc w:val="left"/>
              <w:rPr>
                <w:rFonts w:cs="宋体" w:asciiTheme="minorEastAsia" w:hAnsiTheme="minorEastAsia" w:eastAsiaTheme="minorEastAsia"/>
                <w:sz w:val="20"/>
                <w:szCs w:val="20"/>
              </w:rPr>
            </w:pPr>
          </w:p>
        </w:tc>
        <w:tc>
          <w:tcPr>
            <w:tcW w:w="2352" w:type="dxa"/>
            <w:tcBorders>
              <w:bottom w:val="single" w:color="auto" w:sz="4" w:space="0"/>
            </w:tcBorders>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有毒有害气体</w:t>
            </w:r>
          </w:p>
        </w:tc>
        <w:tc>
          <w:tcPr>
            <w:tcW w:w="1725" w:type="dxa"/>
            <w:tcBorders>
              <w:bottom w:val="single" w:color="auto" w:sz="4" w:space="0"/>
            </w:tcBorders>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溢出</w:t>
            </w:r>
          </w:p>
        </w:tc>
        <w:tc>
          <w:tcPr>
            <w:tcW w:w="1927" w:type="dxa"/>
            <w:tcBorders>
              <w:bottom w:val="single" w:color="auto" w:sz="4" w:space="0"/>
            </w:tcBorders>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中毒</w:t>
            </w:r>
          </w:p>
        </w:tc>
        <w:tc>
          <w:tcPr>
            <w:tcW w:w="869" w:type="dxa"/>
            <w:tcBorders>
              <w:bottom w:val="single" w:color="auto" w:sz="4" w:space="0"/>
            </w:tcBorders>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LEC法</w:t>
            </w:r>
          </w:p>
        </w:tc>
        <w:tc>
          <w:tcPr>
            <w:tcW w:w="816" w:type="dxa"/>
            <w:tcBorders>
              <w:bottom w:val="single" w:color="auto" w:sz="4" w:space="0"/>
            </w:tcBorders>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0.5～3</w:t>
            </w:r>
          </w:p>
        </w:tc>
        <w:tc>
          <w:tcPr>
            <w:tcW w:w="840" w:type="dxa"/>
            <w:tcBorders>
              <w:bottom w:val="single" w:color="auto" w:sz="4" w:space="0"/>
            </w:tcBorders>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2～6</w:t>
            </w:r>
          </w:p>
        </w:tc>
        <w:tc>
          <w:tcPr>
            <w:tcW w:w="840" w:type="dxa"/>
            <w:tcBorders>
              <w:bottom w:val="single" w:color="auto" w:sz="4" w:space="0"/>
            </w:tcBorders>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3～7</w:t>
            </w:r>
          </w:p>
        </w:tc>
        <w:tc>
          <w:tcPr>
            <w:tcW w:w="1116" w:type="dxa"/>
            <w:tcBorders>
              <w:bottom w:val="single" w:color="auto" w:sz="4" w:space="0"/>
            </w:tcBorders>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3～126</w:t>
            </w:r>
          </w:p>
        </w:tc>
        <w:tc>
          <w:tcPr>
            <w:tcW w:w="1080" w:type="dxa"/>
            <w:tcBorders>
              <w:bottom w:val="single" w:color="auto" w:sz="4" w:space="0"/>
            </w:tcBorders>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低～一般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19" w:type="dxa"/>
            <w:tcBorders>
              <w:top w:val="single" w:color="auto" w:sz="4" w:space="0"/>
              <w:left w:val="single" w:color="auto" w:sz="4" w:space="0"/>
              <w:bottom w:val="single" w:color="auto" w:sz="4" w:space="0"/>
            </w:tcBorders>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93</w:t>
            </w:r>
          </w:p>
        </w:tc>
        <w:tc>
          <w:tcPr>
            <w:tcW w:w="942" w:type="dxa"/>
            <w:vMerge w:val="restart"/>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环境类</w:t>
            </w:r>
          </w:p>
        </w:tc>
        <w:tc>
          <w:tcPr>
            <w:tcW w:w="1048" w:type="dxa"/>
            <w:vMerge w:val="restart"/>
            <w:tcBorders>
              <w:top w:val="single" w:color="auto" w:sz="4" w:space="0"/>
              <w:bottom w:val="single" w:color="auto" w:sz="4" w:space="0"/>
              <w:right w:val="single" w:color="auto" w:sz="4" w:space="0"/>
            </w:tcBorders>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工作环境</w:t>
            </w:r>
          </w:p>
        </w:tc>
        <w:tc>
          <w:tcPr>
            <w:tcW w:w="2352" w:type="dxa"/>
            <w:tcBorders>
              <w:top w:val="single" w:color="auto" w:sz="4" w:space="0"/>
              <w:left w:val="single" w:color="auto" w:sz="4" w:space="0"/>
              <w:bottom w:val="single" w:color="auto" w:sz="4" w:space="0"/>
              <w:right w:val="single" w:color="auto" w:sz="4" w:space="0"/>
            </w:tcBorders>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斜坡、步梯、通道、作业场地</w:t>
            </w:r>
          </w:p>
        </w:tc>
        <w:tc>
          <w:tcPr>
            <w:tcW w:w="1725" w:type="dxa"/>
            <w:tcBorders>
              <w:top w:val="single" w:color="auto" w:sz="4" w:space="0"/>
              <w:left w:val="single" w:color="auto" w:sz="4" w:space="0"/>
              <w:bottom w:val="single" w:color="auto" w:sz="4" w:space="0"/>
              <w:right w:val="single" w:color="auto" w:sz="4" w:space="0"/>
            </w:tcBorders>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结冰或湿滑</w:t>
            </w:r>
          </w:p>
        </w:tc>
        <w:tc>
          <w:tcPr>
            <w:tcW w:w="1927" w:type="dxa"/>
            <w:tcBorders>
              <w:top w:val="single" w:color="auto" w:sz="4" w:space="0"/>
              <w:left w:val="single" w:color="auto" w:sz="4" w:space="0"/>
              <w:bottom w:val="single" w:color="auto" w:sz="4" w:space="0"/>
              <w:right w:val="single" w:color="auto" w:sz="4" w:space="0"/>
            </w:tcBorders>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高处坠落、扭伤、摔伤</w:t>
            </w:r>
          </w:p>
        </w:tc>
        <w:tc>
          <w:tcPr>
            <w:tcW w:w="869" w:type="dxa"/>
            <w:tcBorders>
              <w:top w:val="single" w:color="auto" w:sz="4" w:space="0"/>
              <w:left w:val="single" w:color="auto" w:sz="4" w:space="0"/>
              <w:bottom w:val="single" w:color="auto" w:sz="4" w:space="0"/>
              <w:right w:val="single" w:color="auto" w:sz="4" w:space="0"/>
            </w:tcBorders>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LEC法</w:t>
            </w:r>
          </w:p>
        </w:tc>
        <w:tc>
          <w:tcPr>
            <w:tcW w:w="816" w:type="dxa"/>
            <w:tcBorders>
              <w:top w:val="single" w:color="auto" w:sz="4" w:space="0"/>
              <w:left w:val="single" w:color="auto" w:sz="4" w:space="0"/>
              <w:bottom w:val="single" w:color="auto" w:sz="4" w:space="0"/>
              <w:right w:val="single" w:color="auto" w:sz="4" w:space="0"/>
            </w:tcBorders>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0.5～3</w:t>
            </w:r>
          </w:p>
        </w:tc>
        <w:tc>
          <w:tcPr>
            <w:tcW w:w="840" w:type="dxa"/>
            <w:tcBorders>
              <w:top w:val="single" w:color="auto" w:sz="4" w:space="0"/>
              <w:left w:val="single" w:color="auto" w:sz="4" w:space="0"/>
              <w:bottom w:val="single" w:color="auto" w:sz="4" w:space="0"/>
              <w:right w:val="single" w:color="auto" w:sz="4" w:space="0"/>
            </w:tcBorders>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2～6</w:t>
            </w:r>
          </w:p>
        </w:tc>
        <w:tc>
          <w:tcPr>
            <w:tcW w:w="840" w:type="dxa"/>
            <w:tcBorders>
              <w:top w:val="single" w:color="auto" w:sz="4" w:space="0"/>
              <w:left w:val="single" w:color="auto" w:sz="4" w:space="0"/>
              <w:bottom w:val="single" w:color="auto" w:sz="4" w:space="0"/>
              <w:right w:val="single" w:color="auto" w:sz="4" w:space="0"/>
            </w:tcBorders>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3～7</w:t>
            </w:r>
          </w:p>
        </w:tc>
        <w:tc>
          <w:tcPr>
            <w:tcW w:w="1116" w:type="dxa"/>
            <w:tcBorders>
              <w:top w:val="single" w:color="auto" w:sz="4" w:space="0"/>
              <w:left w:val="single" w:color="auto" w:sz="4" w:space="0"/>
              <w:bottom w:val="single" w:color="auto" w:sz="4" w:space="0"/>
              <w:right w:val="single" w:color="auto" w:sz="4" w:space="0"/>
            </w:tcBorders>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3～126</w:t>
            </w:r>
          </w:p>
        </w:tc>
        <w:tc>
          <w:tcPr>
            <w:tcW w:w="1080" w:type="dxa"/>
            <w:tcBorders>
              <w:top w:val="single" w:color="auto" w:sz="4" w:space="0"/>
              <w:left w:val="single" w:color="auto" w:sz="4" w:space="0"/>
              <w:bottom w:val="single" w:color="auto" w:sz="4" w:space="0"/>
              <w:right w:val="single" w:color="auto" w:sz="4" w:space="0"/>
            </w:tcBorders>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低～一般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19" w:type="dxa"/>
            <w:tcBorders>
              <w:top w:val="single" w:color="auto" w:sz="4" w:space="0"/>
              <w:left w:val="single" w:color="auto" w:sz="4" w:space="0"/>
              <w:bottom w:val="single" w:color="auto" w:sz="4" w:space="0"/>
            </w:tcBorders>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94</w:t>
            </w:r>
          </w:p>
        </w:tc>
        <w:tc>
          <w:tcPr>
            <w:tcW w:w="942" w:type="dxa"/>
            <w:vMerge w:val="continue"/>
            <w:vAlign w:val="center"/>
          </w:tcPr>
          <w:p>
            <w:pPr>
              <w:snapToGrid w:val="0"/>
              <w:jc w:val="left"/>
              <w:rPr>
                <w:rFonts w:cs="宋体" w:asciiTheme="minorEastAsia" w:hAnsiTheme="minorEastAsia" w:eastAsiaTheme="minorEastAsia"/>
                <w:sz w:val="20"/>
                <w:szCs w:val="20"/>
              </w:rPr>
            </w:pPr>
          </w:p>
        </w:tc>
        <w:tc>
          <w:tcPr>
            <w:tcW w:w="1048" w:type="dxa"/>
            <w:vMerge w:val="continue"/>
            <w:tcBorders>
              <w:top w:val="single" w:color="auto" w:sz="4" w:space="0"/>
              <w:bottom w:val="single" w:color="auto" w:sz="4" w:space="0"/>
              <w:right w:val="single" w:color="auto" w:sz="4" w:space="0"/>
            </w:tcBorders>
            <w:vAlign w:val="center"/>
          </w:tcPr>
          <w:p>
            <w:pPr>
              <w:snapToGrid w:val="0"/>
              <w:jc w:val="left"/>
              <w:rPr>
                <w:rFonts w:cs="宋体" w:asciiTheme="minorEastAsia" w:hAnsiTheme="minorEastAsia" w:eastAsiaTheme="minorEastAsia"/>
                <w:sz w:val="20"/>
                <w:szCs w:val="20"/>
              </w:rPr>
            </w:pPr>
          </w:p>
        </w:tc>
        <w:tc>
          <w:tcPr>
            <w:tcW w:w="2352" w:type="dxa"/>
            <w:tcBorders>
              <w:top w:val="single" w:color="auto" w:sz="4" w:space="0"/>
              <w:left w:val="single" w:color="auto" w:sz="4" w:space="0"/>
              <w:bottom w:val="single" w:color="auto" w:sz="4" w:space="0"/>
              <w:right w:val="single" w:color="auto" w:sz="4" w:space="0"/>
            </w:tcBorders>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临边、临水部位</w:t>
            </w:r>
          </w:p>
        </w:tc>
        <w:tc>
          <w:tcPr>
            <w:tcW w:w="1725" w:type="dxa"/>
            <w:tcBorders>
              <w:top w:val="single" w:color="auto" w:sz="4" w:space="0"/>
              <w:left w:val="single" w:color="auto" w:sz="4" w:space="0"/>
              <w:bottom w:val="single" w:color="auto" w:sz="4" w:space="0"/>
              <w:right w:val="single" w:color="auto" w:sz="4" w:space="0"/>
            </w:tcBorders>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防护措施不到位</w:t>
            </w:r>
          </w:p>
        </w:tc>
        <w:tc>
          <w:tcPr>
            <w:tcW w:w="1927" w:type="dxa"/>
            <w:tcBorders>
              <w:top w:val="single" w:color="auto" w:sz="4" w:space="0"/>
              <w:left w:val="single" w:color="auto" w:sz="4" w:space="0"/>
              <w:bottom w:val="single" w:color="auto" w:sz="4" w:space="0"/>
              <w:right w:val="single" w:color="auto" w:sz="4" w:space="0"/>
            </w:tcBorders>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高处坠落、淹溺</w:t>
            </w:r>
          </w:p>
        </w:tc>
        <w:tc>
          <w:tcPr>
            <w:tcW w:w="869" w:type="dxa"/>
            <w:tcBorders>
              <w:top w:val="single" w:color="auto" w:sz="4" w:space="0"/>
              <w:left w:val="single" w:color="auto" w:sz="4" w:space="0"/>
              <w:bottom w:val="single" w:color="auto" w:sz="4" w:space="0"/>
              <w:right w:val="single" w:color="auto" w:sz="4" w:space="0"/>
            </w:tcBorders>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LEC法</w:t>
            </w:r>
          </w:p>
        </w:tc>
        <w:tc>
          <w:tcPr>
            <w:tcW w:w="816" w:type="dxa"/>
            <w:tcBorders>
              <w:top w:val="single" w:color="auto" w:sz="4" w:space="0"/>
              <w:left w:val="single" w:color="auto" w:sz="4" w:space="0"/>
              <w:bottom w:val="single" w:color="auto" w:sz="4" w:space="0"/>
              <w:right w:val="single" w:color="auto" w:sz="4" w:space="0"/>
            </w:tcBorders>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0.5～3</w:t>
            </w:r>
          </w:p>
        </w:tc>
        <w:tc>
          <w:tcPr>
            <w:tcW w:w="840" w:type="dxa"/>
            <w:tcBorders>
              <w:top w:val="single" w:color="auto" w:sz="4" w:space="0"/>
              <w:left w:val="single" w:color="auto" w:sz="4" w:space="0"/>
              <w:bottom w:val="single" w:color="auto" w:sz="4" w:space="0"/>
              <w:right w:val="single" w:color="auto" w:sz="4" w:space="0"/>
            </w:tcBorders>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2～6</w:t>
            </w:r>
          </w:p>
        </w:tc>
        <w:tc>
          <w:tcPr>
            <w:tcW w:w="840" w:type="dxa"/>
            <w:tcBorders>
              <w:top w:val="single" w:color="auto" w:sz="4" w:space="0"/>
              <w:left w:val="single" w:color="auto" w:sz="4" w:space="0"/>
              <w:bottom w:val="single" w:color="auto" w:sz="4" w:space="0"/>
              <w:right w:val="single" w:color="auto" w:sz="4" w:space="0"/>
            </w:tcBorders>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3～7</w:t>
            </w:r>
          </w:p>
        </w:tc>
        <w:tc>
          <w:tcPr>
            <w:tcW w:w="1116" w:type="dxa"/>
            <w:tcBorders>
              <w:top w:val="single" w:color="auto" w:sz="4" w:space="0"/>
              <w:left w:val="single" w:color="auto" w:sz="4" w:space="0"/>
              <w:bottom w:val="single" w:color="auto" w:sz="4" w:space="0"/>
              <w:right w:val="single" w:color="auto" w:sz="4" w:space="0"/>
            </w:tcBorders>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3～126</w:t>
            </w:r>
          </w:p>
        </w:tc>
        <w:tc>
          <w:tcPr>
            <w:tcW w:w="1080" w:type="dxa"/>
            <w:tcBorders>
              <w:top w:val="single" w:color="auto" w:sz="4" w:space="0"/>
              <w:left w:val="single" w:color="auto" w:sz="4" w:space="0"/>
              <w:bottom w:val="single" w:color="auto" w:sz="4" w:space="0"/>
              <w:right w:val="single" w:color="auto" w:sz="4" w:space="0"/>
            </w:tcBorders>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低～一般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19" w:type="dxa"/>
            <w:tcBorders>
              <w:top w:val="single" w:color="auto" w:sz="4" w:space="0"/>
              <w:left w:val="single" w:color="auto" w:sz="4" w:space="0"/>
              <w:bottom w:val="single" w:color="auto" w:sz="4" w:space="0"/>
            </w:tcBorders>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95</w:t>
            </w:r>
          </w:p>
        </w:tc>
        <w:tc>
          <w:tcPr>
            <w:tcW w:w="942" w:type="dxa"/>
            <w:vMerge w:val="continue"/>
            <w:vAlign w:val="center"/>
          </w:tcPr>
          <w:p>
            <w:pPr>
              <w:snapToGrid w:val="0"/>
              <w:jc w:val="left"/>
              <w:rPr>
                <w:rFonts w:cs="宋体" w:asciiTheme="minorEastAsia" w:hAnsiTheme="minorEastAsia" w:eastAsiaTheme="minorEastAsia"/>
                <w:sz w:val="20"/>
                <w:szCs w:val="20"/>
              </w:rPr>
            </w:pPr>
          </w:p>
        </w:tc>
        <w:tc>
          <w:tcPr>
            <w:tcW w:w="1048" w:type="dxa"/>
            <w:vMerge w:val="continue"/>
            <w:tcBorders>
              <w:top w:val="single" w:color="auto" w:sz="4" w:space="0"/>
              <w:bottom w:val="single" w:color="auto" w:sz="4" w:space="0"/>
              <w:right w:val="single" w:color="auto" w:sz="4" w:space="0"/>
            </w:tcBorders>
            <w:vAlign w:val="center"/>
          </w:tcPr>
          <w:p>
            <w:pPr>
              <w:snapToGrid w:val="0"/>
              <w:jc w:val="left"/>
              <w:rPr>
                <w:rFonts w:cs="宋体" w:asciiTheme="minorEastAsia" w:hAnsiTheme="minorEastAsia" w:eastAsiaTheme="minorEastAsia"/>
                <w:sz w:val="20"/>
                <w:szCs w:val="20"/>
              </w:rPr>
            </w:pPr>
          </w:p>
        </w:tc>
        <w:tc>
          <w:tcPr>
            <w:tcW w:w="2352" w:type="dxa"/>
            <w:tcBorders>
              <w:top w:val="single" w:color="auto" w:sz="4" w:space="0"/>
              <w:left w:val="single" w:color="auto" w:sz="4" w:space="0"/>
              <w:bottom w:val="single" w:color="auto" w:sz="4" w:space="0"/>
              <w:right w:val="single" w:color="auto" w:sz="4" w:space="0"/>
            </w:tcBorders>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人员密集活动</w:t>
            </w:r>
          </w:p>
        </w:tc>
        <w:tc>
          <w:tcPr>
            <w:tcW w:w="1725" w:type="dxa"/>
            <w:tcBorders>
              <w:top w:val="single" w:color="auto" w:sz="4" w:space="0"/>
              <w:left w:val="single" w:color="auto" w:sz="4" w:space="0"/>
              <w:bottom w:val="single" w:color="auto" w:sz="4" w:space="0"/>
              <w:right w:val="single" w:color="auto" w:sz="4" w:space="0"/>
            </w:tcBorders>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拥挤、踩踏</w:t>
            </w:r>
          </w:p>
        </w:tc>
        <w:tc>
          <w:tcPr>
            <w:tcW w:w="1927" w:type="dxa"/>
            <w:tcBorders>
              <w:top w:val="single" w:color="auto" w:sz="4" w:space="0"/>
              <w:left w:val="single" w:color="auto" w:sz="4" w:space="0"/>
              <w:bottom w:val="single" w:color="auto" w:sz="4" w:space="0"/>
              <w:right w:val="single" w:color="auto" w:sz="4" w:space="0"/>
            </w:tcBorders>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人员伤亡</w:t>
            </w:r>
          </w:p>
        </w:tc>
        <w:tc>
          <w:tcPr>
            <w:tcW w:w="869" w:type="dxa"/>
            <w:tcBorders>
              <w:top w:val="single" w:color="auto" w:sz="4" w:space="0"/>
              <w:left w:val="single" w:color="auto" w:sz="4" w:space="0"/>
              <w:bottom w:val="single" w:color="auto" w:sz="4" w:space="0"/>
              <w:right w:val="single" w:color="auto" w:sz="4" w:space="0"/>
            </w:tcBorders>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LEC法</w:t>
            </w:r>
          </w:p>
        </w:tc>
        <w:tc>
          <w:tcPr>
            <w:tcW w:w="816" w:type="dxa"/>
            <w:tcBorders>
              <w:top w:val="single" w:color="auto" w:sz="4" w:space="0"/>
              <w:left w:val="single" w:color="auto" w:sz="4" w:space="0"/>
              <w:bottom w:val="single" w:color="auto" w:sz="4" w:space="0"/>
              <w:right w:val="single" w:color="auto" w:sz="4" w:space="0"/>
            </w:tcBorders>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0.5～1</w:t>
            </w:r>
          </w:p>
        </w:tc>
        <w:tc>
          <w:tcPr>
            <w:tcW w:w="840" w:type="dxa"/>
            <w:tcBorders>
              <w:top w:val="single" w:color="auto" w:sz="4" w:space="0"/>
              <w:left w:val="single" w:color="auto" w:sz="4" w:space="0"/>
              <w:bottom w:val="single" w:color="auto" w:sz="4" w:space="0"/>
              <w:right w:val="single" w:color="auto" w:sz="4" w:space="0"/>
            </w:tcBorders>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0.5～3</w:t>
            </w:r>
          </w:p>
        </w:tc>
        <w:tc>
          <w:tcPr>
            <w:tcW w:w="840" w:type="dxa"/>
            <w:tcBorders>
              <w:top w:val="single" w:color="auto" w:sz="4" w:space="0"/>
              <w:left w:val="single" w:color="auto" w:sz="4" w:space="0"/>
              <w:bottom w:val="single" w:color="auto" w:sz="4" w:space="0"/>
              <w:right w:val="single" w:color="auto" w:sz="4" w:space="0"/>
            </w:tcBorders>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3～40</w:t>
            </w:r>
          </w:p>
        </w:tc>
        <w:tc>
          <w:tcPr>
            <w:tcW w:w="1116" w:type="dxa"/>
            <w:tcBorders>
              <w:top w:val="single" w:color="auto" w:sz="4" w:space="0"/>
              <w:left w:val="single" w:color="auto" w:sz="4" w:space="0"/>
              <w:bottom w:val="single" w:color="auto" w:sz="4" w:space="0"/>
              <w:right w:val="single" w:color="auto" w:sz="4" w:space="0"/>
            </w:tcBorders>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0.75～120</w:t>
            </w:r>
          </w:p>
        </w:tc>
        <w:tc>
          <w:tcPr>
            <w:tcW w:w="1080" w:type="dxa"/>
            <w:tcBorders>
              <w:top w:val="single" w:color="auto" w:sz="4" w:space="0"/>
              <w:left w:val="single" w:color="auto" w:sz="4" w:space="0"/>
              <w:bottom w:val="single" w:color="auto" w:sz="4" w:space="0"/>
              <w:right w:val="single" w:color="auto" w:sz="4" w:space="0"/>
            </w:tcBorders>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低～一般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19" w:type="dxa"/>
            <w:tcBorders>
              <w:top w:val="single" w:color="auto" w:sz="4" w:space="0"/>
              <w:left w:val="single" w:color="auto" w:sz="4" w:space="0"/>
              <w:bottom w:val="single" w:color="auto" w:sz="4" w:space="0"/>
            </w:tcBorders>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96</w:t>
            </w:r>
          </w:p>
        </w:tc>
        <w:tc>
          <w:tcPr>
            <w:tcW w:w="942" w:type="dxa"/>
            <w:vMerge w:val="continue"/>
            <w:vAlign w:val="center"/>
          </w:tcPr>
          <w:p>
            <w:pPr>
              <w:snapToGrid w:val="0"/>
              <w:jc w:val="left"/>
              <w:rPr>
                <w:rFonts w:cs="宋体" w:asciiTheme="minorEastAsia" w:hAnsiTheme="minorEastAsia" w:eastAsiaTheme="minorEastAsia"/>
                <w:sz w:val="20"/>
                <w:szCs w:val="20"/>
              </w:rPr>
            </w:pPr>
          </w:p>
        </w:tc>
        <w:tc>
          <w:tcPr>
            <w:tcW w:w="1048" w:type="dxa"/>
            <w:vMerge w:val="continue"/>
            <w:tcBorders>
              <w:top w:val="single" w:color="auto" w:sz="4" w:space="0"/>
              <w:bottom w:val="single" w:color="auto" w:sz="4" w:space="0"/>
              <w:right w:val="single" w:color="auto" w:sz="4" w:space="0"/>
            </w:tcBorders>
            <w:vAlign w:val="center"/>
          </w:tcPr>
          <w:p>
            <w:pPr>
              <w:snapToGrid w:val="0"/>
              <w:jc w:val="left"/>
              <w:rPr>
                <w:rFonts w:cs="宋体" w:asciiTheme="minorEastAsia" w:hAnsiTheme="minorEastAsia" w:eastAsiaTheme="minorEastAsia"/>
                <w:sz w:val="20"/>
                <w:szCs w:val="20"/>
              </w:rPr>
            </w:pPr>
          </w:p>
        </w:tc>
        <w:tc>
          <w:tcPr>
            <w:tcW w:w="2352" w:type="dxa"/>
            <w:tcBorders>
              <w:top w:val="single" w:color="auto" w:sz="4" w:space="0"/>
              <w:left w:val="single" w:color="auto" w:sz="4" w:space="0"/>
              <w:bottom w:val="single" w:color="auto" w:sz="4" w:space="0"/>
              <w:right w:val="single" w:color="auto" w:sz="4" w:space="0"/>
            </w:tcBorders>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食堂食材</w:t>
            </w:r>
          </w:p>
        </w:tc>
        <w:tc>
          <w:tcPr>
            <w:tcW w:w="1725" w:type="dxa"/>
            <w:tcBorders>
              <w:top w:val="single" w:color="auto" w:sz="4" w:space="0"/>
              <w:left w:val="single" w:color="auto" w:sz="4" w:space="0"/>
              <w:bottom w:val="single" w:color="auto" w:sz="4" w:space="0"/>
              <w:right w:val="single" w:color="auto" w:sz="4" w:space="0"/>
            </w:tcBorders>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有毒物质、变质</w:t>
            </w:r>
          </w:p>
        </w:tc>
        <w:tc>
          <w:tcPr>
            <w:tcW w:w="1927" w:type="dxa"/>
            <w:tcBorders>
              <w:top w:val="single" w:color="auto" w:sz="4" w:space="0"/>
              <w:left w:val="single" w:color="auto" w:sz="4" w:space="0"/>
              <w:bottom w:val="single" w:color="auto" w:sz="4" w:space="0"/>
              <w:right w:val="single" w:color="auto" w:sz="4" w:space="0"/>
            </w:tcBorders>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人员中毒</w:t>
            </w:r>
          </w:p>
        </w:tc>
        <w:tc>
          <w:tcPr>
            <w:tcW w:w="869" w:type="dxa"/>
            <w:tcBorders>
              <w:top w:val="single" w:color="auto" w:sz="4" w:space="0"/>
              <w:left w:val="single" w:color="auto" w:sz="4" w:space="0"/>
              <w:bottom w:val="single" w:color="auto" w:sz="4" w:space="0"/>
              <w:right w:val="single" w:color="auto" w:sz="4" w:space="0"/>
            </w:tcBorders>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LEC法</w:t>
            </w:r>
          </w:p>
        </w:tc>
        <w:tc>
          <w:tcPr>
            <w:tcW w:w="816" w:type="dxa"/>
            <w:tcBorders>
              <w:top w:val="single" w:color="auto" w:sz="4" w:space="0"/>
              <w:left w:val="single" w:color="auto" w:sz="4" w:space="0"/>
              <w:bottom w:val="single" w:color="auto" w:sz="4" w:space="0"/>
              <w:right w:val="single" w:color="auto" w:sz="4" w:space="0"/>
            </w:tcBorders>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0.5～1</w:t>
            </w:r>
          </w:p>
        </w:tc>
        <w:tc>
          <w:tcPr>
            <w:tcW w:w="840" w:type="dxa"/>
            <w:tcBorders>
              <w:top w:val="single" w:color="auto" w:sz="4" w:space="0"/>
              <w:left w:val="single" w:color="auto" w:sz="4" w:space="0"/>
              <w:bottom w:val="single" w:color="auto" w:sz="4" w:space="0"/>
              <w:right w:val="single" w:color="auto" w:sz="4" w:space="0"/>
            </w:tcBorders>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2～6</w:t>
            </w:r>
          </w:p>
        </w:tc>
        <w:tc>
          <w:tcPr>
            <w:tcW w:w="840" w:type="dxa"/>
            <w:tcBorders>
              <w:top w:val="single" w:color="auto" w:sz="4" w:space="0"/>
              <w:left w:val="single" w:color="auto" w:sz="4" w:space="0"/>
              <w:bottom w:val="single" w:color="auto" w:sz="4" w:space="0"/>
              <w:right w:val="single" w:color="auto" w:sz="4" w:space="0"/>
            </w:tcBorders>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3～15</w:t>
            </w:r>
          </w:p>
        </w:tc>
        <w:tc>
          <w:tcPr>
            <w:tcW w:w="1116" w:type="dxa"/>
            <w:tcBorders>
              <w:top w:val="single" w:color="auto" w:sz="4" w:space="0"/>
              <w:left w:val="single" w:color="auto" w:sz="4" w:space="0"/>
              <w:bottom w:val="single" w:color="auto" w:sz="4" w:space="0"/>
              <w:right w:val="single" w:color="auto" w:sz="4" w:space="0"/>
            </w:tcBorders>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3～90</w:t>
            </w:r>
          </w:p>
        </w:tc>
        <w:tc>
          <w:tcPr>
            <w:tcW w:w="1080" w:type="dxa"/>
            <w:tcBorders>
              <w:top w:val="single" w:color="auto" w:sz="4" w:space="0"/>
              <w:left w:val="single" w:color="auto" w:sz="4" w:space="0"/>
              <w:bottom w:val="single" w:color="auto" w:sz="4" w:space="0"/>
              <w:right w:val="single" w:color="auto" w:sz="4" w:space="0"/>
            </w:tcBorders>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低～一般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19" w:type="dxa"/>
            <w:tcBorders>
              <w:top w:val="single" w:color="auto" w:sz="4" w:space="0"/>
              <w:left w:val="single" w:color="auto" w:sz="4" w:space="0"/>
              <w:bottom w:val="single" w:color="auto" w:sz="4" w:space="0"/>
            </w:tcBorders>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97</w:t>
            </w:r>
          </w:p>
        </w:tc>
        <w:tc>
          <w:tcPr>
            <w:tcW w:w="942" w:type="dxa"/>
            <w:vMerge w:val="continue"/>
            <w:vAlign w:val="center"/>
          </w:tcPr>
          <w:p>
            <w:pPr>
              <w:snapToGrid w:val="0"/>
              <w:jc w:val="left"/>
              <w:rPr>
                <w:rFonts w:cs="宋体" w:asciiTheme="minorEastAsia" w:hAnsiTheme="minorEastAsia" w:eastAsiaTheme="minorEastAsia"/>
                <w:sz w:val="20"/>
                <w:szCs w:val="20"/>
              </w:rPr>
            </w:pPr>
          </w:p>
        </w:tc>
        <w:tc>
          <w:tcPr>
            <w:tcW w:w="1048" w:type="dxa"/>
            <w:vMerge w:val="continue"/>
            <w:tcBorders>
              <w:top w:val="single" w:color="auto" w:sz="4" w:space="0"/>
              <w:bottom w:val="single" w:color="auto" w:sz="4" w:space="0"/>
              <w:right w:val="single" w:color="auto" w:sz="4" w:space="0"/>
            </w:tcBorders>
            <w:vAlign w:val="center"/>
          </w:tcPr>
          <w:p>
            <w:pPr>
              <w:snapToGrid w:val="0"/>
              <w:jc w:val="left"/>
              <w:rPr>
                <w:rFonts w:cs="宋体" w:asciiTheme="minorEastAsia" w:hAnsiTheme="minorEastAsia" w:eastAsiaTheme="minorEastAsia"/>
                <w:sz w:val="20"/>
                <w:szCs w:val="20"/>
              </w:rPr>
            </w:pPr>
          </w:p>
        </w:tc>
        <w:tc>
          <w:tcPr>
            <w:tcW w:w="2352" w:type="dxa"/>
            <w:tcBorders>
              <w:top w:val="single" w:color="auto" w:sz="4" w:space="0"/>
              <w:left w:val="single" w:color="auto" w:sz="4" w:space="0"/>
              <w:bottom w:val="single" w:color="auto" w:sz="4" w:space="0"/>
              <w:right w:val="single" w:color="auto" w:sz="4" w:space="0"/>
            </w:tcBorders>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可燃物堆积</w:t>
            </w:r>
          </w:p>
        </w:tc>
        <w:tc>
          <w:tcPr>
            <w:tcW w:w="1725" w:type="dxa"/>
            <w:tcBorders>
              <w:top w:val="single" w:color="auto" w:sz="4" w:space="0"/>
              <w:left w:val="single" w:color="auto" w:sz="4" w:space="0"/>
              <w:bottom w:val="single" w:color="auto" w:sz="4" w:space="0"/>
              <w:right w:val="single" w:color="auto" w:sz="4" w:space="0"/>
            </w:tcBorders>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明火</w:t>
            </w:r>
          </w:p>
        </w:tc>
        <w:tc>
          <w:tcPr>
            <w:tcW w:w="1927" w:type="dxa"/>
            <w:tcBorders>
              <w:top w:val="single" w:color="auto" w:sz="4" w:space="0"/>
              <w:left w:val="single" w:color="auto" w:sz="4" w:space="0"/>
              <w:bottom w:val="single" w:color="auto" w:sz="4" w:space="0"/>
              <w:right w:val="single" w:color="auto" w:sz="4" w:space="0"/>
            </w:tcBorders>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火灾</w:t>
            </w:r>
          </w:p>
        </w:tc>
        <w:tc>
          <w:tcPr>
            <w:tcW w:w="869" w:type="dxa"/>
            <w:tcBorders>
              <w:top w:val="single" w:color="auto" w:sz="4" w:space="0"/>
              <w:left w:val="single" w:color="auto" w:sz="4" w:space="0"/>
              <w:bottom w:val="single" w:color="auto" w:sz="4" w:space="0"/>
              <w:right w:val="single" w:color="auto" w:sz="4" w:space="0"/>
            </w:tcBorders>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LEC法</w:t>
            </w:r>
          </w:p>
        </w:tc>
        <w:tc>
          <w:tcPr>
            <w:tcW w:w="816" w:type="dxa"/>
            <w:tcBorders>
              <w:top w:val="single" w:color="auto" w:sz="4" w:space="0"/>
              <w:left w:val="single" w:color="auto" w:sz="4" w:space="0"/>
              <w:bottom w:val="single" w:color="auto" w:sz="4" w:space="0"/>
              <w:right w:val="single" w:color="auto" w:sz="4" w:space="0"/>
            </w:tcBorders>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0.5～3</w:t>
            </w:r>
          </w:p>
        </w:tc>
        <w:tc>
          <w:tcPr>
            <w:tcW w:w="840" w:type="dxa"/>
            <w:tcBorders>
              <w:top w:val="single" w:color="auto" w:sz="4" w:space="0"/>
              <w:left w:val="single" w:color="auto" w:sz="4" w:space="0"/>
              <w:bottom w:val="single" w:color="auto" w:sz="4" w:space="0"/>
              <w:right w:val="single" w:color="auto" w:sz="4" w:space="0"/>
            </w:tcBorders>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2～6</w:t>
            </w:r>
          </w:p>
        </w:tc>
        <w:tc>
          <w:tcPr>
            <w:tcW w:w="840" w:type="dxa"/>
            <w:tcBorders>
              <w:top w:val="single" w:color="auto" w:sz="4" w:space="0"/>
              <w:left w:val="single" w:color="auto" w:sz="4" w:space="0"/>
              <w:bottom w:val="single" w:color="auto" w:sz="4" w:space="0"/>
              <w:right w:val="single" w:color="auto" w:sz="4" w:space="0"/>
            </w:tcBorders>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3～7</w:t>
            </w:r>
          </w:p>
        </w:tc>
        <w:tc>
          <w:tcPr>
            <w:tcW w:w="1116" w:type="dxa"/>
            <w:tcBorders>
              <w:top w:val="single" w:color="auto" w:sz="4" w:space="0"/>
              <w:left w:val="single" w:color="auto" w:sz="4" w:space="0"/>
              <w:bottom w:val="single" w:color="auto" w:sz="4" w:space="0"/>
              <w:right w:val="single" w:color="auto" w:sz="4" w:space="0"/>
            </w:tcBorders>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3～126</w:t>
            </w:r>
          </w:p>
        </w:tc>
        <w:tc>
          <w:tcPr>
            <w:tcW w:w="1080" w:type="dxa"/>
            <w:tcBorders>
              <w:top w:val="single" w:color="auto" w:sz="4" w:space="0"/>
              <w:left w:val="single" w:color="auto" w:sz="4" w:space="0"/>
              <w:bottom w:val="single" w:color="auto" w:sz="4" w:space="0"/>
              <w:right w:val="single" w:color="auto" w:sz="4" w:space="0"/>
            </w:tcBorders>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低～一般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19" w:type="dxa"/>
            <w:tcBorders>
              <w:top w:val="single" w:color="auto" w:sz="4" w:space="0"/>
              <w:left w:val="single" w:color="auto" w:sz="4" w:space="0"/>
              <w:bottom w:val="single" w:color="auto" w:sz="4" w:space="0"/>
            </w:tcBorders>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98</w:t>
            </w:r>
          </w:p>
        </w:tc>
        <w:tc>
          <w:tcPr>
            <w:tcW w:w="942" w:type="dxa"/>
            <w:vMerge w:val="continue"/>
            <w:vAlign w:val="center"/>
          </w:tcPr>
          <w:p>
            <w:pPr>
              <w:snapToGrid w:val="0"/>
              <w:jc w:val="left"/>
              <w:rPr>
                <w:rFonts w:cs="宋体" w:asciiTheme="minorEastAsia" w:hAnsiTheme="minorEastAsia" w:eastAsiaTheme="minorEastAsia"/>
                <w:sz w:val="20"/>
                <w:szCs w:val="20"/>
              </w:rPr>
            </w:pPr>
          </w:p>
        </w:tc>
        <w:tc>
          <w:tcPr>
            <w:tcW w:w="1048" w:type="dxa"/>
            <w:vMerge w:val="continue"/>
            <w:tcBorders>
              <w:top w:val="single" w:color="auto" w:sz="4" w:space="0"/>
              <w:bottom w:val="single" w:color="auto" w:sz="4" w:space="0"/>
              <w:right w:val="single" w:color="auto" w:sz="4" w:space="0"/>
            </w:tcBorders>
            <w:vAlign w:val="center"/>
          </w:tcPr>
          <w:p>
            <w:pPr>
              <w:snapToGrid w:val="0"/>
              <w:jc w:val="left"/>
              <w:rPr>
                <w:rFonts w:cs="宋体" w:asciiTheme="minorEastAsia" w:hAnsiTheme="minorEastAsia" w:eastAsiaTheme="minorEastAsia"/>
                <w:sz w:val="20"/>
                <w:szCs w:val="20"/>
              </w:rPr>
            </w:pPr>
          </w:p>
        </w:tc>
        <w:tc>
          <w:tcPr>
            <w:tcW w:w="2352" w:type="dxa"/>
            <w:tcBorders>
              <w:top w:val="single" w:color="auto" w:sz="4" w:space="0"/>
              <w:left w:val="single" w:color="auto" w:sz="4" w:space="0"/>
              <w:bottom w:val="single" w:color="auto" w:sz="4" w:space="0"/>
              <w:right w:val="single" w:color="auto" w:sz="4" w:space="0"/>
            </w:tcBorders>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电源插座</w:t>
            </w:r>
          </w:p>
        </w:tc>
        <w:tc>
          <w:tcPr>
            <w:tcW w:w="1725" w:type="dxa"/>
            <w:tcBorders>
              <w:top w:val="single" w:color="auto" w:sz="4" w:space="0"/>
              <w:left w:val="single" w:color="auto" w:sz="4" w:space="0"/>
              <w:bottom w:val="single" w:color="auto" w:sz="4" w:space="0"/>
              <w:right w:val="single" w:color="auto" w:sz="4" w:space="0"/>
            </w:tcBorders>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漏电、短路、线路老化等</w:t>
            </w:r>
          </w:p>
        </w:tc>
        <w:tc>
          <w:tcPr>
            <w:tcW w:w="1927" w:type="dxa"/>
            <w:tcBorders>
              <w:top w:val="single" w:color="auto" w:sz="4" w:space="0"/>
              <w:left w:val="single" w:color="auto" w:sz="4" w:space="0"/>
              <w:bottom w:val="single" w:color="auto" w:sz="4" w:space="0"/>
              <w:right w:val="single" w:color="auto" w:sz="4" w:space="0"/>
            </w:tcBorders>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火灾、触电</w:t>
            </w:r>
          </w:p>
        </w:tc>
        <w:tc>
          <w:tcPr>
            <w:tcW w:w="869" w:type="dxa"/>
            <w:tcBorders>
              <w:top w:val="single" w:color="auto" w:sz="4" w:space="0"/>
              <w:left w:val="single" w:color="auto" w:sz="4" w:space="0"/>
              <w:bottom w:val="single" w:color="auto" w:sz="4" w:space="0"/>
              <w:right w:val="single" w:color="auto" w:sz="4" w:space="0"/>
            </w:tcBorders>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LEC法</w:t>
            </w:r>
          </w:p>
        </w:tc>
        <w:tc>
          <w:tcPr>
            <w:tcW w:w="816" w:type="dxa"/>
            <w:tcBorders>
              <w:top w:val="single" w:color="auto" w:sz="4" w:space="0"/>
              <w:left w:val="single" w:color="auto" w:sz="4" w:space="0"/>
              <w:bottom w:val="single" w:color="auto" w:sz="4" w:space="0"/>
              <w:right w:val="single" w:color="auto" w:sz="4" w:space="0"/>
            </w:tcBorders>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0.5～3</w:t>
            </w:r>
          </w:p>
        </w:tc>
        <w:tc>
          <w:tcPr>
            <w:tcW w:w="840" w:type="dxa"/>
            <w:tcBorders>
              <w:top w:val="single" w:color="auto" w:sz="4" w:space="0"/>
              <w:left w:val="single" w:color="auto" w:sz="4" w:space="0"/>
              <w:bottom w:val="single" w:color="auto" w:sz="4" w:space="0"/>
              <w:right w:val="single" w:color="auto" w:sz="4" w:space="0"/>
            </w:tcBorders>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2～6</w:t>
            </w:r>
          </w:p>
        </w:tc>
        <w:tc>
          <w:tcPr>
            <w:tcW w:w="840" w:type="dxa"/>
            <w:tcBorders>
              <w:top w:val="single" w:color="auto" w:sz="4" w:space="0"/>
              <w:left w:val="single" w:color="auto" w:sz="4" w:space="0"/>
              <w:bottom w:val="single" w:color="auto" w:sz="4" w:space="0"/>
              <w:right w:val="single" w:color="auto" w:sz="4" w:space="0"/>
            </w:tcBorders>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3～7</w:t>
            </w:r>
          </w:p>
        </w:tc>
        <w:tc>
          <w:tcPr>
            <w:tcW w:w="1116" w:type="dxa"/>
            <w:tcBorders>
              <w:top w:val="single" w:color="auto" w:sz="4" w:space="0"/>
              <w:left w:val="single" w:color="auto" w:sz="4" w:space="0"/>
              <w:bottom w:val="single" w:color="auto" w:sz="4" w:space="0"/>
              <w:right w:val="single" w:color="auto" w:sz="4" w:space="0"/>
            </w:tcBorders>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3～126</w:t>
            </w:r>
          </w:p>
        </w:tc>
        <w:tc>
          <w:tcPr>
            <w:tcW w:w="1080" w:type="dxa"/>
            <w:tcBorders>
              <w:top w:val="single" w:color="auto" w:sz="4" w:space="0"/>
              <w:left w:val="single" w:color="auto" w:sz="4" w:space="0"/>
              <w:bottom w:val="single" w:color="auto" w:sz="4" w:space="0"/>
              <w:right w:val="single" w:color="auto" w:sz="4" w:space="0"/>
            </w:tcBorders>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低～一般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19" w:type="dxa"/>
            <w:tcBorders>
              <w:top w:val="single" w:color="auto" w:sz="4" w:space="0"/>
              <w:left w:val="single" w:color="auto" w:sz="4" w:space="0"/>
              <w:bottom w:val="single" w:color="auto" w:sz="4" w:space="0"/>
            </w:tcBorders>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9</w:t>
            </w:r>
            <w:r>
              <w:rPr>
                <w:rFonts w:cs="宋体" w:asciiTheme="minorEastAsia" w:hAnsiTheme="minorEastAsia" w:eastAsiaTheme="minorEastAsia"/>
                <w:sz w:val="20"/>
                <w:szCs w:val="20"/>
              </w:rPr>
              <w:t>9</w:t>
            </w:r>
          </w:p>
        </w:tc>
        <w:tc>
          <w:tcPr>
            <w:tcW w:w="942" w:type="dxa"/>
            <w:vMerge w:val="continue"/>
            <w:vAlign w:val="center"/>
          </w:tcPr>
          <w:p>
            <w:pPr>
              <w:snapToGrid w:val="0"/>
              <w:jc w:val="left"/>
              <w:rPr>
                <w:rFonts w:cs="宋体" w:asciiTheme="minorEastAsia" w:hAnsiTheme="minorEastAsia" w:eastAsiaTheme="minorEastAsia"/>
                <w:sz w:val="20"/>
                <w:szCs w:val="20"/>
              </w:rPr>
            </w:pPr>
          </w:p>
        </w:tc>
        <w:tc>
          <w:tcPr>
            <w:tcW w:w="1048" w:type="dxa"/>
            <w:vMerge w:val="continue"/>
            <w:tcBorders>
              <w:top w:val="single" w:color="auto" w:sz="4" w:space="0"/>
              <w:bottom w:val="single" w:color="auto" w:sz="4" w:space="0"/>
              <w:right w:val="single" w:color="auto" w:sz="4" w:space="0"/>
            </w:tcBorders>
            <w:vAlign w:val="center"/>
          </w:tcPr>
          <w:p>
            <w:pPr>
              <w:snapToGrid w:val="0"/>
              <w:jc w:val="left"/>
              <w:rPr>
                <w:rFonts w:cs="宋体" w:asciiTheme="minorEastAsia" w:hAnsiTheme="minorEastAsia" w:eastAsiaTheme="minorEastAsia"/>
                <w:sz w:val="20"/>
                <w:szCs w:val="20"/>
              </w:rPr>
            </w:pPr>
          </w:p>
        </w:tc>
        <w:tc>
          <w:tcPr>
            <w:tcW w:w="2352" w:type="dxa"/>
            <w:tcBorders>
              <w:top w:val="single" w:color="auto" w:sz="4" w:space="0"/>
              <w:left w:val="single" w:color="auto" w:sz="4" w:space="0"/>
              <w:bottom w:val="single" w:color="auto" w:sz="4" w:space="0"/>
              <w:right w:val="single" w:color="auto" w:sz="4" w:space="0"/>
            </w:tcBorders>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大功率电器使用</w:t>
            </w:r>
          </w:p>
        </w:tc>
        <w:tc>
          <w:tcPr>
            <w:tcW w:w="1725" w:type="dxa"/>
            <w:tcBorders>
              <w:top w:val="single" w:color="auto" w:sz="4" w:space="0"/>
              <w:left w:val="single" w:color="auto" w:sz="4" w:space="0"/>
              <w:bottom w:val="single" w:color="auto" w:sz="4" w:space="0"/>
              <w:right w:val="single" w:color="auto" w:sz="4" w:space="0"/>
            </w:tcBorders>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过载、线路老化、电器质量不合格等</w:t>
            </w:r>
          </w:p>
        </w:tc>
        <w:tc>
          <w:tcPr>
            <w:tcW w:w="1927" w:type="dxa"/>
            <w:tcBorders>
              <w:top w:val="single" w:color="auto" w:sz="4" w:space="0"/>
              <w:left w:val="single" w:color="auto" w:sz="4" w:space="0"/>
              <w:bottom w:val="single" w:color="auto" w:sz="4" w:space="0"/>
              <w:right w:val="single" w:color="auto" w:sz="4" w:space="0"/>
            </w:tcBorders>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火灾</w:t>
            </w:r>
          </w:p>
        </w:tc>
        <w:tc>
          <w:tcPr>
            <w:tcW w:w="869" w:type="dxa"/>
            <w:tcBorders>
              <w:top w:val="single" w:color="auto" w:sz="4" w:space="0"/>
              <w:left w:val="single" w:color="auto" w:sz="4" w:space="0"/>
              <w:bottom w:val="single" w:color="auto" w:sz="4" w:space="0"/>
              <w:right w:val="single" w:color="auto" w:sz="4" w:space="0"/>
            </w:tcBorders>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LEC法</w:t>
            </w:r>
          </w:p>
        </w:tc>
        <w:tc>
          <w:tcPr>
            <w:tcW w:w="816" w:type="dxa"/>
            <w:tcBorders>
              <w:top w:val="single" w:color="auto" w:sz="4" w:space="0"/>
              <w:left w:val="single" w:color="auto" w:sz="4" w:space="0"/>
              <w:bottom w:val="single" w:color="auto" w:sz="4" w:space="0"/>
              <w:right w:val="single" w:color="auto" w:sz="4" w:space="0"/>
            </w:tcBorders>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0.5～3</w:t>
            </w:r>
          </w:p>
        </w:tc>
        <w:tc>
          <w:tcPr>
            <w:tcW w:w="840" w:type="dxa"/>
            <w:tcBorders>
              <w:top w:val="single" w:color="auto" w:sz="4" w:space="0"/>
              <w:left w:val="single" w:color="auto" w:sz="4" w:space="0"/>
              <w:bottom w:val="single" w:color="auto" w:sz="4" w:space="0"/>
              <w:right w:val="single" w:color="auto" w:sz="4" w:space="0"/>
            </w:tcBorders>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2～6</w:t>
            </w:r>
          </w:p>
        </w:tc>
        <w:tc>
          <w:tcPr>
            <w:tcW w:w="840" w:type="dxa"/>
            <w:tcBorders>
              <w:top w:val="single" w:color="auto" w:sz="4" w:space="0"/>
              <w:left w:val="single" w:color="auto" w:sz="4" w:space="0"/>
              <w:bottom w:val="single" w:color="auto" w:sz="4" w:space="0"/>
              <w:right w:val="single" w:color="auto" w:sz="4" w:space="0"/>
            </w:tcBorders>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3～7</w:t>
            </w:r>
          </w:p>
        </w:tc>
        <w:tc>
          <w:tcPr>
            <w:tcW w:w="1116" w:type="dxa"/>
            <w:tcBorders>
              <w:top w:val="single" w:color="auto" w:sz="4" w:space="0"/>
              <w:left w:val="single" w:color="auto" w:sz="4" w:space="0"/>
              <w:bottom w:val="single" w:color="auto" w:sz="4" w:space="0"/>
              <w:right w:val="single" w:color="auto" w:sz="4" w:space="0"/>
            </w:tcBorders>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3～126</w:t>
            </w:r>
          </w:p>
        </w:tc>
        <w:tc>
          <w:tcPr>
            <w:tcW w:w="1080" w:type="dxa"/>
            <w:tcBorders>
              <w:top w:val="single" w:color="auto" w:sz="4" w:space="0"/>
              <w:left w:val="single" w:color="auto" w:sz="4" w:space="0"/>
              <w:bottom w:val="single" w:color="auto" w:sz="4" w:space="0"/>
              <w:right w:val="single" w:color="auto" w:sz="4" w:space="0"/>
            </w:tcBorders>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低～一般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19" w:type="dxa"/>
            <w:tcBorders>
              <w:top w:val="single" w:color="auto" w:sz="4" w:space="0"/>
              <w:left w:val="single" w:color="auto" w:sz="4" w:space="0"/>
              <w:bottom w:val="single" w:color="auto" w:sz="4" w:space="0"/>
            </w:tcBorders>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1</w:t>
            </w:r>
            <w:r>
              <w:rPr>
                <w:rFonts w:cs="宋体" w:asciiTheme="minorEastAsia" w:hAnsiTheme="minorEastAsia" w:eastAsiaTheme="minorEastAsia"/>
                <w:sz w:val="20"/>
                <w:szCs w:val="20"/>
              </w:rPr>
              <w:t>00</w:t>
            </w:r>
          </w:p>
        </w:tc>
        <w:tc>
          <w:tcPr>
            <w:tcW w:w="942" w:type="dxa"/>
            <w:vMerge w:val="continue"/>
            <w:tcBorders>
              <w:bottom w:val="single" w:color="auto" w:sz="4" w:space="0"/>
            </w:tcBorders>
            <w:vAlign w:val="center"/>
          </w:tcPr>
          <w:p>
            <w:pPr>
              <w:snapToGrid w:val="0"/>
              <w:jc w:val="left"/>
              <w:rPr>
                <w:rFonts w:cs="宋体" w:asciiTheme="minorEastAsia" w:hAnsiTheme="minorEastAsia" w:eastAsiaTheme="minorEastAsia"/>
                <w:sz w:val="20"/>
                <w:szCs w:val="20"/>
              </w:rPr>
            </w:pPr>
          </w:p>
        </w:tc>
        <w:tc>
          <w:tcPr>
            <w:tcW w:w="1048" w:type="dxa"/>
            <w:vMerge w:val="continue"/>
            <w:tcBorders>
              <w:top w:val="single" w:color="auto" w:sz="4" w:space="0"/>
              <w:bottom w:val="single" w:color="auto" w:sz="4" w:space="0"/>
              <w:right w:val="single" w:color="auto" w:sz="4" w:space="0"/>
            </w:tcBorders>
            <w:vAlign w:val="center"/>
          </w:tcPr>
          <w:p>
            <w:pPr>
              <w:snapToGrid w:val="0"/>
              <w:jc w:val="left"/>
              <w:rPr>
                <w:rFonts w:cs="宋体" w:asciiTheme="minorEastAsia" w:hAnsiTheme="minorEastAsia" w:eastAsiaTheme="minorEastAsia"/>
                <w:sz w:val="20"/>
                <w:szCs w:val="20"/>
              </w:rPr>
            </w:pPr>
          </w:p>
        </w:tc>
        <w:tc>
          <w:tcPr>
            <w:tcW w:w="2352" w:type="dxa"/>
            <w:tcBorders>
              <w:top w:val="single" w:color="auto" w:sz="4" w:space="0"/>
              <w:left w:val="single" w:color="auto" w:sz="4" w:space="0"/>
              <w:bottom w:val="single" w:color="auto" w:sz="4" w:space="0"/>
              <w:right w:val="single" w:color="auto" w:sz="4" w:space="0"/>
            </w:tcBorders>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游客的活动</w:t>
            </w:r>
          </w:p>
        </w:tc>
        <w:tc>
          <w:tcPr>
            <w:tcW w:w="1725" w:type="dxa"/>
            <w:tcBorders>
              <w:top w:val="single" w:color="auto" w:sz="4" w:space="0"/>
              <w:left w:val="single" w:color="auto" w:sz="4" w:space="0"/>
              <w:bottom w:val="single" w:color="auto" w:sz="4" w:space="0"/>
              <w:right w:val="single" w:color="auto" w:sz="4" w:space="0"/>
            </w:tcBorders>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管理不到位、防护措施不到位、安全意识不足等</w:t>
            </w:r>
          </w:p>
        </w:tc>
        <w:tc>
          <w:tcPr>
            <w:tcW w:w="1927" w:type="dxa"/>
            <w:tcBorders>
              <w:top w:val="single" w:color="auto" w:sz="4" w:space="0"/>
              <w:left w:val="single" w:color="auto" w:sz="4" w:space="0"/>
              <w:bottom w:val="single" w:color="auto" w:sz="4" w:space="0"/>
              <w:right w:val="single" w:color="auto" w:sz="4" w:space="0"/>
            </w:tcBorders>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高处坠落、触电</w:t>
            </w:r>
          </w:p>
        </w:tc>
        <w:tc>
          <w:tcPr>
            <w:tcW w:w="869" w:type="dxa"/>
            <w:tcBorders>
              <w:top w:val="single" w:color="auto" w:sz="4" w:space="0"/>
              <w:left w:val="single" w:color="auto" w:sz="4" w:space="0"/>
              <w:bottom w:val="single" w:color="auto" w:sz="4" w:space="0"/>
              <w:right w:val="single" w:color="auto" w:sz="4" w:space="0"/>
            </w:tcBorders>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LEC法</w:t>
            </w:r>
          </w:p>
        </w:tc>
        <w:tc>
          <w:tcPr>
            <w:tcW w:w="816" w:type="dxa"/>
            <w:tcBorders>
              <w:top w:val="single" w:color="auto" w:sz="4" w:space="0"/>
              <w:left w:val="single" w:color="auto" w:sz="4" w:space="0"/>
              <w:bottom w:val="single" w:color="auto" w:sz="4" w:space="0"/>
              <w:right w:val="single" w:color="auto" w:sz="4" w:space="0"/>
            </w:tcBorders>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0.5～3</w:t>
            </w:r>
          </w:p>
        </w:tc>
        <w:tc>
          <w:tcPr>
            <w:tcW w:w="840" w:type="dxa"/>
            <w:tcBorders>
              <w:top w:val="single" w:color="auto" w:sz="4" w:space="0"/>
              <w:left w:val="single" w:color="auto" w:sz="4" w:space="0"/>
              <w:bottom w:val="single" w:color="auto" w:sz="4" w:space="0"/>
              <w:right w:val="single" w:color="auto" w:sz="4" w:space="0"/>
            </w:tcBorders>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2～6</w:t>
            </w:r>
          </w:p>
        </w:tc>
        <w:tc>
          <w:tcPr>
            <w:tcW w:w="840" w:type="dxa"/>
            <w:tcBorders>
              <w:top w:val="single" w:color="auto" w:sz="4" w:space="0"/>
              <w:left w:val="single" w:color="auto" w:sz="4" w:space="0"/>
              <w:bottom w:val="single" w:color="auto" w:sz="4" w:space="0"/>
              <w:right w:val="single" w:color="auto" w:sz="4" w:space="0"/>
            </w:tcBorders>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3～7</w:t>
            </w:r>
          </w:p>
        </w:tc>
        <w:tc>
          <w:tcPr>
            <w:tcW w:w="1116" w:type="dxa"/>
            <w:tcBorders>
              <w:top w:val="single" w:color="auto" w:sz="4" w:space="0"/>
              <w:left w:val="single" w:color="auto" w:sz="4" w:space="0"/>
              <w:bottom w:val="single" w:color="auto" w:sz="4" w:space="0"/>
              <w:right w:val="single" w:color="auto" w:sz="4" w:space="0"/>
            </w:tcBorders>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3～126</w:t>
            </w:r>
          </w:p>
        </w:tc>
        <w:tc>
          <w:tcPr>
            <w:tcW w:w="1080" w:type="dxa"/>
            <w:tcBorders>
              <w:top w:val="single" w:color="auto" w:sz="4" w:space="0"/>
              <w:left w:val="single" w:color="auto" w:sz="4" w:space="0"/>
              <w:bottom w:val="single" w:color="auto" w:sz="4" w:space="0"/>
              <w:right w:val="single" w:color="auto" w:sz="4" w:space="0"/>
            </w:tcBorders>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低～一般</w:t>
            </w:r>
          </w:p>
        </w:tc>
      </w:tr>
    </w:tbl>
    <w:p>
      <w:pPr>
        <w:widowControl w:val="0"/>
        <w:spacing w:line="400" w:lineRule="exact"/>
        <w:rPr>
          <w:rFonts w:ascii="Times New Roman" w:eastAsia="宋体"/>
          <w:sz w:val="24"/>
          <w:szCs w:val="21"/>
        </w:rPr>
      </w:pPr>
    </w:p>
    <w:p>
      <w:pPr>
        <w:rPr>
          <w:rFonts w:asciiTheme="minorEastAsia" w:hAnsiTheme="minorEastAsia" w:eastAsiaTheme="minorEastAsia"/>
          <w:sz w:val="21"/>
          <w:szCs w:val="21"/>
        </w:rPr>
        <w:sectPr>
          <w:pgSz w:w="16838" w:h="11906" w:orient="landscape"/>
          <w:pgMar w:top="1797" w:right="1440" w:bottom="1797" w:left="1440" w:header="851" w:footer="992" w:gutter="0"/>
          <w:cols w:space="425" w:num="1"/>
          <w:docGrid w:type="lines" w:linePitch="435" w:charSpace="0"/>
        </w:sectPr>
      </w:pPr>
    </w:p>
    <w:p>
      <w:pPr>
        <w:jc w:val="center"/>
        <w:outlineLvl w:val="0"/>
        <w:rPr>
          <w:rFonts w:ascii="方正小标宋_GBK" w:hAnsi="黑体" w:eastAsia="方正小标宋_GBK"/>
          <w:b/>
          <w:bCs/>
          <w:sz w:val="28"/>
          <w:szCs w:val="28"/>
        </w:rPr>
      </w:pPr>
      <w:bookmarkStart w:id="98" w:name="_Toc119336584"/>
      <w:bookmarkStart w:id="99" w:name="_Hlk117455831"/>
      <w:bookmarkStart w:id="100" w:name="_Toc117541303"/>
      <w:r>
        <w:rPr>
          <w:rFonts w:hint="eastAsia" w:ascii="方正小标宋_GBK" w:hAnsi="黑体" w:eastAsia="方正小标宋_GBK"/>
          <w:b/>
          <w:bCs/>
          <w:sz w:val="28"/>
          <w:szCs w:val="28"/>
        </w:rPr>
        <w:t>附录A.6</w:t>
      </w:r>
      <w:bookmarkEnd w:id="98"/>
      <w:bookmarkEnd w:id="99"/>
      <w:bookmarkEnd w:id="100"/>
    </w:p>
    <w:p>
      <w:pPr>
        <w:jc w:val="center"/>
        <w:rPr>
          <w:rFonts w:ascii="方正小标宋_GBK" w:hAnsi="黑体" w:eastAsia="方正小标宋_GBK"/>
          <w:b/>
          <w:bCs/>
          <w:sz w:val="28"/>
          <w:szCs w:val="28"/>
        </w:rPr>
      </w:pPr>
      <w:r>
        <w:rPr>
          <w:rFonts w:hint="eastAsia" w:ascii="方正小标宋_GBK" w:hAnsi="黑体" w:eastAsia="方正小标宋_GBK"/>
          <w:b/>
          <w:bCs/>
          <w:sz w:val="28"/>
          <w:szCs w:val="28"/>
        </w:rPr>
        <w:t>（资料性附录）</w:t>
      </w:r>
    </w:p>
    <w:p>
      <w:pPr>
        <w:jc w:val="center"/>
        <w:rPr>
          <w:rFonts w:ascii="方正小标宋_GBK" w:hAnsi="黑体" w:eastAsia="方正小标宋_GBK"/>
          <w:b/>
          <w:bCs/>
          <w:sz w:val="28"/>
          <w:szCs w:val="28"/>
        </w:rPr>
      </w:pPr>
    </w:p>
    <w:p>
      <w:pPr>
        <w:jc w:val="center"/>
        <w:outlineLvl w:val="1"/>
        <w:rPr>
          <w:rFonts w:ascii="方正小标宋_GBK" w:hAnsi="黑体" w:eastAsia="方正小标宋_GBK"/>
          <w:b/>
          <w:bCs/>
          <w:sz w:val="28"/>
          <w:szCs w:val="28"/>
        </w:rPr>
      </w:pPr>
      <w:bookmarkStart w:id="101" w:name="_Toc117541304"/>
      <w:bookmarkStart w:id="102" w:name="_Toc119336585"/>
      <w:r>
        <w:rPr>
          <w:rFonts w:hint="eastAsia" w:ascii="方正小标宋_GBK" w:hAnsi="黑体" w:eastAsia="方正小标宋_GBK"/>
          <w:b/>
          <w:bCs/>
          <w:sz w:val="28"/>
          <w:szCs w:val="28"/>
        </w:rPr>
        <w:t>水闸工程运行一般危险源风险评价赋分表（指南）</w:t>
      </w:r>
      <w:bookmarkEnd w:id="101"/>
      <w:bookmarkEnd w:id="102"/>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8"/>
        <w:gridCol w:w="970"/>
        <w:gridCol w:w="1094"/>
        <w:gridCol w:w="1990"/>
        <w:gridCol w:w="1539"/>
        <w:gridCol w:w="2356"/>
        <w:gridCol w:w="893"/>
        <w:gridCol w:w="816"/>
        <w:gridCol w:w="845"/>
        <w:gridCol w:w="845"/>
        <w:gridCol w:w="1117"/>
        <w:gridCol w:w="10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618" w:type="dxa"/>
            <w:vAlign w:val="center"/>
          </w:tcPr>
          <w:p>
            <w:pPr>
              <w:snapToGrid w:val="0"/>
              <w:jc w:val="center"/>
              <w:rPr>
                <w:rFonts w:cs="宋体" w:asciiTheme="minorEastAsia" w:hAnsiTheme="minorEastAsia" w:eastAsiaTheme="minorEastAsia"/>
                <w:b/>
                <w:bCs/>
                <w:sz w:val="20"/>
                <w:szCs w:val="20"/>
              </w:rPr>
            </w:pPr>
            <w:r>
              <w:rPr>
                <w:rFonts w:hint="eastAsia" w:cs="宋体" w:asciiTheme="minorEastAsia" w:hAnsiTheme="minorEastAsia" w:eastAsiaTheme="minorEastAsia"/>
                <w:b/>
                <w:bCs/>
                <w:sz w:val="20"/>
                <w:szCs w:val="20"/>
              </w:rPr>
              <w:t>序号</w:t>
            </w:r>
          </w:p>
        </w:tc>
        <w:tc>
          <w:tcPr>
            <w:tcW w:w="970" w:type="dxa"/>
            <w:vAlign w:val="center"/>
          </w:tcPr>
          <w:p>
            <w:pPr>
              <w:snapToGrid w:val="0"/>
              <w:jc w:val="center"/>
              <w:rPr>
                <w:rFonts w:cs="宋体" w:asciiTheme="minorEastAsia" w:hAnsiTheme="minorEastAsia" w:eastAsiaTheme="minorEastAsia"/>
                <w:b/>
                <w:bCs/>
                <w:sz w:val="20"/>
                <w:szCs w:val="20"/>
              </w:rPr>
            </w:pPr>
            <w:r>
              <w:rPr>
                <w:rFonts w:hint="eastAsia" w:cs="宋体" w:asciiTheme="minorEastAsia" w:hAnsiTheme="minorEastAsia" w:eastAsiaTheme="minorEastAsia"/>
                <w:b/>
                <w:bCs/>
                <w:sz w:val="20"/>
                <w:szCs w:val="20"/>
              </w:rPr>
              <w:t>类别</w:t>
            </w:r>
          </w:p>
        </w:tc>
        <w:tc>
          <w:tcPr>
            <w:tcW w:w="1094" w:type="dxa"/>
            <w:vAlign w:val="center"/>
          </w:tcPr>
          <w:p>
            <w:pPr>
              <w:snapToGrid w:val="0"/>
              <w:jc w:val="center"/>
              <w:rPr>
                <w:rFonts w:cs="宋体" w:asciiTheme="minorEastAsia" w:hAnsiTheme="minorEastAsia" w:eastAsiaTheme="minorEastAsia"/>
                <w:b/>
                <w:bCs/>
                <w:sz w:val="20"/>
                <w:szCs w:val="20"/>
              </w:rPr>
            </w:pPr>
            <w:r>
              <w:rPr>
                <w:rFonts w:hint="eastAsia" w:cs="宋体" w:asciiTheme="minorEastAsia" w:hAnsiTheme="minorEastAsia" w:eastAsiaTheme="minorEastAsia"/>
                <w:b/>
                <w:bCs/>
                <w:sz w:val="20"/>
                <w:szCs w:val="20"/>
              </w:rPr>
              <w:t>项目</w:t>
            </w:r>
          </w:p>
        </w:tc>
        <w:tc>
          <w:tcPr>
            <w:tcW w:w="1990" w:type="dxa"/>
            <w:vAlign w:val="center"/>
          </w:tcPr>
          <w:p>
            <w:pPr>
              <w:snapToGrid w:val="0"/>
              <w:jc w:val="center"/>
              <w:rPr>
                <w:rFonts w:cs="宋体" w:asciiTheme="minorEastAsia" w:hAnsiTheme="minorEastAsia" w:eastAsiaTheme="minorEastAsia"/>
                <w:b/>
                <w:bCs/>
                <w:sz w:val="20"/>
                <w:szCs w:val="20"/>
              </w:rPr>
            </w:pPr>
            <w:r>
              <w:rPr>
                <w:rFonts w:hint="eastAsia" w:cs="宋体" w:asciiTheme="minorEastAsia" w:hAnsiTheme="minorEastAsia" w:eastAsiaTheme="minorEastAsia"/>
                <w:b/>
                <w:bCs/>
                <w:sz w:val="20"/>
                <w:szCs w:val="20"/>
              </w:rPr>
              <w:t>一般危险源</w:t>
            </w:r>
          </w:p>
        </w:tc>
        <w:tc>
          <w:tcPr>
            <w:tcW w:w="1539" w:type="dxa"/>
            <w:vAlign w:val="center"/>
          </w:tcPr>
          <w:p>
            <w:pPr>
              <w:snapToGrid w:val="0"/>
              <w:jc w:val="center"/>
              <w:rPr>
                <w:rFonts w:cs="宋体" w:asciiTheme="minorEastAsia" w:hAnsiTheme="minorEastAsia" w:eastAsiaTheme="minorEastAsia"/>
                <w:b/>
                <w:bCs/>
                <w:sz w:val="20"/>
                <w:szCs w:val="20"/>
              </w:rPr>
            </w:pPr>
            <w:r>
              <w:rPr>
                <w:rFonts w:hint="eastAsia" w:cs="宋体" w:asciiTheme="minorEastAsia" w:hAnsiTheme="minorEastAsia" w:eastAsiaTheme="minorEastAsia"/>
                <w:b/>
                <w:bCs/>
                <w:sz w:val="20"/>
                <w:szCs w:val="20"/>
              </w:rPr>
              <w:t>事故诱因</w:t>
            </w:r>
          </w:p>
        </w:tc>
        <w:tc>
          <w:tcPr>
            <w:tcW w:w="2356" w:type="dxa"/>
            <w:vAlign w:val="center"/>
          </w:tcPr>
          <w:p>
            <w:pPr>
              <w:snapToGrid w:val="0"/>
              <w:jc w:val="center"/>
              <w:rPr>
                <w:rFonts w:cs="宋体" w:asciiTheme="minorEastAsia" w:hAnsiTheme="minorEastAsia" w:eastAsiaTheme="minorEastAsia"/>
                <w:b/>
                <w:bCs/>
                <w:sz w:val="20"/>
                <w:szCs w:val="20"/>
              </w:rPr>
            </w:pPr>
            <w:r>
              <w:rPr>
                <w:rFonts w:hint="eastAsia" w:cs="宋体" w:asciiTheme="minorEastAsia" w:hAnsiTheme="minorEastAsia" w:eastAsiaTheme="minorEastAsia"/>
                <w:b/>
                <w:bCs/>
                <w:sz w:val="20"/>
                <w:szCs w:val="20"/>
              </w:rPr>
              <w:t>可能导致的后果</w:t>
            </w:r>
          </w:p>
        </w:tc>
        <w:tc>
          <w:tcPr>
            <w:tcW w:w="893" w:type="dxa"/>
            <w:vAlign w:val="center"/>
          </w:tcPr>
          <w:p>
            <w:pPr>
              <w:snapToGrid w:val="0"/>
              <w:jc w:val="center"/>
              <w:rPr>
                <w:rFonts w:cs="宋体" w:asciiTheme="minorEastAsia" w:hAnsiTheme="minorEastAsia" w:eastAsiaTheme="minorEastAsia"/>
                <w:b/>
                <w:bCs/>
                <w:sz w:val="20"/>
                <w:szCs w:val="20"/>
              </w:rPr>
            </w:pPr>
            <w:r>
              <w:rPr>
                <w:rFonts w:hint="eastAsia" w:cs="宋体" w:asciiTheme="minorEastAsia" w:hAnsiTheme="minorEastAsia" w:eastAsiaTheme="minorEastAsia"/>
                <w:b/>
                <w:bCs/>
                <w:sz w:val="20"/>
                <w:szCs w:val="20"/>
              </w:rPr>
              <w:t>风险评价方法</w:t>
            </w:r>
          </w:p>
        </w:tc>
        <w:tc>
          <w:tcPr>
            <w:tcW w:w="816" w:type="dxa"/>
            <w:vAlign w:val="center"/>
          </w:tcPr>
          <w:p>
            <w:pPr>
              <w:snapToGrid w:val="0"/>
              <w:jc w:val="center"/>
              <w:rPr>
                <w:rFonts w:cs="宋体" w:asciiTheme="minorEastAsia" w:hAnsiTheme="minorEastAsia" w:eastAsiaTheme="minorEastAsia"/>
                <w:b/>
                <w:bCs/>
                <w:sz w:val="20"/>
                <w:szCs w:val="20"/>
              </w:rPr>
            </w:pPr>
            <w:r>
              <w:rPr>
                <w:rFonts w:hint="eastAsia" w:cs="宋体" w:asciiTheme="minorEastAsia" w:hAnsiTheme="minorEastAsia" w:eastAsiaTheme="minorEastAsia"/>
                <w:b/>
                <w:bCs/>
                <w:sz w:val="20"/>
                <w:szCs w:val="20"/>
              </w:rPr>
              <w:t>L值</w:t>
            </w:r>
          </w:p>
          <w:p>
            <w:pPr>
              <w:snapToGrid w:val="0"/>
              <w:jc w:val="center"/>
              <w:rPr>
                <w:rFonts w:cs="宋体" w:asciiTheme="minorEastAsia" w:hAnsiTheme="minorEastAsia" w:eastAsiaTheme="minorEastAsia"/>
                <w:b/>
                <w:bCs/>
                <w:sz w:val="20"/>
                <w:szCs w:val="20"/>
              </w:rPr>
            </w:pPr>
            <w:r>
              <w:rPr>
                <w:rFonts w:hint="eastAsia" w:cs="宋体" w:asciiTheme="minorEastAsia" w:hAnsiTheme="minorEastAsia" w:eastAsiaTheme="minorEastAsia"/>
                <w:b/>
                <w:bCs/>
                <w:sz w:val="20"/>
                <w:szCs w:val="20"/>
              </w:rPr>
              <w:t>范围</w:t>
            </w:r>
          </w:p>
        </w:tc>
        <w:tc>
          <w:tcPr>
            <w:tcW w:w="845" w:type="dxa"/>
            <w:vAlign w:val="center"/>
          </w:tcPr>
          <w:p>
            <w:pPr>
              <w:snapToGrid w:val="0"/>
              <w:jc w:val="center"/>
              <w:rPr>
                <w:rFonts w:cs="宋体" w:asciiTheme="minorEastAsia" w:hAnsiTheme="minorEastAsia" w:eastAsiaTheme="minorEastAsia"/>
                <w:b/>
                <w:bCs/>
                <w:sz w:val="20"/>
                <w:szCs w:val="20"/>
              </w:rPr>
            </w:pPr>
            <w:r>
              <w:rPr>
                <w:rFonts w:hint="eastAsia" w:cs="宋体" w:asciiTheme="minorEastAsia" w:hAnsiTheme="minorEastAsia" w:eastAsiaTheme="minorEastAsia"/>
                <w:b/>
                <w:bCs/>
                <w:sz w:val="20"/>
                <w:szCs w:val="20"/>
              </w:rPr>
              <w:t>E值范围</w:t>
            </w:r>
          </w:p>
        </w:tc>
        <w:tc>
          <w:tcPr>
            <w:tcW w:w="845" w:type="dxa"/>
            <w:vAlign w:val="center"/>
          </w:tcPr>
          <w:p>
            <w:pPr>
              <w:snapToGrid w:val="0"/>
              <w:jc w:val="center"/>
              <w:rPr>
                <w:rFonts w:cs="宋体" w:asciiTheme="minorEastAsia" w:hAnsiTheme="minorEastAsia" w:eastAsiaTheme="minorEastAsia"/>
                <w:b/>
                <w:bCs/>
                <w:sz w:val="20"/>
                <w:szCs w:val="20"/>
              </w:rPr>
            </w:pPr>
            <w:r>
              <w:rPr>
                <w:rFonts w:hint="eastAsia" w:cs="宋体" w:asciiTheme="minorEastAsia" w:hAnsiTheme="minorEastAsia" w:eastAsiaTheme="minorEastAsia"/>
                <w:b/>
                <w:bCs/>
                <w:sz w:val="20"/>
                <w:szCs w:val="20"/>
              </w:rPr>
              <w:t>S值或</w:t>
            </w:r>
          </w:p>
          <w:p>
            <w:pPr>
              <w:snapToGrid w:val="0"/>
              <w:jc w:val="center"/>
              <w:rPr>
                <w:rFonts w:cs="宋体" w:asciiTheme="minorEastAsia" w:hAnsiTheme="minorEastAsia" w:eastAsiaTheme="minorEastAsia"/>
                <w:b/>
                <w:bCs/>
                <w:sz w:val="20"/>
                <w:szCs w:val="20"/>
              </w:rPr>
            </w:pPr>
            <w:r>
              <w:rPr>
                <w:rFonts w:hint="eastAsia" w:cs="宋体" w:asciiTheme="minorEastAsia" w:hAnsiTheme="minorEastAsia" w:eastAsiaTheme="minorEastAsia"/>
                <w:b/>
                <w:bCs/>
                <w:sz w:val="20"/>
                <w:szCs w:val="20"/>
              </w:rPr>
              <w:t>C值范围</w:t>
            </w:r>
          </w:p>
        </w:tc>
        <w:tc>
          <w:tcPr>
            <w:tcW w:w="1117" w:type="dxa"/>
            <w:vAlign w:val="center"/>
          </w:tcPr>
          <w:p>
            <w:pPr>
              <w:snapToGrid w:val="0"/>
              <w:jc w:val="center"/>
              <w:rPr>
                <w:rFonts w:cs="宋体" w:asciiTheme="minorEastAsia" w:hAnsiTheme="minorEastAsia" w:eastAsiaTheme="minorEastAsia"/>
                <w:b/>
                <w:bCs/>
                <w:sz w:val="20"/>
                <w:szCs w:val="20"/>
              </w:rPr>
            </w:pPr>
            <w:r>
              <w:rPr>
                <w:rFonts w:hint="eastAsia" w:cs="宋体" w:asciiTheme="minorEastAsia" w:hAnsiTheme="minorEastAsia" w:eastAsiaTheme="minorEastAsia"/>
                <w:b/>
                <w:bCs/>
                <w:sz w:val="20"/>
                <w:szCs w:val="20"/>
              </w:rPr>
              <w:t>R值或</w:t>
            </w:r>
          </w:p>
          <w:p>
            <w:pPr>
              <w:snapToGrid w:val="0"/>
              <w:jc w:val="center"/>
              <w:rPr>
                <w:rFonts w:cs="宋体" w:asciiTheme="minorEastAsia" w:hAnsiTheme="minorEastAsia" w:eastAsiaTheme="minorEastAsia"/>
                <w:b/>
                <w:bCs/>
                <w:sz w:val="20"/>
                <w:szCs w:val="20"/>
              </w:rPr>
            </w:pPr>
            <w:r>
              <w:rPr>
                <w:rFonts w:hint="eastAsia" w:cs="宋体" w:asciiTheme="minorEastAsia" w:hAnsiTheme="minorEastAsia" w:eastAsiaTheme="minorEastAsia"/>
                <w:b/>
                <w:bCs/>
                <w:sz w:val="20"/>
                <w:szCs w:val="20"/>
              </w:rPr>
              <w:t>D值范围</w:t>
            </w:r>
          </w:p>
        </w:tc>
        <w:tc>
          <w:tcPr>
            <w:tcW w:w="1091" w:type="dxa"/>
            <w:vAlign w:val="center"/>
          </w:tcPr>
          <w:p>
            <w:pPr>
              <w:snapToGrid w:val="0"/>
              <w:jc w:val="center"/>
              <w:rPr>
                <w:rFonts w:cs="宋体" w:asciiTheme="minorEastAsia" w:hAnsiTheme="minorEastAsia" w:eastAsiaTheme="minorEastAsia"/>
                <w:b/>
                <w:bCs/>
                <w:sz w:val="20"/>
                <w:szCs w:val="20"/>
              </w:rPr>
            </w:pPr>
            <w:r>
              <w:rPr>
                <w:rFonts w:hint="eastAsia" w:cs="宋体" w:asciiTheme="minorEastAsia" w:hAnsiTheme="minorEastAsia" w:eastAsiaTheme="minorEastAsia"/>
                <w:b/>
                <w:bCs/>
                <w:sz w:val="20"/>
                <w:szCs w:val="20"/>
              </w:rPr>
              <w:t>风险等级范围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18"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1</w:t>
            </w:r>
          </w:p>
        </w:tc>
        <w:tc>
          <w:tcPr>
            <w:tcW w:w="970" w:type="dxa"/>
            <w:vMerge w:val="restart"/>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构（建）筑物类</w:t>
            </w:r>
          </w:p>
        </w:tc>
        <w:tc>
          <w:tcPr>
            <w:tcW w:w="1094" w:type="dxa"/>
            <w:vMerge w:val="restart"/>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闸室段</w:t>
            </w:r>
          </w:p>
        </w:tc>
        <w:tc>
          <w:tcPr>
            <w:tcW w:w="199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底板、闸墩、胸墙结构表面</w:t>
            </w:r>
          </w:p>
        </w:tc>
        <w:tc>
          <w:tcPr>
            <w:tcW w:w="1539"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水流冲刷</w:t>
            </w:r>
          </w:p>
        </w:tc>
        <w:tc>
          <w:tcPr>
            <w:tcW w:w="235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结构破坏、裂缝、剥蚀</w:t>
            </w:r>
          </w:p>
        </w:tc>
        <w:tc>
          <w:tcPr>
            <w:tcW w:w="893"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LS法</w:t>
            </w:r>
          </w:p>
        </w:tc>
        <w:tc>
          <w:tcPr>
            <w:tcW w:w="81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3～18</w:t>
            </w:r>
          </w:p>
        </w:tc>
        <w:tc>
          <w:tcPr>
            <w:tcW w:w="84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w:t>
            </w:r>
          </w:p>
        </w:tc>
        <w:tc>
          <w:tcPr>
            <w:tcW w:w="84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3～100</w:t>
            </w:r>
          </w:p>
        </w:tc>
        <w:tc>
          <w:tcPr>
            <w:tcW w:w="1117"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9～1800</w:t>
            </w:r>
          </w:p>
        </w:tc>
        <w:tc>
          <w:tcPr>
            <w:tcW w:w="1091"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低～重大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18"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2</w:t>
            </w:r>
          </w:p>
        </w:tc>
        <w:tc>
          <w:tcPr>
            <w:tcW w:w="970" w:type="dxa"/>
            <w:vMerge w:val="continue"/>
            <w:vAlign w:val="center"/>
          </w:tcPr>
          <w:p>
            <w:pPr>
              <w:snapToGrid w:val="0"/>
              <w:jc w:val="center"/>
              <w:rPr>
                <w:rFonts w:cs="宋体" w:asciiTheme="minorEastAsia" w:hAnsiTheme="minorEastAsia" w:eastAsiaTheme="minorEastAsia"/>
                <w:sz w:val="20"/>
                <w:szCs w:val="20"/>
              </w:rPr>
            </w:pPr>
          </w:p>
        </w:tc>
        <w:tc>
          <w:tcPr>
            <w:tcW w:w="1094" w:type="dxa"/>
            <w:vMerge w:val="continue"/>
            <w:vAlign w:val="center"/>
          </w:tcPr>
          <w:p>
            <w:pPr>
              <w:snapToGrid w:val="0"/>
              <w:jc w:val="left"/>
              <w:rPr>
                <w:rFonts w:cs="宋体" w:asciiTheme="minorEastAsia" w:hAnsiTheme="minorEastAsia" w:eastAsiaTheme="minorEastAsia"/>
                <w:sz w:val="20"/>
                <w:szCs w:val="20"/>
              </w:rPr>
            </w:pPr>
          </w:p>
        </w:tc>
        <w:tc>
          <w:tcPr>
            <w:tcW w:w="199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底板、闸墩渗流</w:t>
            </w:r>
          </w:p>
        </w:tc>
        <w:tc>
          <w:tcPr>
            <w:tcW w:w="1539"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防渗设施不完善</w:t>
            </w:r>
          </w:p>
        </w:tc>
        <w:tc>
          <w:tcPr>
            <w:tcW w:w="235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位移、沉降</w:t>
            </w:r>
          </w:p>
        </w:tc>
        <w:tc>
          <w:tcPr>
            <w:tcW w:w="893"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LS法</w:t>
            </w:r>
          </w:p>
        </w:tc>
        <w:tc>
          <w:tcPr>
            <w:tcW w:w="81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3～18</w:t>
            </w:r>
          </w:p>
        </w:tc>
        <w:tc>
          <w:tcPr>
            <w:tcW w:w="84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w:t>
            </w:r>
          </w:p>
        </w:tc>
        <w:tc>
          <w:tcPr>
            <w:tcW w:w="84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3～100</w:t>
            </w:r>
          </w:p>
        </w:tc>
        <w:tc>
          <w:tcPr>
            <w:tcW w:w="1117"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9～1800</w:t>
            </w:r>
          </w:p>
        </w:tc>
        <w:tc>
          <w:tcPr>
            <w:tcW w:w="1091"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低～重大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18"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w:t>
            </w:r>
          </w:p>
        </w:tc>
        <w:tc>
          <w:tcPr>
            <w:tcW w:w="970" w:type="dxa"/>
            <w:vMerge w:val="continue"/>
            <w:vAlign w:val="center"/>
          </w:tcPr>
          <w:p>
            <w:pPr>
              <w:snapToGrid w:val="0"/>
              <w:jc w:val="center"/>
              <w:rPr>
                <w:rFonts w:cs="宋体" w:asciiTheme="minorEastAsia" w:hAnsiTheme="minorEastAsia" w:eastAsiaTheme="minorEastAsia"/>
                <w:sz w:val="20"/>
                <w:szCs w:val="20"/>
              </w:rPr>
            </w:pPr>
          </w:p>
        </w:tc>
        <w:tc>
          <w:tcPr>
            <w:tcW w:w="1094" w:type="dxa"/>
            <w:vMerge w:val="continue"/>
            <w:vAlign w:val="center"/>
          </w:tcPr>
          <w:p>
            <w:pPr>
              <w:snapToGrid w:val="0"/>
              <w:jc w:val="left"/>
              <w:rPr>
                <w:rFonts w:cs="宋体" w:asciiTheme="minorEastAsia" w:hAnsiTheme="minorEastAsia" w:eastAsiaTheme="minorEastAsia"/>
                <w:sz w:val="20"/>
                <w:szCs w:val="20"/>
              </w:rPr>
            </w:pPr>
          </w:p>
        </w:tc>
        <w:tc>
          <w:tcPr>
            <w:tcW w:w="199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交通桥、工作桥上车辆行驶</w:t>
            </w:r>
          </w:p>
        </w:tc>
        <w:tc>
          <w:tcPr>
            <w:tcW w:w="1539"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车辆超载、超速、超高、碰撞</w:t>
            </w:r>
          </w:p>
        </w:tc>
        <w:tc>
          <w:tcPr>
            <w:tcW w:w="235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排架柱、桥体损坏</w:t>
            </w:r>
          </w:p>
        </w:tc>
        <w:tc>
          <w:tcPr>
            <w:tcW w:w="893"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LS法</w:t>
            </w:r>
          </w:p>
        </w:tc>
        <w:tc>
          <w:tcPr>
            <w:tcW w:w="81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3～18</w:t>
            </w:r>
          </w:p>
        </w:tc>
        <w:tc>
          <w:tcPr>
            <w:tcW w:w="84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w:t>
            </w:r>
          </w:p>
        </w:tc>
        <w:tc>
          <w:tcPr>
            <w:tcW w:w="84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3～100</w:t>
            </w:r>
          </w:p>
        </w:tc>
        <w:tc>
          <w:tcPr>
            <w:tcW w:w="1117"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9～1800</w:t>
            </w:r>
          </w:p>
        </w:tc>
        <w:tc>
          <w:tcPr>
            <w:tcW w:w="1091"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低～重大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18"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4</w:t>
            </w:r>
          </w:p>
        </w:tc>
        <w:tc>
          <w:tcPr>
            <w:tcW w:w="970" w:type="dxa"/>
            <w:vMerge w:val="continue"/>
            <w:vAlign w:val="center"/>
          </w:tcPr>
          <w:p>
            <w:pPr>
              <w:snapToGrid w:val="0"/>
              <w:jc w:val="center"/>
              <w:rPr>
                <w:rFonts w:cs="宋体" w:asciiTheme="minorEastAsia" w:hAnsiTheme="minorEastAsia" w:eastAsiaTheme="minorEastAsia"/>
                <w:sz w:val="20"/>
                <w:szCs w:val="20"/>
              </w:rPr>
            </w:pPr>
          </w:p>
        </w:tc>
        <w:tc>
          <w:tcPr>
            <w:tcW w:w="1094" w:type="dxa"/>
            <w:vMerge w:val="continue"/>
            <w:vAlign w:val="center"/>
          </w:tcPr>
          <w:p>
            <w:pPr>
              <w:snapToGrid w:val="0"/>
              <w:jc w:val="left"/>
              <w:rPr>
                <w:rFonts w:cs="宋体" w:asciiTheme="minorEastAsia" w:hAnsiTheme="minorEastAsia" w:eastAsiaTheme="minorEastAsia"/>
                <w:sz w:val="20"/>
                <w:szCs w:val="20"/>
              </w:rPr>
            </w:pPr>
          </w:p>
        </w:tc>
        <w:tc>
          <w:tcPr>
            <w:tcW w:w="199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交通桥、工作桥上有大型机械运行</w:t>
            </w:r>
          </w:p>
        </w:tc>
        <w:tc>
          <w:tcPr>
            <w:tcW w:w="1539"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超重、碰撞</w:t>
            </w:r>
          </w:p>
        </w:tc>
        <w:tc>
          <w:tcPr>
            <w:tcW w:w="235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排架柱、桥体损坏</w:t>
            </w:r>
          </w:p>
        </w:tc>
        <w:tc>
          <w:tcPr>
            <w:tcW w:w="893"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LS法</w:t>
            </w:r>
          </w:p>
        </w:tc>
        <w:tc>
          <w:tcPr>
            <w:tcW w:w="81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3～6</w:t>
            </w:r>
          </w:p>
        </w:tc>
        <w:tc>
          <w:tcPr>
            <w:tcW w:w="84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w:t>
            </w:r>
          </w:p>
        </w:tc>
        <w:tc>
          <w:tcPr>
            <w:tcW w:w="84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3～100</w:t>
            </w:r>
          </w:p>
        </w:tc>
        <w:tc>
          <w:tcPr>
            <w:tcW w:w="1117"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3～600</w:t>
            </w:r>
          </w:p>
        </w:tc>
        <w:tc>
          <w:tcPr>
            <w:tcW w:w="1091"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低～重大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18"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5</w:t>
            </w:r>
          </w:p>
        </w:tc>
        <w:tc>
          <w:tcPr>
            <w:tcW w:w="970" w:type="dxa"/>
            <w:vMerge w:val="continue"/>
            <w:vAlign w:val="center"/>
          </w:tcPr>
          <w:p>
            <w:pPr>
              <w:snapToGrid w:val="0"/>
              <w:jc w:val="center"/>
              <w:rPr>
                <w:rFonts w:cs="宋体" w:asciiTheme="minorEastAsia" w:hAnsiTheme="minorEastAsia" w:eastAsiaTheme="minorEastAsia"/>
                <w:sz w:val="20"/>
                <w:szCs w:val="20"/>
              </w:rPr>
            </w:pPr>
          </w:p>
        </w:tc>
        <w:tc>
          <w:tcPr>
            <w:tcW w:w="1094" w:type="dxa"/>
            <w:vMerge w:val="continue"/>
            <w:vAlign w:val="center"/>
          </w:tcPr>
          <w:p>
            <w:pPr>
              <w:snapToGrid w:val="0"/>
              <w:jc w:val="left"/>
              <w:rPr>
                <w:rFonts w:cs="宋体" w:asciiTheme="minorEastAsia" w:hAnsiTheme="minorEastAsia" w:eastAsiaTheme="minorEastAsia"/>
                <w:sz w:val="20"/>
                <w:szCs w:val="20"/>
              </w:rPr>
            </w:pPr>
          </w:p>
        </w:tc>
        <w:tc>
          <w:tcPr>
            <w:tcW w:w="199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交通桥、工作桥表面排水</w:t>
            </w:r>
          </w:p>
        </w:tc>
        <w:tc>
          <w:tcPr>
            <w:tcW w:w="1539"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排水设施失效、积水</w:t>
            </w:r>
          </w:p>
        </w:tc>
        <w:tc>
          <w:tcPr>
            <w:tcW w:w="235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交通中断、车辆损坏</w:t>
            </w:r>
          </w:p>
        </w:tc>
        <w:tc>
          <w:tcPr>
            <w:tcW w:w="893"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LS法</w:t>
            </w:r>
          </w:p>
        </w:tc>
        <w:tc>
          <w:tcPr>
            <w:tcW w:w="81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3～6</w:t>
            </w:r>
          </w:p>
        </w:tc>
        <w:tc>
          <w:tcPr>
            <w:tcW w:w="84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w:t>
            </w:r>
          </w:p>
        </w:tc>
        <w:tc>
          <w:tcPr>
            <w:tcW w:w="84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3～100</w:t>
            </w:r>
          </w:p>
        </w:tc>
        <w:tc>
          <w:tcPr>
            <w:tcW w:w="1117"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3～600</w:t>
            </w:r>
          </w:p>
        </w:tc>
        <w:tc>
          <w:tcPr>
            <w:tcW w:w="1091"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低～重大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18"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6</w:t>
            </w:r>
          </w:p>
        </w:tc>
        <w:tc>
          <w:tcPr>
            <w:tcW w:w="970" w:type="dxa"/>
            <w:vMerge w:val="continue"/>
            <w:vAlign w:val="center"/>
          </w:tcPr>
          <w:p>
            <w:pPr>
              <w:snapToGrid w:val="0"/>
              <w:jc w:val="center"/>
              <w:rPr>
                <w:rFonts w:cs="宋体" w:asciiTheme="minorEastAsia" w:hAnsiTheme="minorEastAsia" w:eastAsiaTheme="minorEastAsia"/>
                <w:sz w:val="20"/>
                <w:szCs w:val="20"/>
              </w:rPr>
            </w:pPr>
          </w:p>
        </w:tc>
        <w:tc>
          <w:tcPr>
            <w:tcW w:w="1094" w:type="dxa"/>
            <w:vMerge w:val="continue"/>
            <w:vAlign w:val="center"/>
          </w:tcPr>
          <w:p>
            <w:pPr>
              <w:snapToGrid w:val="0"/>
              <w:jc w:val="left"/>
              <w:rPr>
                <w:rFonts w:cs="宋体" w:asciiTheme="minorEastAsia" w:hAnsiTheme="minorEastAsia" w:eastAsiaTheme="minorEastAsia"/>
                <w:sz w:val="20"/>
                <w:szCs w:val="20"/>
              </w:rPr>
            </w:pPr>
          </w:p>
        </w:tc>
        <w:tc>
          <w:tcPr>
            <w:tcW w:w="199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启闭机房及控制室屋面及外墙防水</w:t>
            </w:r>
          </w:p>
        </w:tc>
        <w:tc>
          <w:tcPr>
            <w:tcW w:w="1539"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防水失效、暴雨</w:t>
            </w:r>
          </w:p>
        </w:tc>
        <w:tc>
          <w:tcPr>
            <w:tcW w:w="235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设备损坏</w:t>
            </w:r>
          </w:p>
        </w:tc>
        <w:tc>
          <w:tcPr>
            <w:tcW w:w="893"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LS法</w:t>
            </w:r>
          </w:p>
        </w:tc>
        <w:tc>
          <w:tcPr>
            <w:tcW w:w="81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3～18</w:t>
            </w:r>
          </w:p>
        </w:tc>
        <w:tc>
          <w:tcPr>
            <w:tcW w:w="84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w:t>
            </w:r>
          </w:p>
        </w:tc>
        <w:tc>
          <w:tcPr>
            <w:tcW w:w="84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3～100</w:t>
            </w:r>
          </w:p>
        </w:tc>
        <w:tc>
          <w:tcPr>
            <w:tcW w:w="1117"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9～1800</w:t>
            </w:r>
          </w:p>
        </w:tc>
        <w:tc>
          <w:tcPr>
            <w:tcW w:w="1091"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低～重大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18"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7</w:t>
            </w:r>
          </w:p>
        </w:tc>
        <w:tc>
          <w:tcPr>
            <w:tcW w:w="970" w:type="dxa"/>
            <w:vMerge w:val="continue"/>
            <w:vAlign w:val="center"/>
          </w:tcPr>
          <w:p>
            <w:pPr>
              <w:snapToGrid w:val="0"/>
              <w:jc w:val="center"/>
              <w:rPr>
                <w:rFonts w:cs="宋体" w:asciiTheme="minorEastAsia" w:hAnsiTheme="minorEastAsia" w:eastAsiaTheme="minorEastAsia"/>
                <w:sz w:val="20"/>
                <w:szCs w:val="20"/>
              </w:rPr>
            </w:pPr>
          </w:p>
        </w:tc>
        <w:tc>
          <w:tcPr>
            <w:tcW w:w="1094" w:type="dxa"/>
            <w:vMerge w:val="restart"/>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上下游连接段</w:t>
            </w:r>
          </w:p>
        </w:tc>
        <w:tc>
          <w:tcPr>
            <w:tcW w:w="199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消力池、海漫、防冲墙、铺盖、护坡、护底结构表面</w:t>
            </w:r>
          </w:p>
        </w:tc>
        <w:tc>
          <w:tcPr>
            <w:tcW w:w="1539"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水流冲刷</w:t>
            </w:r>
          </w:p>
        </w:tc>
        <w:tc>
          <w:tcPr>
            <w:tcW w:w="235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设施破坏</w:t>
            </w:r>
          </w:p>
        </w:tc>
        <w:tc>
          <w:tcPr>
            <w:tcW w:w="893"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LS法</w:t>
            </w:r>
          </w:p>
        </w:tc>
        <w:tc>
          <w:tcPr>
            <w:tcW w:w="81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3～18</w:t>
            </w:r>
          </w:p>
        </w:tc>
        <w:tc>
          <w:tcPr>
            <w:tcW w:w="84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w:t>
            </w:r>
          </w:p>
        </w:tc>
        <w:tc>
          <w:tcPr>
            <w:tcW w:w="84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3～100</w:t>
            </w:r>
          </w:p>
        </w:tc>
        <w:tc>
          <w:tcPr>
            <w:tcW w:w="1117"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9～1800</w:t>
            </w:r>
          </w:p>
        </w:tc>
        <w:tc>
          <w:tcPr>
            <w:tcW w:w="1091"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低～重大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18"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8</w:t>
            </w:r>
          </w:p>
        </w:tc>
        <w:tc>
          <w:tcPr>
            <w:tcW w:w="970" w:type="dxa"/>
            <w:vMerge w:val="continue"/>
            <w:vAlign w:val="center"/>
          </w:tcPr>
          <w:p>
            <w:pPr>
              <w:snapToGrid w:val="0"/>
              <w:jc w:val="center"/>
              <w:rPr>
                <w:rFonts w:cs="宋体" w:asciiTheme="minorEastAsia" w:hAnsiTheme="minorEastAsia" w:eastAsiaTheme="minorEastAsia"/>
                <w:sz w:val="20"/>
                <w:szCs w:val="20"/>
              </w:rPr>
            </w:pPr>
          </w:p>
        </w:tc>
        <w:tc>
          <w:tcPr>
            <w:tcW w:w="1094" w:type="dxa"/>
            <w:vMerge w:val="continue"/>
            <w:vAlign w:val="center"/>
          </w:tcPr>
          <w:p>
            <w:pPr>
              <w:snapToGrid w:val="0"/>
              <w:jc w:val="left"/>
              <w:rPr>
                <w:rFonts w:cs="宋体" w:asciiTheme="minorEastAsia" w:hAnsiTheme="minorEastAsia" w:eastAsiaTheme="minorEastAsia"/>
                <w:sz w:val="20"/>
                <w:szCs w:val="20"/>
              </w:rPr>
            </w:pPr>
          </w:p>
        </w:tc>
        <w:tc>
          <w:tcPr>
            <w:tcW w:w="199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消力池、海漫、防冲墙、铺盖、护坡、护底渗漏</w:t>
            </w:r>
          </w:p>
        </w:tc>
        <w:tc>
          <w:tcPr>
            <w:tcW w:w="1539"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接缝破损、止水失效</w:t>
            </w:r>
          </w:p>
        </w:tc>
        <w:tc>
          <w:tcPr>
            <w:tcW w:w="235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位移、结构破坏</w:t>
            </w:r>
          </w:p>
        </w:tc>
        <w:tc>
          <w:tcPr>
            <w:tcW w:w="893"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LS法</w:t>
            </w:r>
          </w:p>
        </w:tc>
        <w:tc>
          <w:tcPr>
            <w:tcW w:w="81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3～18</w:t>
            </w:r>
          </w:p>
        </w:tc>
        <w:tc>
          <w:tcPr>
            <w:tcW w:w="84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w:t>
            </w:r>
          </w:p>
        </w:tc>
        <w:tc>
          <w:tcPr>
            <w:tcW w:w="84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3～100</w:t>
            </w:r>
          </w:p>
        </w:tc>
        <w:tc>
          <w:tcPr>
            <w:tcW w:w="1117"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9～1800</w:t>
            </w:r>
          </w:p>
        </w:tc>
        <w:tc>
          <w:tcPr>
            <w:tcW w:w="1091"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低～重大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18"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9</w:t>
            </w:r>
          </w:p>
        </w:tc>
        <w:tc>
          <w:tcPr>
            <w:tcW w:w="970" w:type="dxa"/>
            <w:vMerge w:val="restart"/>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构（建）筑物类</w:t>
            </w:r>
          </w:p>
        </w:tc>
        <w:tc>
          <w:tcPr>
            <w:tcW w:w="1094" w:type="dxa"/>
            <w:vMerge w:val="restart"/>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上下游连接段</w:t>
            </w:r>
          </w:p>
        </w:tc>
        <w:tc>
          <w:tcPr>
            <w:tcW w:w="199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消力池、海漫、防冲墙、铺盖、护坡、护底排水</w:t>
            </w:r>
          </w:p>
        </w:tc>
        <w:tc>
          <w:tcPr>
            <w:tcW w:w="1539"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排水设施失效</w:t>
            </w:r>
          </w:p>
        </w:tc>
        <w:tc>
          <w:tcPr>
            <w:tcW w:w="235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变形、滑塌</w:t>
            </w:r>
          </w:p>
        </w:tc>
        <w:tc>
          <w:tcPr>
            <w:tcW w:w="893"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LS法</w:t>
            </w:r>
          </w:p>
        </w:tc>
        <w:tc>
          <w:tcPr>
            <w:tcW w:w="81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3～18</w:t>
            </w:r>
          </w:p>
        </w:tc>
        <w:tc>
          <w:tcPr>
            <w:tcW w:w="84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w:t>
            </w:r>
          </w:p>
        </w:tc>
        <w:tc>
          <w:tcPr>
            <w:tcW w:w="84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3～100</w:t>
            </w:r>
          </w:p>
        </w:tc>
        <w:tc>
          <w:tcPr>
            <w:tcW w:w="1117"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9～1800</w:t>
            </w:r>
          </w:p>
        </w:tc>
        <w:tc>
          <w:tcPr>
            <w:tcW w:w="1091"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低～重大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18"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10</w:t>
            </w:r>
          </w:p>
        </w:tc>
        <w:tc>
          <w:tcPr>
            <w:tcW w:w="970" w:type="dxa"/>
            <w:vMerge w:val="continue"/>
            <w:vAlign w:val="center"/>
          </w:tcPr>
          <w:p>
            <w:pPr>
              <w:snapToGrid w:val="0"/>
              <w:jc w:val="center"/>
              <w:rPr>
                <w:rFonts w:cs="宋体" w:asciiTheme="minorEastAsia" w:hAnsiTheme="minorEastAsia" w:eastAsiaTheme="minorEastAsia"/>
                <w:sz w:val="20"/>
                <w:szCs w:val="20"/>
              </w:rPr>
            </w:pPr>
          </w:p>
        </w:tc>
        <w:tc>
          <w:tcPr>
            <w:tcW w:w="1094" w:type="dxa"/>
            <w:vMerge w:val="continue"/>
            <w:vAlign w:val="center"/>
          </w:tcPr>
          <w:p>
            <w:pPr>
              <w:snapToGrid w:val="0"/>
              <w:jc w:val="center"/>
              <w:rPr>
                <w:rFonts w:cs="宋体" w:asciiTheme="minorEastAsia" w:hAnsiTheme="minorEastAsia" w:eastAsiaTheme="minorEastAsia"/>
                <w:sz w:val="20"/>
                <w:szCs w:val="20"/>
              </w:rPr>
            </w:pPr>
          </w:p>
        </w:tc>
        <w:tc>
          <w:tcPr>
            <w:tcW w:w="199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防冲槽</w:t>
            </w:r>
          </w:p>
        </w:tc>
        <w:tc>
          <w:tcPr>
            <w:tcW w:w="1539"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水流冲刷、淤积物</w:t>
            </w:r>
          </w:p>
        </w:tc>
        <w:tc>
          <w:tcPr>
            <w:tcW w:w="235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凹陷</w:t>
            </w:r>
          </w:p>
        </w:tc>
        <w:tc>
          <w:tcPr>
            <w:tcW w:w="893"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LS法</w:t>
            </w:r>
          </w:p>
        </w:tc>
        <w:tc>
          <w:tcPr>
            <w:tcW w:w="81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3～18</w:t>
            </w:r>
          </w:p>
        </w:tc>
        <w:tc>
          <w:tcPr>
            <w:tcW w:w="84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w:t>
            </w:r>
          </w:p>
        </w:tc>
        <w:tc>
          <w:tcPr>
            <w:tcW w:w="84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3～100</w:t>
            </w:r>
          </w:p>
        </w:tc>
        <w:tc>
          <w:tcPr>
            <w:tcW w:w="1117"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9～1800</w:t>
            </w:r>
          </w:p>
        </w:tc>
        <w:tc>
          <w:tcPr>
            <w:tcW w:w="1091"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低～重大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18"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11</w:t>
            </w:r>
          </w:p>
        </w:tc>
        <w:tc>
          <w:tcPr>
            <w:tcW w:w="970" w:type="dxa"/>
            <w:vMerge w:val="continue"/>
            <w:vAlign w:val="center"/>
          </w:tcPr>
          <w:p>
            <w:pPr>
              <w:snapToGrid w:val="0"/>
              <w:jc w:val="center"/>
              <w:rPr>
                <w:rFonts w:cs="宋体" w:asciiTheme="minorEastAsia" w:hAnsiTheme="minorEastAsia" w:eastAsiaTheme="minorEastAsia"/>
                <w:sz w:val="20"/>
                <w:szCs w:val="20"/>
              </w:rPr>
            </w:pPr>
          </w:p>
        </w:tc>
        <w:tc>
          <w:tcPr>
            <w:tcW w:w="1094" w:type="dxa"/>
            <w:vMerge w:val="continue"/>
            <w:vAlign w:val="center"/>
          </w:tcPr>
          <w:p>
            <w:pPr>
              <w:snapToGrid w:val="0"/>
              <w:jc w:val="center"/>
              <w:rPr>
                <w:rFonts w:cs="宋体" w:asciiTheme="minorEastAsia" w:hAnsiTheme="minorEastAsia" w:eastAsiaTheme="minorEastAsia"/>
                <w:sz w:val="20"/>
                <w:szCs w:val="20"/>
              </w:rPr>
            </w:pPr>
          </w:p>
        </w:tc>
        <w:tc>
          <w:tcPr>
            <w:tcW w:w="199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岸、翼墙排水</w:t>
            </w:r>
          </w:p>
        </w:tc>
        <w:tc>
          <w:tcPr>
            <w:tcW w:w="1539"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接缝破损、止水失效</w:t>
            </w:r>
          </w:p>
        </w:tc>
        <w:tc>
          <w:tcPr>
            <w:tcW w:w="235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位移、变形</w:t>
            </w:r>
          </w:p>
        </w:tc>
        <w:tc>
          <w:tcPr>
            <w:tcW w:w="893"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LS法</w:t>
            </w:r>
          </w:p>
        </w:tc>
        <w:tc>
          <w:tcPr>
            <w:tcW w:w="81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3～36</w:t>
            </w:r>
          </w:p>
        </w:tc>
        <w:tc>
          <w:tcPr>
            <w:tcW w:w="84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w:t>
            </w:r>
          </w:p>
        </w:tc>
        <w:tc>
          <w:tcPr>
            <w:tcW w:w="84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3～100</w:t>
            </w:r>
          </w:p>
        </w:tc>
        <w:tc>
          <w:tcPr>
            <w:tcW w:w="1117"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3～3600</w:t>
            </w:r>
          </w:p>
        </w:tc>
        <w:tc>
          <w:tcPr>
            <w:tcW w:w="1091"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低～重大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18"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12</w:t>
            </w:r>
          </w:p>
        </w:tc>
        <w:tc>
          <w:tcPr>
            <w:tcW w:w="970" w:type="dxa"/>
            <w:vMerge w:val="continue"/>
            <w:vAlign w:val="center"/>
          </w:tcPr>
          <w:p>
            <w:pPr>
              <w:snapToGrid w:val="0"/>
              <w:jc w:val="center"/>
              <w:rPr>
                <w:rFonts w:cs="宋体" w:asciiTheme="minorEastAsia" w:hAnsiTheme="minorEastAsia" w:eastAsiaTheme="minorEastAsia"/>
                <w:sz w:val="20"/>
                <w:szCs w:val="20"/>
              </w:rPr>
            </w:pPr>
          </w:p>
        </w:tc>
        <w:tc>
          <w:tcPr>
            <w:tcW w:w="1094" w:type="dxa"/>
            <w:vMerge w:val="continue"/>
            <w:vAlign w:val="center"/>
          </w:tcPr>
          <w:p>
            <w:pPr>
              <w:snapToGrid w:val="0"/>
              <w:jc w:val="left"/>
              <w:rPr>
                <w:rFonts w:cs="宋体" w:asciiTheme="minorEastAsia" w:hAnsiTheme="minorEastAsia" w:eastAsiaTheme="minorEastAsia"/>
                <w:sz w:val="20"/>
                <w:szCs w:val="20"/>
              </w:rPr>
            </w:pPr>
          </w:p>
        </w:tc>
        <w:tc>
          <w:tcPr>
            <w:tcW w:w="199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岸、翼墙结构表面</w:t>
            </w:r>
          </w:p>
        </w:tc>
        <w:tc>
          <w:tcPr>
            <w:tcW w:w="1539"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水流冲刷</w:t>
            </w:r>
          </w:p>
        </w:tc>
        <w:tc>
          <w:tcPr>
            <w:tcW w:w="235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结构破坏、裂缝、剥蚀、变形</w:t>
            </w:r>
          </w:p>
        </w:tc>
        <w:tc>
          <w:tcPr>
            <w:tcW w:w="893"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LS法</w:t>
            </w:r>
          </w:p>
        </w:tc>
        <w:tc>
          <w:tcPr>
            <w:tcW w:w="81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3～18</w:t>
            </w:r>
          </w:p>
        </w:tc>
        <w:tc>
          <w:tcPr>
            <w:tcW w:w="84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w:t>
            </w:r>
          </w:p>
        </w:tc>
        <w:tc>
          <w:tcPr>
            <w:tcW w:w="84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3～100</w:t>
            </w:r>
          </w:p>
        </w:tc>
        <w:tc>
          <w:tcPr>
            <w:tcW w:w="1117"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9～1800</w:t>
            </w:r>
          </w:p>
        </w:tc>
        <w:tc>
          <w:tcPr>
            <w:tcW w:w="1091"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低～重大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18"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13</w:t>
            </w:r>
          </w:p>
        </w:tc>
        <w:tc>
          <w:tcPr>
            <w:tcW w:w="970" w:type="dxa"/>
            <w:vMerge w:val="continue"/>
            <w:tcBorders>
              <w:bottom w:val="single" w:color="auto" w:sz="4" w:space="0"/>
            </w:tcBorders>
            <w:vAlign w:val="center"/>
          </w:tcPr>
          <w:p>
            <w:pPr>
              <w:snapToGrid w:val="0"/>
              <w:jc w:val="center"/>
              <w:rPr>
                <w:rFonts w:cs="宋体" w:asciiTheme="minorEastAsia" w:hAnsiTheme="minorEastAsia" w:eastAsiaTheme="minorEastAsia"/>
                <w:sz w:val="20"/>
                <w:szCs w:val="20"/>
              </w:rPr>
            </w:pPr>
          </w:p>
        </w:tc>
        <w:tc>
          <w:tcPr>
            <w:tcW w:w="1094" w:type="dxa"/>
            <w:vMerge w:val="continue"/>
            <w:vAlign w:val="center"/>
          </w:tcPr>
          <w:p>
            <w:pPr>
              <w:snapToGrid w:val="0"/>
              <w:jc w:val="left"/>
              <w:rPr>
                <w:rFonts w:cs="宋体" w:asciiTheme="minorEastAsia" w:hAnsiTheme="minorEastAsia" w:eastAsiaTheme="minorEastAsia"/>
                <w:sz w:val="20"/>
                <w:szCs w:val="20"/>
              </w:rPr>
            </w:pPr>
          </w:p>
        </w:tc>
        <w:tc>
          <w:tcPr>
            <w:tcW w:w="199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上下游河床、岸坡表面</w:t>
            </w:r>
          </w:p>
        </w:tc>
        <w:tc>
          <w:tcPr>
            <w:tcW w:w="1539"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水流冲刷、淤积物</w:t>
            </w:r>
          </w:p>
        </w:tc>
        <w:tc>
          <w:tcPr>
            <w:tcW w:w="235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凹陷、滑坡、堵塞</w:t>
            </w:r>
          </w:p>
        </w:tc>
        <w:tc>
          <w:tcPr>
            <w:tcW w:w="893"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LS法</w:t>
            </w:r>
          </w:p>
        </w:tc>
        <w:tc>
          <w:tcPr>
            <w:tcW w:w="81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3～18</w:t>
            </w:r>
          </w:p>
        </w:tc>
        <w:tc>
          <w:tcPr>
            <w:tcW w:w="84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w:t>
            </w:r>
          </w:p>
        </w:tc>
        <w:tc>
          <w:tcPr>
            <w:tcW w:w="84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3～100</w:t>
            </w:r>
          </w:p>
        </w:tc>
        <w:tc>
          <w:tcPr>
            <w:tcW w:w="1117"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9～1800</w:t>
            </w:r>
          </w:p>
        </w:tc>
        <w:tc>
          <w:tcPr>
            <w:tcW w:w="1091"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低～重大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18"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14</w:t>
            </w:r>
          </w:p>
        </w:tc>
        <w:tc>
          <w:tcPr>
            <w:tcW w:w="970" w:type="dxa"/>
            <w:vMerge w:val="restart"/>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金属结构类</w:t>
            </w:r>
          </w:p>
        </w:tc>
        <w:tc>
          <w:tcPr>
            <w:tcW w:w="1094" w:type="dxa"/>
            <w:vMerge w:val="restart"/>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闸门</w:t>
            </w:r>
          </w:p>
        </w:tc>
        <w:tc>
          <w:tcPr>
            <w:tcW w:w="199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工作闸门止水</w:t>
            </w:r>
          </w:p>
        </w:tc>
        <w:tc>
          <w:tcPr>
            <w:tcW w:w="1539"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暴露、磨损、侵蚀性介质</w:t>
            </w:r>
          </w:p>
        </w:tc>
        <w:tc>
          <w:tcPr>
            <w:tcW w:w="235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止水老化及破损，渗漏</w:t>
            </w:r>
          </w:p>
        </w:tc>
        <w:tc>
          <w:tcPr>
            <w:tcW w:w="893"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LS法</w:t>
            </w:r>
          </w:p>
        </w:tc>
        <w:tc>
          <w:tcPr>
            <w:tcW w:w="81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3～18</w:t>
            </w:r>
          </w:p>
        </w:tc>
        <w:tc>
          <w:tcPr>
            <w:tcW w:w="84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w:t>
            </w:r>
          </w:p>
        </w:tc>
        <w:tc>
          <w:tcPr>
            <w:tcW w:w="84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3～100</w:t>
            </w:r>
          </w:p>
        </w:tc>
        <w:tc>
          <w:tcPr>
            <w:tcW w:w="1117"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9～1800</w:t>
            </w:r>
          </w:p>
        </w:tc>
        <w:tc>
          <w:tcPr>
            <w:tcW w:w="1091"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低～重大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18"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15</w:t>
            </w:r>
          </w:p>
        </w:tc>
        <w:tc>
          <w:tcPr>
            <w:tcW w:w="970" w:type="dxa"/>
            <w:vMerge w:val="continue"/>
            <w:vAlign w:val="center"/>
          </w:tcPr>
          <w:p>
            <w:pPr>
              <w:snapToGrid w:val="0"/>
              <w:jc w:val="center"/>
              <w:rPr>
                <w:rFonts w:cs="宋体" w:asciiTheme="minorEastAsia" w:hAnsiTheme="minorEastAsia" w:eastAsiaTheme="minorEastAsia"/>
                <w:sz w:val="20"/>
                <w:szCs w:val="20"/>
              </w:rPr>
            </w:pPr>
          </w:p>
        </w:tc>
        <w:tc>
          <w:tcPr>
            <w:tcW w:w="1094" w:type="dxa"/>
            <w:vMerge w:val="continue"/>
            <w:vAlign w:val="center"/>
          </w:tcPr>
          <w:p>
            <w:pPr>
              <w:snapToGrid w:val="0"/>
              <w:jc w:val="left"/>
              <w:rPr>
                <w:rFonts w:cs="宋体" w:asciiTheme="minorEastAsia" w:hAnsiTheme="minorEastAsia" w:eastAsiaTheme="minorEastAsia"/>
                <w:sz w:val="20"/>
                <w:szCs w:val="20"/>
              </w:rPr>
            </w:pPr>
          </w:p>
        </w:tc>
        <w:tc>
          <w:tcPr>
            <w:tcW w:w="199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工作闸门闸下水流</w:t>
            </w:r>
          </w:p>
        </w:tc>
        <w:tc>
          <w:tcPr>
            <w:tcW w:w="1539"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流态异常</w:t>
            </w:r>
          </w:p>
        </w:tc>
        <w:tc>
          <w:tcPr>
            <w:tcW w:w="235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闸门振动</w:t>
            </w:r>
          </w:p>
        </w:tc>
        <w:tc>
          <w:tcPr>
            <w:tcW w:w="893"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LS法</w:t>
            </w:r>
          </w:p>
        </w:tc>
        <w:tc>
          <w:tcPr>
            <w:tcW w:w="81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3～36</w:t>
            </w:r>
          </w:p>
        </w:tc>
        <w:tc>
          <w:tcPr>
            <w:tcW w:w="84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w:t>
            </w:r>
          </w:p>
        </w:tc>
        <w:tc>
          <w:tcPr>
            <w:tcW w:w="84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3～100</w:t>
            </w:r>
          </w:p>
        </w:tc>
        <w:tc>
          <w:tcPr>
            <w:tcW w:w="1117"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3～3600</w:t>
            </w:r>
          </w:p>
        </w:tc>
        <w:tc>
          <w:tcPr>
            <w:tcW w:w="1091"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低～重大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18"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16</w:t>
            </w:r>
          </w:p>
        </w:tc>
        <w:tc>
          <w:tcPr>
            <w:tcW w:w="970" w:type="dxa"/>
            <w:vMerge w:val="continue"/>
            <w:vAlign w:val="center"/>
          </w:tcPr>
          <w:p>
            <w:pPr>
              <w:snapToGrid w:val="0"/>
              <w:jc w:val="center"/>
              <w:rPr>
                <w:rFonts w:cs="宋体" w:asciiTheme="minorEastAsia" w:hAnsiTheme="minorEastAsia" w:eastAsiaTheme="minorEastAsia"/>
                <w:sz w:val="20"/>
                <w:szCs w:val="20"/>
              </w:rPr>
            </w:pPr>
          </w:p>
        </w:tc>
        <w:tc>
          <w:tcPr>
            <w:tcW w:w="1094" w:type="dxa"/>
            <w:vMerge w:val="continue"/>
            <w:vAlign w:val="center"/>
          </w:tcPr>
          <w:p>
            <w:pPr>
              <w:snapToGrid w:val="0"/>
              <w:jc w:val="left"/>
              <w:rPr>
                <w:rFonts w:cs="宋体" w:asciiTheme="minorEastAsia" w:hAnsiTheme="minorEastAsia" w:eastAsiaTheme="minorEastAsia"/>
                <w:sz w:val="20"/>
                <w:szCs w:val="20"/>
              </w:rPr>
            </w:pPr>
          </w:p>
        </w:tc>
        <w:tc>
          <w:tcPr>
            <w:tcW w:w="199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工作闸门门体及埋件</w:t>
            </w:r>
          </w:p>
        </w:tc>
        <w:tc>
          <w:tcPr>
            <w:tcW w:w="1539"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暴露、磨损、锈蚀</w:t>
            </w:r>
          </w:p>
        </w:tc>
        <w:tc>
          <w:tcPr>
            <w:tcW w:w="235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影响闸门启闭</w:t>
            </w:r>
          </w:p>
        </w:tc>
        <w:tc>
          <w:tcPr>
            <w:tcW w:w="893"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LS法</w:t>
            </w:r>
          </w:p>
        </w:tc>
        <w:tc>
          <w:tcPr>
            <w:tcW w:w="81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3～18</w:t>
            </w:r>
          </w:p>
        </w:tc>
        <w:tc>
          <w:tcPr>
            <w:tcW w:w="84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w:t>
            </w:r>
          </w:p>
        </w:tc>
        <w:tc>
          <w:tcPr>
            <w:tcW w:w="84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3～100</w:t>
            </w:r>
          </w:p>
        </w:tc>
        <w:tc>
          <w:tcPr>
            <w:tcW w:w="1117"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9～1800</w:t>
            </w:r>
          </w:p>
        </w:tc>
        <w:tc>
          <w:tcPr>
            <w:tcW w:w="1091"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低～重大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18"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17</w:t>
            </w:r>
          </w:p>
        </w:tc>
        <w:tc>
          <w:tcPr>
            <w:tcW w:w="970" w:type="dxa"/>
            <w:vMerge w:val="continue"/>
            <w:vAlign w:val="center"/>
          </w:tcPr>
          <w:p>
            <w:pPr>
              <w:snapToGrid w:val="0"/>
              <w:jc w:val="center"/>
              <w:rPr>
                <w:rFonts w:cs="宋体" w:asciiTheme="minorEastAsia" w:hAnsiTheme="minorEastAsia" w:eastAsiaTheme="minorEastAsia"/>
                <w:sz w:val="20"/>
                <w:szCs w:val="20"/>
              </w:rPr>
            </w:pPr>
          </w:p>
        </w:tc>
        <w:tc>
          <w:tcPr>
            <w:tcW w:w="1094" w:type="dxa"/>
            <w:vMerge w:val="continue"/>
            <w:vAlign w:val="center"/>
          </w:tcPr>
          <w:p>
            <w:pPr>
              <w:snapToGrid w:val="0"/>
              <w:jc w:val="left"/>
              <w:rPr>
                <w:rFonts w:cs="宋体" w:asciiTheme="minorEastAsia" w:hAnsiTheme="minorEastAsia" w:eastAsiaTheme="minorEastAsia"/>
                <w:sz w:val="20"/>
                <w:szCs w:val="20"/>
              </w:rPr>
            </w:pPr>
          </w:p>
        </w:tc>
        <w:tc>
          <w:tcPr>
            <w:tcW w:w="199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工作闸门支承行走机构部件</w:t>
            </w:r>
          </w:p>
        </w:tc>
        <w:tc>
          <w:tcPr>
            <w:tcW w:w="1539"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暴露、磨损、锈蚀</w:t>
            </w:r>
          </w:p>
        </w:tc>
        <w:tc>
          <w:tcPr>
            <w:tcW w:w="235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影响闸门启闭</w:t>
            </w:r>
          </w:p>
        </w:tc>
        <w:tc>
          <w:tcPr>
            <w:tcW w:w="893"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LS法</w:t>
            </w:r>
          </w:p>
        </w:tc>
        <w:tc>
          <w:tcPr>
            <w:tcW w:w="81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3～6</w:t>
            </w:r>
          </w:p>
        </w:tc>
        <w:tc>
          <w:tcPr>
            <w:tcW w:w="84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w:t>
            </w:r>
          </w:p>
        </w:tc>
        <w:tc>
          <w:tcPr>
            <w:tcW w:w="84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3～100</w:t>
            </w:r>
          </w:p>
        </w:tc>
        <w:tc>
          <w:tcPr>
            <w:tcW w:w="1117"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3～600</w:t>
            </w:r>
          </w:p>
        </w:tc>
        <w:tc>
          <w:tcPr>
            <w:tcW w:w="1091"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低～重大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18"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18</w:t>
            </w:r>
          </w:p>
        </w:tc>
        <w:tc>
          <w:tcPr>
            <w:tcW w:w="970" w:type="dxa"/>
            <w:vMerge w:val="continue"/>
            <w:vAlign w:val="center"/>
          </w:tcPr>
          <w:p>
            <w:pPr>
              <w:snapToGrid w:val="0"/>
              <w:jc w:val="center"/>
              <w:rPr>
                <w:rFonts w:cs="宋体" w:asciiTheme="minorEastAsia" w:hAnsiTheme="minorEastAsia" w:eastAsiaTheme="minorEastAsia"/>
                <w:sz w:val="20"/>
                <w:szCs w:val="20"/>
              </w:rPr>
            </w:pPr>
          </w:p>
        </w:tc>
        <w:tc>
          <w:tcPr>
            <w:tcW w:w="1094" w:type="dxa"/>
            <w:vMerge w:val="continue"/>
            <w:vAlign w:val="center"/>
          </w:tcPr>
          <w:p>
            <w:pPr>
              <w:snapToGrid w:val="0"/>
              <w:jc w:val="left"/>
              <w:rPr>
                <w:rFonts w:cs="宋体" w:asciiTheme="minorEastAsia" w:hAnsiTheme="minorEastAsia" w:eastAsiaTheme="minorEastAsia"/>
                <w:sz w:val="20"/>
                <w:szCs w:val="20"/>
              </w:rPr>
            </w:pPr>
          </w:p>
        </w:tc>
        <w:tc>
          <w:tcPr>
            <w:tcW w:w="199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工作闸门吊耳板、吊座</w:t>
            </w:r>
          </w:p>
        </w:tc>
        <w:tc>
          <w:tcPr>
            <w:tcW w:w="1539"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暴露、锈蚀</w:t>
            </w:r>
          </w:p>
        </w:tc>
        <w:tc>
          <w:tcPr>
            <w:tcW w:w="235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影响闸门启闭</w:t>
            </w:r>
          </w:p>
        </w:tc>
        <w:tc>
          <w:tcPr>
            <w:tcW w:w="893"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LS法</w:t>
            </w:r>
          </w:p>
        </w:tc>
        <w:tc>
          <w:tcPr>
            <w:tcW w:w="81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3～6</w:t>
            </w:r>
          </w:p>
        </w:tc>
        <w:tc>
          <w:tcPr>
            <w:tcW w:w="84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w:t>
            </w:r>
          </w:p>
        </w:tc>
        <w:tc>
          <w:tcPr>
            <w:tcW w:w="84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3～100</w:t>
            </w:r>
          </w:p>
        </w:tc>
        <w:tc>
          <w:tcPr>
            <w:tcW w:w="1117"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3～600</w:t>
            </w:r>
          </w:p>
        </w:tc>
        <w:tc>
          <w:tcPr>
            <w:tcW w:w="1091"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低～重大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18"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19</w:t>
            </w:r>
          </w:p>
        </w:tc>
        <w:tc>
          <w:tcPr>
            <w:tcW w:w="970" w:type="dxa"/>
            <w:vMerge w:val="continue"/>
            <w:vAlign w:val="center"/>
          </w:tcPr>
          <w:p>
            <w:pPr>
              <w:snapToGrid w:val="0"/>
              <w:jc w:val="center"/>
              <w:rPr>
                <w:rFonts w:cs="宋体" w:asciiTheme="minorEastAsia" w:hAnsiTheme="minorEastAsia" w:eastAsiaTheme="minorEastAsia"/>
                <w:sz w:val="20"/>
                <w:szCs w:val="20"/>
              </w:rPr>
            </w:pPr>
          </w:p>
        </w:tc>
        <w:tc>
          <w:tcPr>
            <w:tcW w:w="1094" w:type="dxa"/>
            <w:vMerge w:val="continue"/>
            <w:vAlign w:val="center"/>
          </w:tcPr>
          <w:p>
            <w:pPr>
              <w:snapToGrid w:val="0"/>
              <w:jc w:val="left"/>
              <w:rPr>
                <w:rFonts w:cs="宋体" w:asciiTheme="minorEastAsia" w:hAnsiTheme="minorEastAsia" w:eastAsiaTheme="minorEastAsia"/>
                <w:sz w:val="20"/>
                <w:szCs w:val="20"/>
              </w:rPr>
            </w:pPr>
          </w:p>
        </w:tc>
        <w:tc>
          <w:tcPr>
            <w:tcW w:w="199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工作闸门锁定梁、销</w:t>
            </w:r>
          </w:p>
        </w:tc>
        <w:tc>
          <w:tcPr>
            <w:tcW w:w="1539"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暴露、锈蚀</w:t>
            </w:r>
          </w:p>
        </w:tc>
        <w:tc>
          <w:tcPr>
            <w:tcW w:w="235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影响闸门启闭</w:t>
            </w:r>
          </w:p>
        </w:tc>
        <w:tc>
          <w:tcPr>
            <w:tcW w:w="893"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LS法</w:t>
            </w:r>
          </w:p>
        </w:tc>
        <w:tc>
          <w:tcPr>
            <w:tcW w:w="81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3～6</w:t>
            </w:r>
          </w:p>
        </w:tc>
        <w:tc>
          <w:tcPr>
            <w:tcW w:w="84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w:t>
            </w:r>
          </w:p>
        </w:tc>
        <w:tc>
          <w:tcPr>
            <w:tcW w:w="84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3～100</w:t>
            </w:r>
          </w:p>
        </w:tc>
        <w:tc>
          <w:tcPr>
            <w:tcW w:w="1117"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3～600</w:t>
            </w:r>
          </w:p>
        </w:tc>
        <w:tc>
          <w:tcPr>
            <w:tcW w:w="1091"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低～重大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18"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20</w:t>
            </w:r>
          </w:p>
        </w:tc>
        <w:tc>
          <w:tcPr>
            <w:tcW w:w="970" w:type="dxa"/>
            <w:vMerge w:val="continue"/>
            <w:vAlign w:val="center"/>
          </w:tcPr>
          <w:p>
            <w:pPr>
              <w:snapToGrid w:val="0"/>
              <w:jc w:val="center"/>
              <w:rPr>
                <w:rFonts w:cs="宋体" w:asciiTheme="minorEastAsia" w:hAnsiTheme="minorEastAsia" w:eastAsiaTheme="minorEastAsia"/>
                <w:sz w:val="20"/>
                <w:szCs w:val="20"/>
              </w:rPr>
            </w:pPr>
          </w:p>
        </w:tc>
        <w:tc>
          <w:tcPr>
            <w:tcW w:w="1094" w:type="dxa"/>
            <w:vMerge w:val="continue"/>
            <w:vAlign w:val="center"/>
          </w:tcPr>
          <w:p>
            <w:pPr>
              <w:snapToGrid w:val="0"/>
              <w:jc w:val="left"/>
              <w:rPr>
                <w:rFonts w:cs="宋体" w:asciiTheme="minorEastAsia" w:hAnsiTheme="minorEastAsia" w:eastAsiaTheme="minorEastAsia"/>
                <w:sz w:val="20"/>
                <w:szCs w:val="20"/>
              </w:rPr>
            </w:pPr>
          </w:p>
        </w:tc>
        <w:tc>
          <w:tcPr>
            <w:tcW w:w="199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工作闸门开度限位装置</w:t>
            </w:r>
          </w:p>
        </w:tc>
        <w:tc>
          <w:tcPr>
            <w:tcW w:w="1539"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功能失效</w:t>
            </w:r>
          </w:p>
        </w:tc>
        <w:tc>
          <w:tcPr>
            <w:tcW w:w="235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闸门启闭无上下限保护</w:t>
            </w:r>
          </w:p>
        </w:tc>
        <w:tc>
          <w:tcPr>
            <w:tcW w:w="893"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LS法</w:t>
            </w:r>
          </w:p>
        </w:tc>
        <w:tc>
          <w:tcPr>
            <w:tcW w:w="81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3～18</w:t>
            </w:r>
          </w:p>
        </w:tc>
        <w:tc>
          <w:tcPr>
            <w:tcW w:w="84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w:t>
            </w:r>
          </w:p>
        </w:tc>
        <w:tc>
          <w:tcPr>
            <w:tcW w:w="84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3～100</w:t>
            </w:r>
          </w:p>
        </w:tc>
        <w:tc>
          <w:tcPr>
            <w:tcW w:w="1117"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9～1800</w:t>
            </w:r>
          </w:p>
        </w:tc>
        <w:tc>
          <w:tcPr>
            <w:tcW w:w="1091"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低～重大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18"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21</w:t>
            </w:r>
          </w:p>
        </w:tc>
        <w:tc>
          <w:tcPr>
            <w:tcW w:w="970" w:type="dxa"/>
            <w:vMerge w:val="restart"/>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金属结构类</w:t>
            </w:r>
          </w:p>
        </w:tc>
        <w:tc>
          <w:tcPr>
            <w:tcW w:w="1094" w:type="dxa"/>
            <w:vMerge w:val="restart"/>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闸门</w:t>
            </w:r>
          </w:p>
        </w:tc>
        <w:tc>
          <w:tcPr>
            <w:tcW w:w="199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工作闸门融冰装置</w:t>
            </w:r>
          </w:p>
        </w:tc>
        <w:tc>
          <w:tcPr>
            <w:tcW w:w="1539"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功能失效</w:t>
            </w:r>
          </w:p>
        </w:tc>
        <w:tc>
          <w:tcPr>
            <w:tcW w:w="235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影响闸门启闭</w:t>
            </w:r>
          </w:p>
        </w:tc>
        <w:tc>
          <w:tcPr>
            <w:tcW w:w="893"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LS法</w:t>
            </w:r>
          </w:p>
        </w:tc>
        <w:tc>
          <w:tcPr>
            <w:tcW w:w="81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3～18</w:t>
            </w:r>
          </w:p>
        </w:tc>
        <w:tc>
          <w:tcPr>
            <w:tcW w:w="84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w:t>
            </w:r>
          </w:p>
        </w:tc>
        <w:tc>
          <w:tcPr>
            <w:tcW w:w="84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3～100</w:t>
            </w:r>
          </w:p>
        </w:tc>
        <w:tc>
          <w:tcPr>
            <w:tcW w:w="1117"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9～1800</w:t>
            </w:r>
          </w:p>
        </w:tc>
        <w:tc>
          <w:tcPr>
            <w:tcW w:w="1091"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低～重大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18"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22</w:t>
            </w:r>
          </w:p>
        </w:tc>
        <w:tc>
          <w:tcPr>
            <w:tcW w:w="970" w:type="dxa"/>
            <w:vMerge w:val="continue"/>
            <w:vAlign w:val="center"/>
          </w:tcPr>
          <w:p>
            <w:pPr>
              <w:snapToGrid w:val="0"/>
              <w:jc w:val="center"/>
              <w:rPr>
                <w:rFonts w:cs="宋体" w:asciiTheme="minorEastAsia" w:hAnsiTheme="minorEastAsia" w:eastAsiaTheme="minorEastAsia"/>
                <w:sz w:val="20"/>
                <w:szCs w:val="20"/>
              </w:rPr>
            </w:pPr>
          </w:p>
        </w:tc>
        <w:tc>
          <w:tcPr>
            <w:tcW w:w="1094" w:type="dxa"/>
            <w:vMerge w:val="continue"/>
            <w:vAlign w:val="center"/>
          </w:tcPr>
          <w:p>
            <w:pPr>
              <w:snapToGrid w:val="0"/>
              <w:jc w:val="left"/>
              <w:rPr>
                <w:rFonts w:cs="宋体" w:asciiTheme="minorEastAsia" w:hAnsiTheme="minorEastAsia" w:eastAsiaTheme="minorEastAsia"/>
                <w:sz w:val="20"/>
                <w:szCs w:val="20"/>
              </w:rPr>
            </w:pPr>
          </w:p>
        </w:tc>
        <w:tc>
          <w:tcPr>
            <w:tcW w:w="199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检修闸门止水暴露</w:t>
            </w:r>
          </w:p>
        </w:tc>
        <w:tc>
          <w:tcPr>
            <w:tcW w:w="1539"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暴露、磨损、侵蚀性介质</w:t>
            </w:r>
          </w:p>
        </w:tc>
        <w:tc>
          <w:tcPr>
            <w:tcW w:w="235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止水老化及破损，渗漏</w:t>
            </w:r>
          </w:p>
        </w:tc>
        <w:tc>
          <w:tcPr>
            <w:tcW w:w="893"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LS法</w:t>
            </w:r>
          </w:p>
        </w:tc>
        <w:tc>
          <w:tcPr>
            <w:tcW w:w="81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3～6</w:t>
            </w:r>
          </w:p>
        </w:tc>
        <w:tc>
          <w:tcPr>
            <w:tcW w:w="84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w:t>
            </w:r>
          </w:p>
        </w:tc>
        <w:tc>
          <w:tcPr>
            <w:tcW w:w="84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3～100</w:t>
            </w:r>
          </w:p>
        </w:tc>
        <w:tc>
          <w:tcPr>
            <w:tcW w:w="1117"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3～600</w:t>
            </w:r>
          </w:p>
        </w:tc>
        <w:tc>
          <w:tcPr>
            <w:tcW w:w="1091"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低～重大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18"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23</w:t>
            </w:r>
          </w:p>
        </w:tc>
        <w:tc>
          <w:tcPr>
            <w:tcW w:w="970" w:type="dxa"/>
            <w:vMerge w:val="continue"/>
            <w:vAlign w:val="center"/>
          </w:tcPr>
          <w:p>
            <w:pPr>
              <w:snapToGrid w:val="0"/>
              <w:jc w:val="center"/>
              <w:rPr>
                <w:rFonts w:cs="宋体" w:asciiTheme="minorEastAsia" w:hAnsiTheme="minorEastAsia" w:eastAsiaTheme="minorEastAsia"/>
                <w:sz w:val="20"/>
                <w:szCs w:val="20"/>
              </w:rPr>
            </w:pPr>
          </w:p>
        </w:tc>
        <w:tc>
          <w:tcPr>
            <w:tcW w:w="1094" w:type="dxa"/>
            <w:vMerge w:val="restart"/>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启闭机械</w:t>
            </w:r>
          </w:p>
        </w:tc>
        <w:tc>
          <w:tcPr>
            <w:tcW w:w="199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卷扬式启闭机部件</w:t>
            </w:r>
          </w:p>
        </w:tc>
        <w:tc>
          <w:tcPr>
            <w:tcW w:w="1539"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磨损、锈蚀</w:t>
            </w:r>
          </w:p>
        </w:tc>
        <w:tc>
          <w:tcPr>
            <w:tcW w:w="235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影响启闭</w:t>
            </w:r>
          </w:p>
        </w:tc>
        <w:tc>
          <w:tcPr>
            <w:tcW w:w="893"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LS法</w:t>
            </w:r>
          </w:p>
        </w:tc>
        <w:tc>
          <w:tcPr>
            <w:tcW w:w="81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3～36</w:t>
            </w:r>
          </w:p>
        </w:tc>
        <w:tc>
          <w:tcPr>
            <w:tcW w:w="84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w:t>
            </w:r>
          </w:p>
        </w:tc>
        <w:tc>
          <w:tcPr>
            <w:tcW w:w="84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3～100</w:t>
            </w:r>
          </w:p>
        </w:tc>
        <w:tc>
          <w:tcPr>
            <w:tcW w:w="1117"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3～3600</w:t>
            </w:r>
          </w:p>
        </w:tc>
        <w:tc>
          <w:tcPr>
            <w:tcW w:w="1091"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低～重大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18"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24</w:t>
            </w:r>
          </w:p>
        </w:tc>
        <w:tc>
          <w:tcPr>
            <w:tcW w:w="970" w:type="dxa"/>
            <w:vMerge w:val="continue"/>
            <w:vAlign w:val="center"/>
          </w:tcPr>
          <w:p>
            <w:pPr>
              <w:snapToGrid w:val="0"/>
              <w:jc w:val="left"/>
              <w:rPr>
                <w:rFonts w:cs="宋体" w:asciiTheme="minorEastAsia" w:hAnsiTheme="minorEastAsia" w:eastAsiaTheme="minorEastAsia"/>
                <w:sz w:val="20"/>
                <w:szCs w:val="20"/>
              </w:rPr>
            </w:pPr>
          </w:p>
        </w:tc>
        <w:tc>
          <w:tcPr>
            <w:tcW w:w="1094" w:type="dxa"/>
            <w:vMerge w:val="continue"/>
            <w:vAlign w:val="center"/>
          </w:tcPr>
          <w:p>
            <w:pPr>
              <w:snapToGrid w:val="0"/>
              <w:jc w:val="left"/>
              <w:rPr>
                <w:rFonts w:cs="宋体" w:asciiTheme="minorEastAsia" w:hAnsiTheme="minorEastAsia" w:eastAsiaTheme="minorEastAsia"/>
                <w:sz w:val="20"/>
                <w:szCs w:val="20"/>
              </w:rPr>
            </w:pPr>
          </w:p>
        </w:tc>
        <w:tc>
          <w:tcPr>
            <w:tcW w:w="199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卷扬式启闭机钢丝绳</w:t>
            </w:r>
          </w:p>
        </w:tc>
        <w:tc>
          <w:tcPr>
            <w:tcW w:w="1539"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磨损、锈蚀、压块松动</w:t>
            </w:r>
          </w:p>
        </w:tc>
        <w:tc>
          <w:tcPr>
            <w:tcW w:w="235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影响启闭</w:t>
            </w:r>
          </w:p>
        </w:tc>
        <w:tc>
          <w:tcPr>
            <w:tcW w:w="893"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LS法</w:t>
            </w:r>
          </w:p>
        </w:tc>
        <w:tc>
          <w:tcPr>
            <w:tcW w:w="81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3～36</w:t>
            </w:r>
          </w:p>
        </w:tc>
        <w:tc>
          <w:tcPr>
            <w:tcW w:w="84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w:t>
            </w:r>
          </w:p>
        </w:tc>
        <w:tc>
          <w:tcPr>
            <w:tcW w:w="84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3～100</w:t>
            </w:r>
          </w:p>
        </w:tc>
        <w:tc>
          <w:tcPr>
            <w:tcW w:w="1117"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3～3600</w:t>
            </w:r>
          </w:p>
        </w:tc>
        <w:tc>
          <w:tcPr>
            <w:tcW w:w="1091"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低～重大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18"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25</w:t>
            </w:r>
          </w:p>
        </w:tc>
        <w:tc>
          <w:tcPr>
            <w:tcW w:w="970" w:type="dxa"/>
            <w:vMerge w:val="continue"/>
            <w:vAlign w:val="center"/>
          </w:tcPr>
          <w:p>
            <w:pPr>
              <w:snapToGrid w:val="0"/>
              <w:jc w:val="center"/>
              <w:rPr>
                <w:rFonts w:cs="宋体" w:asciiTheme="minorEastAsia" w:hAnsiTheme="minorEastAsia" w:eastAsiaTheme="minorEastAsia"/>
                <w:sz w:val="20"/>
                <w:szCs w:val="20"/>
              </w:rPr>
            </w:pPr>
          </w:p>
        </w:tc>
        <w:tc>
          <w:tcPr>
            <w:tcW w:w="1094" w:type="dxa"/>
            <w:vMerge w:val="continue"/>
            <w:vAlign w:val="center"/>
          </w:tcPr>
          <w:p>
            <w:pPr>
              <w:snapToGrid w:val="0"/>
              <w:jc w:val="center"/>
              <w:rPr>
                <w:rFonts w:cs="宋体" w:asciiTheme="minorEastAsia" w:hAnsiTheme="minorEastAsia" w:eastAsiaTheme="minorEastAsia"/>
                <w:sz w:val="20"/>
                <w:szCs w:val="20"/>
              </w:rPr>
            </w:pPr>
          </w:p>
        </w:tc>
        <w:tc>
          <w:tcPr>
            <w:tcW w:w="199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液压式启闭机部件</w:t>
            </w:r>
          </w:p>
        </w:tc>
        <w:tc>
          <w:tcPr>
            <w:tcW w:w="1539"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磨损、锈蚀</w:t>
            </w:r>
          </w:p>
        </w:tc>
        <w:tc>
          <w:tcPr>
            <w:tcW w:w="235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影响启闭</w:t>
            </w:r>
          </w:p>
        </w:tc>
        <w:tc>
          <w:tcPr>
            <w:tcW w:w="893"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LS法</w:t>
            </w:r>
          </w:p>
        </w:tc>
        <w:tc>
          <w:tcPr>
            <w:tcW w:w="81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3～36</w:t>
            </w:r>
          </w:p>
        </w:tc>
        <w:tc>
          <w:tcPr>
            <w:tcW w:w="84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w:t>
            </w:r>
          </w:p>
        </w:tc>
        <w:tc>
          <w:tcPr>
            <w:tcW w:w="84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3～100</w:t>
            </w:r>
          </w:p>
        </w:tc>
        <w:tc>
          <w:tcPr>
            <w:tcW w:w="1117"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3～3600</w:t>
            </w:r>
          </w:p>
        </w:tc>
        <w:tc>
          <w:tcPr>
            <w:tcW w:w="1091"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低～重大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18"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26</w:t>
            </w:r>
          </w:p>
        </w:tc>
        <w:tc>
          <w:tcPr>
            <w:tcW w:w="970" w:type="dxa"/>
            <w:vMerge w:val="continue"/>
            <w:vAlign w:val="center"/>
          </w:tcPr>
          <w:p>
            <w:pPr>
              <w:snapToGrid w:val="0"/>
              <w:jc w:val="center"/>
              <w:rPr>
                <w:rFonts w:cs="宋体" w:asciiTheme="minorEastAsia" w:hAnsiTheme="minorEastAsia" w:eastAsiaTheme="minorEastAsia"/>
                <w:sz w:val="20"/>
                <w:szCs w:val="20"/>
              </w:rPr>
            </w:pPr>
          </w:p>
        </w:tc>
        <w:tc>
          <w:tcPr>
            <w:tcW w:w="1094" w:type="dxa"/>
            <w:vMerge w:val="continue"/>
            <w:vAlign w:val="center"/>
          </w:tcPr>
          <w:p>
            <w:pPr>
              <w:snapToGrid w:val="0"/>
              <w:jc w:val="center"/>
              <w:rPr>
                <w:rFonts w:cs="宋体" w:asciiTheme="minorEastAsia" w:hAnsiTheme="minorEastAsia" w:eastAsiaTheme="minorEastAsia"/>
                <w:sz w:val="20"/>
                <w:szCs w:val="20"/>
              </w:rPr>
            </w:pPr>
          </w:p>
        </w:tc>
        <w:tc>
          <w:tcPr>
            <w:tcW w:w="199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液压式启闭机自动纠偏系统</w:t>
            </w:r>
          </w:p>
        </w:tc>
        <w:tc>
          <w:tcPr>
            <w:tcW w:w="1539"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功能失效</w:t>
            </w:r>
          </w:p>
        </w:tc>
        <w:tc>
          <w:tcPr>
            <w:tcW w:w="235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影响设备运行</w:t>
            </w:r>
          </w:p>
        </w:tc>
        <w:tc>
          <w:tcPr>
            <w:tcW w:w="893"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LS法</w:t>
            </w:r>
          </w:p>
        </w:tc>
        <w:tc>
          <w:tcPr>
            <w:tcW w:w="81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3～6</w:t>
            </w:r>
          </w:p>
        </w:tc>
        <w:tc>
          <w:tcPr>
            <w:tcW w:w="84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w:t>
            </w:r>
          </w:p>
        </w:tc>
        <w:tc>
          <w:tcPr>
            <w:tcW w:w="84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3～100</w:t>
            </w:r>
          </w:p>
        </w:tc>
        <w:tc>
          <w:tcPr>
            <w:tcW w:w="1117"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3～600</w:t>
            </w:r>
          </w:p>
        </w:tc>
        <w:tc>
          <w:tcPr>
            <w:tcW w:w="1091"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低～重大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18"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27</w:t>
            </w:r>
          </w:p>
        </w:tc>
        <w:tc>
          <w:tcPr>
            <w:tcW w:w="970" w:type="dxa"/>
            <w:vMerge w:val="continue"/>
            <w:vAlign w:val="center"/>
          </w:tcPr>
          <w:p>
            <w:pPr>
              <w:snapToGrid w:val="0"/>
              <w:jc w:val="center"/>
              <w:rPr>
                <w:rFonts w:cs="宋体" w:asciiTheme="minorEastAsia" w:hAnsiTheme="minorEastAsia" w:eastAsiaTheme="minorEastAsia"/>
                <w:sz w:val="20"/>
                <w:szCs w:val="20"/>
              </w:rPr>
            </w:pPr>
          </w:p>
        </w:tc>
        <w:tc>
          <w:tcPr>
            <w:tcW w:w="1094" w:type="dxa"/>
            <w:vMerge w:val="continue"/>
            <w:vAlign w:val="center"/>
          </w:tcPr>
          <w:p>
            <w:pPr>
              <w:snapToGrid w:val="0"/>
              <w:jc w:val="center"/>
              <w:rPr>
                <w:rFonts w:cs="宋体" w:asciiTheme="minorEastAsia" w:hAnsiTheme="minorEastAsia" w:eastAsiaTheme="minorEastAsia"/>
                <w:sz w:val="20"/>
                <w:szCs w:val="20"/>
              </w:rPr>
            </w:pPr>
          </w:p>
        </w:tc>
        <w:tc>
          <w:tcPr>
            <w:tcW w:w="199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液压式启闭机油泵</w:t>
            </w:r>
          </w:p>
        </w:tc>
        <w:tc>
          <w:tcPr>
            <w:tcW w:w="1539"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未及时维修养护</w:t>
            </w:r>
          </w:p>
        </w:tc>
        <w:tc>
          <w:tcPr>
            <w:tcW w:w="235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影响启闭</w:t>
            </w:r>
          </w:p>
        </w:tc>
        <w:tc>
          <w:tcPr>
            <w:tcW w:w="893"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LS法</w:t>
            </w:r>
          </w:p>
        </w:tc>
        <w:tc>
          <w:tcPr>
            <w:tcW w:w="81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3～18</w:t>
            </w:r>
          </w:p>
        </w:tc>
        <w:tc>
          <w:tcPr>
            <w:tcW w:w="84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w:t>
            </w:r>
          </w:p>
        </w:tc>
        <w:tc>
          <w:tcPr>
            <w:tcW w:w="84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3～100</w:t>
            </w:r>
          </w:p>
        </w:tc>
        <w:tc>
          <w:tcPr>
            <w:tcW w:w="1117"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9～1800</w:t>
            </w:r>
          </w:p>
        </w:tc>
        <w:tc>
          <w:tcPr>
            <w:tcW w:w="1091"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低～重大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18"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28</w:t>
            </w:r>
          </w:p>
        </w:tc>
        <w:tc>
          <w:tcPr>
            <w:tcW w:w="970" w:type="dxa"/>
            <w:vMerge w:val="continue"/>
            <w:vAlign w:val="center"/>
          </w:tcPr>
          <w:p>
            <w:pPr>
              <w:snapToGrid w:val="0"/>
              <w:jc w:val="center"/>
              <w:rPr>
                <w:rFonts w:cs="宋体" w:asciiTheme="minorEastAsia" w:hAnsiTheme="minorEastAsia" w:eastAsiaTheme="minorEastAsia"/>
                <w:sz w:val="20"/>
                <w:szCs w:val="20"/>
              </w:rPr>
            </w:pPr>
          </w:p>
        </w:tc>
        <w:tc>
          <w:tcPr>
            <w:tcW w:w="1094" w:type="dxa"/>
            <w:vMerge w:val="continue"/>
            <w:vAlign w:val="center"/>
          </w:tcPr>
          <w:p>
            <w:pPr>
              <w:snapToGrid w:val="0"/>
              <w:jc w:val="center"/>
              <w:rPr>
                <w:rFonts w:cs="宋体" w:asciiTheme="minorEastAsia" w:hAnsiTheme="minorEastAsia" w:eastAsiaTheme="minorEastAsia"/>
                <w:sz w:val="20"/>
                <w:szCs w:val="20"/>
              </w:rPr>
            </w:pPr>
          </w:p>
        </w:tc>
        <w:tc>
          <w:tcPr>
            <w:tcW w:w="199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液压式启闭机油管系统</w:t>
            </w:r>
          </w:p>
        </w:tc>
        <w:tc>
          <w:tcPr>
            <w:tcW w:w="1539"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功能失效</w:t>
            </w:r>
          </w:p>
        </w:tc>
        <w:tc>
          <w:tcPr>
            <w:tcW w:w="235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影响启闭</w:t>
            </w:r>
          </w:p>
        </w:tc>
        <w:tc>
          <w:tcPr>
            <w:tcW w:w="893"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LS法</w:t>
            </w:r>
          </w:p>
        </w:tc>
        <w:tc>
          <w:tcPr>
            <w:tcW w:w="81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3～6</w:t>
            </w:r>
          </w:p>
        </w:tc>
        <w:tc>
          <w:tcPr>
            <w:tcW w:w="84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w:t>
            </w:r>
          </w:p>
        </w:tc>
        <w:tc>
          <w:tcPr>
            <w:tcW w:w="84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3～100</w:t>
            </w:r>
          </w:p>
        </w:tc>
        <w:tc>
          <w:tcPr>
            <w:tcW w:w="1117"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3～600</w:t>
            </w:r>
          </w:p>
        </w:tc>
        <w:tc>
          <w:tcPr>
            <w:tcW w:w="1091"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低～重大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18"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29</w:t>
            </w:r>
          </w:p>
        </w:tc>
        <w:tc>
          <w:tcPr>
            <w:tcW w:w="970" w:type="dxa"/>
            <w:vMerge w:val="continue"/>
            <w:vAlign w:val="center"/>
          </w:tcPr>
          <w:p>
            <w:pPr>
              <w:snapToGrid w:val="0"/>
              <w:jc w:val="left"/>
              <w:rPr>
                <w:rFonts w:cs="宋体" w:asciiTheme="minorEastAsia" w:hAnsiTheme="minorEastAsia" w:eastAsiaTheme="minorEastAsia"/>
                <w:sz w:val="20"/>
                <w:szCs w:val="20"/>
              </w:rPr>
            </w:pPr>
          </w:p>
        </w:tc>
        <w:tc>
          <w:tcPr>
            <w:tcW w:w="1094" w:type="dxa"/>
            <w:vMerge w:val="continue"/>
            <w:vAlign w:val="center"/>
          </w:tcPr>
          <w:p>
            <w:pPr>
              <w:snapToGrid w:val="0"/>
              <w:jc w:val="left"/>
              <w:rPr>
                <w:rFonts w:cs="宋体" w:asciiTheme="minorEastAsia" w:hAnsiTheme="minorEastAsia" w:eastAsiaTheme="minorEastAsia"/>
                <w:sz w:val="20"/>
                <w:szCs w:val="20"/>
              </w:rPr>
            </w:pPr>
          </w:p>
        </w:tc>
        <w:tc>
          <w:tcPr>
            <w:tcW w:w="199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液压油油量、油质</w:t>
            </w:r>
          </w:p>
        </w:tc>
        <w:tc>
          <w:tcPr>
            <w:tcW w:w="1539"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油量不足、油质不纯</w:t>
            </w:r>
          </w:p>
        </w:tc>
        <w:tc>
          <w:tcPr>
            <w:tcW w:w="235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影响设备运行</w:t>
            </w:r>
          </w:p>
        </w:tc>
        <w:tc>
          <w:tcPr>
            <w:tcW w:w="893"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LS法</w:t>
            </w:r>
          </w:p>
        </w:tc>
        <w:tc>
          <w:tcPr>
            <w:tcW w:w="81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3～18</w:t>
            </w:r>
          </w:p>
        </w:tc>
        <w:tc>
          <w:tcPr>
            <w:tcW w:w="84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w:t>
            </w:r>
          </w:p>
        </w:tc>
        <w:tc>
          <w:tcPr>
            <w:tcW w:w="84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3～100</w:t>
            </w:r>
          </w:p>
        </w:tc>
        <w:tc>
          <w:tcPr>
            <w:tcW w:w="1117"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9～1800</w:t>
            </w:r>
          </w:p>
        </w:tc>
        <w:tc>
          <w:tcPr>
            <w:tcW w:w="1091"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低～重大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18"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30</w:t>
            </w:r>
          </w:p>
        </w:tc>
        <w:tc>
          <w:tcPr>
            <w:tcW w:w="970" w:type="dxa"/>
            <w:vMerge w:val="continue"/>
            <w:vAlign w:val="center"/>
          </w:tcPr>
          <w:p>
            <w:pPr>
              <w:snapToGrid w:val="0"/>
              <w:jc w:val="left"/>
              <w:rPr>
                <w:rFonts w:cs="宋体" w:asciiTheme="minorEastAsia" w:hAnsiTheme="minorEastAsia" w:eastAsiaTheme="minorEastAsia"/>
                <w:sz w:val="20"/>
                <w:szCs w:val="20"/>
              </w:rPr>
            </w:pPr>
          </w:p>
        </w:tc>
        <w:tc>
          <w:tcPr>
            <w:tcW w:w="1094" w:type="dxa"/>
            <w:vMerge w:val="continue"/>
            <w:vAlign w:val="center"/>
          </w:tcPr>
          <w:p>
            <w:pPr>
              <w:snapToGrid w:val="0"/>
              <w:jc w:val="left"/>
              <w:rPr>
                <w:rFonts w:cs="宋体" w:asciiTheme="minorEastAsia" w:hAnsiTheme="minorEastAsia" w:eastAsiaTheme="minorEastAsia"/>
                <w:sz w:val="20"/>
                <w:szCs w:val="20"/>
              </w:rPr>
            </w:pPr>
          </w:p>
        </w:tc>
        <w:tc>
          <w:tcPr>
            <w:tcW w:w="199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螺杆式启闭机部件</w:t>
            </w:r>
          </w:p>
        </w:tc>
        <w:tc>
          <w:tcPr>
            <w:tcW w:w="1539"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磨损、变形</w:t>
            </w:r>
          </w:p>
        </w:tc>
        <w:tc>
          <w:tcPr>
            <w:tcW w:w="235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影响启闭</w:t>
            </w:r>
          </w:p>
        </w:tc>
        <w:tc>
          <w:tcPr>
            <w:tcW w:w="893"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LS法</w:t>
            </w:r>
          </w:p>
        </w:tc>
        <w:tc>
          <w:tcPr>
            <w:tcW w:w="81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3～18</w:t>
            </w:r>
          </w:p>
        </w:tc>
        <w:tc>
          <w:tcPr>
            <w:tcW w:w="84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w:t>
            </w:r>
          </w:p>
        </w:tc>
        <w:tc>
          <w:tcPr>
            <w:tcW w:w="84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3～100</w:t>
            </w:r>
          </w:p>
        </w:tc>
        <w:tc>
          <w:tcPr>
            <w:tcW w:w="1117"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9～1800</w:t>
            </w:r>
          </w:p>
        </w:tc>
        <w:tc>
          <w:tcPr>
            <w:tcW w:w="1091"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低～重大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18"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w:t>
            </w:r>
          </w:p>
        </w:tc>
        <w:tc>
          <w:tcPr>
            <w:tcW w:w="970" w:type="dxa"/>
            <w:vMerge w:val="continue"/>
            <w:vAlign w:val="center"/>
          </w:tcPr>
          <w:p>
            <w:pPr>
              <w:snapToGrid w:val="0"/>
              <w:jc w:val="left"/>
              <w:rPr>
                <w:rFonts w:cs="宋体" w:asciiTheme="minorEastAsia" w:hAnsiTheme="minorEastAsia" w:eastAsiaTheme="minorEastAsia"/>
                <w:sz w:val="20"/>
                <w:szCs w:val="20"/>
              </w:rPr>
            </w:pPr>
          </w:p>
        </w:tc>
        <w:tc>
          <w:tcPr>
            <w:tcW w:w="1094" w:type="dxa"/>
            <w:vMerge w:val="continue"/>
            <w:vAlign w:val="center"/>
          </w:tcPr>
          <w:p>
            <w:pPr>
              <w:snapToGrid w:val="0"/>
              <w:jc w:val="left"/>
              <w:rPr>
                <w:rFonts w:cs="宋体" w:asciiTheme="minorEastAsia" w:hAnsiTheme="minorEastAsia" w:eastAsiaTheme="minorEastAsia"/>
                <w:sz w:val="20"/>
                <w:szCs w:val="20"/>
              </w:rPr>
            </w:pPr>
          </w:p>
        </w:tc>
        <w:tc>
          <w:tcPr>
            <w:tcW w:w="199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门机部件</w:t>
            </w:r>
          </w:p>
        </w:tc>
        <w:tc>
          <w:tcPr>
            <w:tcW w:w="1539"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磨损、锈蚀</w:t>
            </w:r>
          </w:p>
        </w:tc>
        <w:tc>
          <w:tcPr>
            <w:tcW w:w="235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影响启闭</w:t>
            </w:r>
          </w:p>
        </w:tc>
        <w:tc>
          <w:tcPr>
            <w:tcW w:w="893"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LS法</w:t>
            </w:r>
          </w:p>
        </w:tc>
        <w:tc>
          <w:tcPr>
            <w:tcW w:w="81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3～18</w:t>
            </w:r>
          </w:p>
        </w:tc>
        <w:tc>
          <w:tcPr>
            <w:tcW w:w="84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w:t>
            </w:r>
          </w:p>
        </w:tc>
        <w:tc>
          <w:tcPr>
            <w:tcW w:w="84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3～100</w:t>
            </w:r>
          </w:p>
        </w:tc>
        <w:tc>
          <w:tcPr>
            <w:tcW w:w="1117"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9～1800</w:t>
            </w:r>
          </w:p>
        </w:tc>
        <w:tc>
          <w:tcPr>
            <w:tcW w:w="1091"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低～重大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18"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32</w:t>
            </w:r>
          </w:p>
        </w:tc>
        <w:tc>
          <w:tcPr>
            <w:tcW w:w="970" w:type="dxa"/>
            <w:vMerge w:val="continue"/>
            <w:vAlign w:val="center"/>
          </w:tcPr>
          <w:p>
            <w:pPr>
              <w:snapToGrid w:val="0"/>
              <w:jc w:val="left"/>
              <w:rPr>
                <w:rFonts w:cs="宋体" w:asciiTheme="minorEastAsia" w:hAnsiTheme="minorEastAsia" w:eastAsiaTheme="minorEastAsia"/>
                <w:sz w:val="20"/>
                <w:szCs w:val="20"/>
              </w:rPr>
            </w:pPr>
          </w:p>
        </w:tc>
        <w:tc>
          <w:tcPr>
            <w:tcW w:w="1094" w:type="dxa"/>
            <w:vMerge w:val="continue"/>
            <w:vAlign w:val="center"/>
          </w:tcPr>
          <w:p>
            <w:pPr>
              <w:snapToGrid w:val="0"/>
              <w:jc w:val="left"/>
              <w:rPr>
                <w:rFonts w:cs="宋体" w:asciiTheme="minorEastAsia" w:hAnsiTheme="minorEastAsia" w:eastAsiaTheme="minorEastAsia"/>
                <w:sz w:val="20"/>
                <w:szCs w:val="20"/>
              </w:rPr>
            </w:pPr>
          </w:p>
        </w:tc>
        <w:tc>
          <w:tcPr>
            <w:tcW w:w="199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门机制动器</w:t>
            </w:r>
          </w:p>
        </w:tc>
        <w:tc>
          <w:tcPr>
            <w:tcW w:w="1539"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磨损、锈蚀</w:t>
            </w:r>
          </w:p>
        </w:tc>
        <w:tc>
          <w:tcPr>
            <w:tcW w:w="235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影响设备运行</w:t>
            </w:r>
          </w:p>
        </w:tc>
        <w:tc>
          <w:tcPr>
            <w:tcW w:w="893"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LS法</w:t>
            </w:r>
          </w:p>
        </w:tc>
        <w:tc>
          <w:tcPr>
            <w:tcW w:w="81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3～6</w:t>
            </w:r>
          </w:p>
        </w:tc>
        <w:tc>
          <w:tcPr>
            <w:tcW w:w="84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w:t>
            </w:r>
          </w:p>
        </w:tc>
        <w:tc>
          <w:tcPr>
            <w:tcW w:w="84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3～100</w:t>
            </w:r>
          </w:p>
        </w:tc>
        <w:tc>
          <w:tcPr>
            <w:tcW w:w="1117"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3～600</w:t>
            </w:r>
          </w:p>
        </w:tc>
        <w:tc>
          <w:tcPr>
            <w:tcW w:w="1091"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低～重大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18"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33</w:t>
            </w:r>
          </w:p>
        </w:tc>
        <w:tc>
          <w:tcPr>
            <w:tcW w:w="970" w:type="dxa"/>
            <w:vMerge w:val="continue"/>
            <w:vAlign w:val="center"/>
          </w:tcPr>
          <w:p>
            <w:pPr>
              <w:snapToGrid w:val="0"/>
              <w:jc w:val="left"/>
              <w:rPr>
                <w:rFonts w:cs="宋体" w:asciiTheme="minorEastAsia" w:hAnsiTheme="minorEastAsia" w:eastAsiaTheme="minorEastAsia"/>
                <w:sz w:val="20"/>
                <w:szCs w:val="20"/>
              </w:rPr>
            </w:pPr>
          </w:p>
        </w:tc>
        <w:tc>
          <w:tcPr>
            <w:tcW w:w="1094" w:type="dxa"/>
            <w:vMerge w:val="continue"/>
            <w:vAlign w:val="center"/>
          </w:tcPr>
          <w:p>
            <w:pPr>
              <w:snapToGrid w:val="0"/>
              <w:jc w:val="left"/>
              <w:rPr>
                <w:rFonts w:cs="宋体" w:asciiTheme="minorEastAsia" w:hAnsiTheme="minorEastAsia" w:eastAsiaTheme="minorEastAsia"/>
                <w:sz w:val="20"/>
                <w:szCs w:val="20"/>
              </w:rPr>
            </w:pPr>
          </w:p>
        </w:tc>
        <w:tc>
          <w:tcPr>
            <w:tcW w:w="199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门机轨道</w:t>
            </w:r>
          </w:p>
        </w:tc>
        <w:tc>
          <w:tcPr>
            <w:tcW w:w="1539"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磨损、锈蚀</w:t>
            </w:r>
          </w:p>
        </w:tc>
        <w:tc>
          <w:tcPr>
            <w:tcW w:w="235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影响设备运行</w:t>
            </w:r>
          </w:p>
        </w:tc>
        <w:tc>
          <w:tcPr>
            <w:tcW w:w="893"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LS法</w:t>
            </w:r>
          </w:p>
        </w:tc>
        <w:tc>
          <w:tcPr>
            <w:tcW w:w="81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3～6</w:t>
            </w:r>
          </w:p>
        </w:tc>
        <w:tc>
          <w:tcPr>
            <w:tcW w:w="84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w:t>
            </w:r>
          </w:p>
        </w:tc>
        <w:tc>
          <w:tcPr>
            <w:tcW w:w="84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3～100</w:t>
            </w:r>
          </w:p>
        </w:tc>
        <w:tc>
          <w:tcPr>
            <w:tcW w:w="1117"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3～600</w:t>
            </w:r>
          </w:p>
        </w:tc>
        <w:tc>
          <w:tcPr>
            <w:tcW w:w="1091"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低～重大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18"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34</w:t>
            </w:r>
          </w:p>
        </w:tc>
        <w:tc>
          <w:tcPr>
            <w:tcW w:w="970" w:type="dxa"/>
            <w:vMerge w:val="continue"/>
            <w:vAlign w:val="center"/>
          </w:tcPr>
          <w:p>
            <w:pPr>
              <w:snapToGrid w:val="0"/>
              <w:jc w:val="left"/>
              <w:rPr>
                <w:rFonts w:cs="宋体" w:asciiTheme="minorEastAsia" w:hAnsiTheme="minorEastAsia" w:eastAsiaTheme="minorEastAsia"/>
                <w:sz w:val="20"/>
                <w:szCs w:val="20"/>
              </w:rPr>
            </w:pPr>
          </w:p>
        </w:tc>
        <w:tc>
          <w:tcPr>
            <w:tcW w:w="1094" w:type="dxa"/>
            <w:vMerge w:val="continue"/>
            <w:vAlign w:val="center"/>
          </w:tcPr>
          <w:p>
            <w:pPr>
              <w:snapToGrid w:val="0"/>
              <w:jc w:val="left"/>
              <w:rPr>
                <w:rFonts w:cs="宋体" w:asciiTheme="minorEastAsia" w:hAnsiTheme="minorEastAsia" w:eastAsiaTheme="minorEastAsia"/>
                <w:sz w:val="20"/>
                <w:szCs w:val="20"/>
              </w:rPr>
            </w:pPr>
          </w:p>
        </w:tc>
        <w:tc>
          <w:tcPr>
            <w:tcW w:w="199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门机钢丝绳</w:t>
            </w:r>
          </w:p>
        </w:tc>
        <w:tc>
          <w:tcPr>
            <w:tcW w:w="1539"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磨损、锈蚀、压块松动</w:t>
            </w:r>
          </w:p>
        </w:tc>
        <w:tc>
          <w:tcPr>
            <w:tcW w:w="235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影响启闭</w:t>
            </w:r>
          </w:p>
        </w:tc>
        <w:tc>
          <w:tcPr>
            <w:tcW w:w="893"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LS法</w:t>
            </w:r>
          </w:p>
        </w:tc>
        <w:tc>
          <w:tcPr>
            <w:tcW w:w="81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3～36</w:t>
            </w:r>
          </w:p>
        </w:tc>
        <w:tc>
          <w:tcPr>
            <w:tcW w:w="84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w:t>
            </w:r>
          </w:p>
        </w:tc>
        <w:tc>
          <w:tcPr>
            <w:tcW w:w="84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3～100</w:t>
            </w:r>
          </w:p>
        </w:tc>
        <w:tc>
          <w:tcPr>
            <w:tcW w:w="1117"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3～3600</w:t>
            </w:r>
          </w:p>
        </w:tc>
        <w:tc>
          <w:tcPr>
            <w:tcW w:w="1091"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低～重大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18"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35</w:t>
            </w:r>
          </w:p>
        </w:tc>
        <w:tc>
          <w:tcPr>
            <w:tcW w:w="970" w:type="dxa"/>
            <w:vMerge w:val="continue"/>
            <w:vAlign w:val="center"/>
          </w:tcPr>
          <w:p>
            <w:pPr>
              <w:snapToGrid w:val="0"/>
              <w:jc w:val="left"/>
              <w:rPr>
                <w:rFonts w:cs="宋体" w:asciiTheme="minorEastAsia" w:hAnsiTheme="minorEastAsia" w:eastAsiaTheme="minorEastAsia"/>
                <w:sz w:val="20"/>
                <w:szCs w:val="20"/>
              </w:rPr>
            </w:pPr>
          </w:p>
        </w:tc>
        <w:tc>
          <w:tcPr>
            <w:tcW w:w="1094" w:type="dxa"/>
            <w:vMerge w:val="continue"/>
            <w:vAlign w:val="center"/>
          </w:tcPr>
          <w:p>
            <w:pPr>
              <w:snapToGrid w:val="0"/>
              <w:jc w:val="left"/>
              <w:rPr>
                <w:rFonts w:cs="宋体" w:asciiTheme="minorEastAsia" w:hAnsiTheme="minorEastAsia" w:eastAsiaTheme="minorEastAsia"/>
                <w:sz w:val="20"/>
                <w:szCs w:val="20"/>
              </w:rPr>
            </w:pPr>
          </w:p>
        </w:tc>
        <w:tc>
          <w:tcPr>
            <w:tcW w:w="199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电动葫芦部件</w:t>
            </w:r>
          </w:p>
        </w:tc>
        <w:tc>
          <w:tcPr>
            <w:tcW w:w="1539"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磨损、锈蚀</w:t>
            </w:r>
          </w:p>
        </w:tc>
        <w:tc>
          <w:tcPr>
            <w:tcW w:w="235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影响启闭</w:t>
            </w:r>
          </w:p>
        </w:tc>
        <w:tc>
          <w:tcPr>
            <w:tcW w:w="893"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LS法</w:t>
            </w:r>
          </w:p>
        </w:tc>
        <w:tc>
          <w:tcPr>
            <w:tcW w:w="81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3～18</w:t>
            </w:r>
          </w:p>
        </w:tc>
        <w:tc>
          <w:tcPr>
            <w:tcW w:w="84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w:t>
            </w:r>
          </w:p>
        </w:tc>
        <w:tc>
          <w:tcPr>
            <w:tcW w:w="84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3～100</w:t>
            </w:r>
          </w:p>
        </w:tc>
        <w:tc>
          <w:tcPr>
            <w:tcW w:w="1117"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9～1800</w:t>
            </w:r>
          </w:p>
        </w:tc>
        <w:tc>
          <w:tcPr>
            <w:tcW w:w="1091"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低～重大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18"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36</w:t>
            </w:r>
          </w:p>
        </w:tc>
        <w:tc>
          <w:tcPr>
            <w:tcW w:w="970" w:type="dxa"/>
            <w:vMerge w:val="restart"/>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金属结构类</w:t>
            </w:r>
          </w:p>
        </w:tc>
        <w:tc>
          <w:tcPr>
            <w:tcW w:w="1094" w:type="dxa"/>
            <w:vMerge w:val="restart"/>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启闭机械</w:t>
            </w:r>
          </w:p>
        </w:tc>
        <w:tc>
          <w:tcPr>
            <w:tcW w:w="199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电动葫芦钢丝绳</w:t>
            </w:r>
          </w:p>
        </w:tc>
        <w:tc>
          <w:tcPr>
            <w:tcW w:w="1539"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磨损、锈蚀、压块松动</w:t>
            </w:r>
          </w:p>
        </w:tc>
        <w:tc>
          <w:tcPr>
            <w:tcW w:w="235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影响启闭</w:t>
            </w:r>
          </w:p>
        </w:tc>
        <w:tc>
          <w:tcPr>
            <w:tcW w:w="893"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LS法</w:t>
            </w:r>
          </w:p>
        </w:tc>
        <w:tc>
          <w:tcPr>
            <w:tcW w:w="81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3～36</w:t>
            </w:r>
          </w:p>
        </w:tc>
        <w:tc>
          <w:tcPr>
            <w:tcW w:w="84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w:t>
            </w:r>
          </w:p>
        </w:tc>
        <w:tc>
          <w:tcPr>
            <w:tcW w:w="84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3～100</w:t>
            </w:r>
          </w:p>
        </w:tc>
        <w:tc>
          <w:tcPr>
            <w:tcW w:w="1117"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3～3600</w:t>
            </w:r>
          </w:p>
        </w:tc>
        <w:tc>
          <w:tcPr>
            <w:tcW w:w="1091"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低～重大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18"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37</w:t>
            </w:r>
          </w:p>
        </w:tc>
        <w:tc>
          <w:tcPr>
            <w:tcW w:w="970" w:type="dxa"/>
            <w:vMerge w:val="continue"/>
            <w:vAlign w:val="center"/>
          </w:tcPr>
          <w:p>
            <w:pPr>
              <w:snapToGrid w:val="0"/>
              <w:jc w:val="left"/>
              <w:rPr>
                <w:rFonts w:cs="宋体" w:asciiTheme="minorEastAsia" w:hAnsiTheme="minorEastAsia" w:eastAsiaTheme="minorEastAsia"/>
                <w:sz w:val="20"/>
                <w:szCs w:val="20"/>
              </w:rPr>
            </w:pPr>
          </w:p>
        </w:tc>
        <w:tc>
          <w:tcPr>
            <w:tcW w:w="1094" w:type="dxa"/>
            <w:vMerge w:val="continue"/>
            <w:vAlign w:val="center"/>
          </w:tcPr>
          <w:p>
            <w:pPr>
              <w:snapToGrid w:val="0"/>
              <w:jc w:val="left"/>
              <w:rPr>
                <w:rFonts w:cs="宋体" w:asciiTheme="minorEastAsia" w:hAnsiTheme="minorEastAsia" w:eastAsiaTheme="minorEastAsia"/>
                <w:sz w:val="20"/>
                <w:szCs w:val="20"/>
              </w:rPr>
            </w:pPr>
          </w:p>
        </w:tc>
        <w:tc>
          <w:tcPr>
            <w:tcW w:w="199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电动葫芦吊钩</w:t>
            </w:r>
          </w:p>
        </w:tc>
        <w:tc>
          <w:tcPr>
            <w:tcW w:w="1539"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锈蚀</w:t>
            </w:r>
          </w:p>
        </w:tc>
        <w:tc>
          <w:tcPr>
            <w:tcW w:w="235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影响启闭</w:t>
            </w:r>
          </w:p>
        </w:tc>
        <w:tc>
          <w:tcPr>
            <w:tcW w:w="893"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LS法</w:t>
            </w:r>
          </w:p>
        </w:tc>
        <w:tc>
          <w:tcPr>
            <w:tcW w:w="81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3～6</w:t>
            </w:r>
          </w:p>
        </w:tc>
        <w:tc>
          <w:tcPr>
            <w:tcW w:w="84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w:t>
            </w:r>
          </w:p>
        </w:tc>
        <w:tc>
          <w:tcPr>
            <w:tcW w:w="84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3～100</w:t>
            </w:r>
          </w:p>
        </w:tc>
        <w:tc>
          <w:tcPr>
            <w:tcW w:w="1117"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3～600</w:t>
            </w:r>
          </w:p>
        </w:tc>
        <w:tc>
          <w:tcPr>
            <w:tcW w:w="1091"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低～重大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18"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38</w:t>
            </w:r>
          </w:p>
        </w:tc>
        <w:tc>
          <w:tcPr>
            <w:tcW w:w="970" w:type="dxa"/>
            <w:vMerge w:val="continue"/>
            <w:vAlign w:val="center"/>
          </w:tcPr>
          <w:p>
            <w:pPr>
              <w:snapToGrid w:val="0"/>
              <w:jc w:val="left"/>
              <w:rPr>
                <w:rFonts w:cs="宋体" w:asciiTheme="minorEastAsia" w:hAnsiTheme="minorEastAsia" w:eastAsiaTheme="minorEastAsia"/>
                <w:sz w:val="20"/>
                <w:szCs w:val="20"/>
              </w:rPr>
            </w:pPr>
          </w:p>
        </w:tc>
        <w:tc>
          <w:tcPr>
            <w:tcW w:w="1094" w:type="dxa"/>
            <w:vMerge w:val="continue"/>
            <w:vAlign w:val="center"/>
          </w:tcPr>
          <w:p>
            <w:pPr>
              <w:snapToGrid w:val="0"/>
              <w:jc w:val="left"/>
              <w:rPr>
                <w:rFonts w:cs="宋体" w:asciiTheme="minorEastAsia" w:hAnsiTheme="minorEastAsia" w:eastAsiaTheme="minorEastAsia"/>
                <w:sz w:val="20"/>
                <w:szCs w:val="20"/>
              </w:rPr>
            </w:pPr>
          </w:p>
        </w:tc>
        <w:tc>
          <w:tcPr>
            <w:tcW w:w="199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电动葫芦制动轮</w:t>
            </w:r>
          </w:p>
        </w:tc>
        <w:tc>
          <w:tcPr>
            <w:tcW w:w="1539"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磨损、锈蚀</w:t>
            </w:r>
          </w:p>
        </w:tc>
        <w:tc>
          <w:tcPr>
            <w:tcW w:w="235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影响设备运行</w:t>
            </w:r>
          </w:p>
        </w:tc>
        <w:tc>
          <w:tcPr>
            <w:tcW w:w="893"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LS法</w:t>
            </w:r>
          </w:p>
        </w:tc>
        <w:tc>
          <w:tcPr>
            <w:tcW w:w="81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3～6</w:t>
            </w:r>
          </w:p>
        </w:tc>
        <w:tc>
          <w:tcPr>
            <w:tcW w:w="84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w:t>
            </w:r>
          </w:p>
        </w:tc>
        <w:tc>
          <w:tcPr>
            <w:tcW w:w="84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3～100</w:t>
            </w:r>
          </w:p>
        </w:tc>
        <w:tc>
          <w:tcPr>
            <w:tcW w:w="1117"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3～600</w:t>
            </w:r>
          </w:p>
        </w:tc>
        <w:tc>
          <w:tcPr>
            <w:tcW w:w="1091"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低～重大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18"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39</w:t>
            </w:r>
          </w:p>
        </w:tc>
        <w:tc>
          <w:tcPr>
            <w:tcW w:w="970" w:type="dxa"/>
            <w:vMerge w:val="continue"/>
            <w:vAlign w:val="center"/>
          </w:tcPr>
          <w:p>
            <w:pPr>
              <w:snapToGrid w:val="0"/>
              <w:jc w:val="left"/>
              <w:rPr>
                <w:rFonts w:cs="宋体" w:asciiTheme="minorEastAsia" w:hAnsiTheme="minorEastAsia" w:eastAsiaTheme="minorEastAsia"/>
                <w:sz w:val="20"/>
                <w:szCs w:val="20"/>
              </w:rPr>
            </w:pPr>
          </w:p>
        </w:tc>
        <w:tc>
          <w:tcPr>
            <w:tcW w:w="1094" w:type="dxa"/>
            <w:vMerge w:val="continue"/>
            <w:vAlign w:val="center"/>
          </w:tcPr>
          <w:p>
            <w:pPr>
              <w:snapToGrid w:val="0"/>
              <w:jc w:val="left"/>
              <w:rPr>
                <w:rFonts w:cs="宋体" w:asciiTheme="minorEastAsia" w:hAnsiTheme="minorEastAsia" w:eastAsiaTheme="minorEastAsia"/>
                <w:sz w:val="20"/>
                <w:szCs w:val="20"/>
              </w:rPr>
            </w:pPr>
          </w:p>
        </w:tc>
        <w:tc>
          <w:tcPr>
            <w:tcW w:w="199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电动葫芦轨道</w:t>
            </w:r>
          </w:p>
        </w:tc>
        <w:tc>
          <w:tcPr>
            <w:tcW w:w="1539"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磨损、锈蚀</w:t>
            </w:r>
          </w:p>
        </w:tc>
        <w:tc>
          <w:tcPr>
            <w:tcW w:w="235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影响设备运行</w:t>
            </w:r>
          </w:p>
        </w:tc>
        <w:tc>
          <w:tcPr>
            <w:tcW w:w="893"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LS法</w:t>
            </w:r>
          </w:p>
        </w:tc>
        <w:tc>
          <w:tcPr>
            <w:tcW w:w="81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3～6</w:t>
            </w:r>
          </w:p>
        </w:tc>
        <w:tc>
          <w:tcPr>
            <w:tcW w:w="84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w:t>
            </w:r>
          </w:p>
        </w:tc>
        <w:tc>
          <w:tcPr>
            <w:tcW w:w="84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3～100</w:t>
            </w:r>
          </w:p>
        </w:tc>
        <w:tc>
          <w:tcPr>
            <w:tcW w:w="1117"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3～600</w:t>
            </w:r>
          </w:p>
        </w:tc>
        <w:tc>
          <w:tcPr>
            <w:tcW w:w="1091"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低～重大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18"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40</w:t>
            </w:r>
          </w:p>
        </w:tc>
        <w:tc>
          <w:tcPr>
            <w:tcW w:w="970" w:type="dxa"/>
            <w:vMerge w:val="restart"/>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设备设施类</w:t>
            </w:r>
          </w:p>
        </w:tc>
        <w:tc>
          <w:tcPr>
            <w:tcW w:w="1094" w:type="dxa"/>
            <w:vMerge w:val="restart"/>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电气设备</w:t>
            </w:r>
          </w:p>
        </w:tc>
        <w:tc>
          <w:tcPr>
            <w:tcW w:w="199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供电、变配电设备架空线路</w:t>
            </w:r>
          </w:p>
        </w:tc>
        <w:tc>
          <w:tcPr>
            <w:tcW w:w="1539"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线路老化、绝缘降低</w:t>
            </w:r>
          </w:p>
        </w:tc>
        <w:tc>
          <w:tcPr>
            <w:tcW w:w="235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触电、设备损坏</w:t>
            </w:r>
          </w:p>
        </w:tc>
        <w:tc>
          <w:tcPr>
            <w:tcW w:w="893"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LS法</w:t>
            </w:r>
          </w:p>
        </w:tc>
        <w:tc>
          <w:tcPr>
            <w:tcW w:w="81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3～18</w:t>
            </w:r>
          </w:p>
        </w:tc>
        <w:tc>
          <w:tcPr>
            <w:tcW w:w="84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w:t>
            </w:r>
          </w:p>
        </w:tc>
        <w:tc>
          <w:tcPr>
            <w:tcW w:w="84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3～100</w:t>
            </w:r>
          </w:p>
        </w:tc>
        <w:tc>
          <w:tcPr>
            <w:tcW w:w="1117"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9～1800</w:t>
            </w:r>
          </w:p>
        </w:tc>
        <w:tc>
          <w:tcPr>
            <w:tcW w:w="1091"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低～重大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18"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41</w:t>
            </w:r>
          </w:p>
        </w:tc>
        <w:tc>
          <w:tcPr>
            <w:tcW w:w="970" w:type="dxa"/>
            <w:vMerge w:val="continue"/>
            <w:vAlign w:val="center"/>
          </w:tcPr>
          <w:p>
            <w:pPr>
              <w:snapToGrid w:val="0"/>
              <w:jc w:val="left"/>
              <w:rPr>
                <w:rFonts w:cs="宋体" w:asciiTheme="minorEastAsia" w:hAnsiTheme="minorEastAsia" w:eastAsiaTheme="minorEastAsia"/>
                <w:sz w:val="20"/>
                <w:szCs w:val="20"/>
              </w:rPr>
            </w:pPr>
          </w:p>
        </w:tc>
        <w:tc>
          <w:tcPr>
            <w:tcW w:w="1094" w:type="dxa"/>
            <w:vMerge w:val="continue"/>
            <w:vAlign w:val="center"/>
          </w:tcPr>
          <w:p>
            <w:pPr>
              <w:snapToGrid w:val="0"/>
              <w:jc w:val="center"/>
              <w:rPr>
                <w:rFonts w:cs="宋体" w:asciiTheme="minorEastAsia" w:hAnsiTheme="minorEastAsia" w:eastAsiaTheme="minorEastAsia"/>
                <w:sz w:val="20"/>
                <w:szCs w:val="20"/>
              </w:rPr>
            </w:pPr>
          </w:p>
        </w:tc>
        <w:tc>
          <w:tcPr>
            <w:tcW w:w="199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供电、变配电设备电缆</w:t>
            </w:r>
          </w:p>
        </w:tc>
        <w:tc>
          <w:tcPr>
            <w:tcW w:w="1539"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线路老化、绝缘降低</w:t>
            </w:r>
          </w:p>
        </w:tc>
        <w:tc>
          <w:tcPr>
            <w:tcW w:w="235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触电、设备损坏</w:t>
            </w:r>
          </w:p>
        </w:tc>
        <w:tc>
          <w:tcPr>
            <w:tcW w:w="893"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LS法</w:t>
            </w:r>
          </w:p>
        </w:tc>
        <w:tc>
          <w:tcPr>
            <w:tcW w:w="81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3～18</w:t>
            </w:r>
          </w:p>
        </w:tc>
        <w:tc>
          <w:tcPr>
            <w:tcW w:w="84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w:t>
            </w:r>
          </w:p>
        </w:tc>
        <w:tc>
          <w:tcPr>
            <w:tcW w:w="84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3～100</w:t>
            </w:r>
          </w:p>
        </w:tc>
        <w:tc>
          <w:tcPr>
            <w:tcW w:w="1117"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9～1800</w:t>
            </w:r>
          </w:p>
        </w:tc>
        <w:tc>
          <w:tcPr>
            <w:tcW w:w="1091"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低～重大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18"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42</w:t>
            </w:r>
          </w:p>
        </w:tc>
        <w:tc>
          <w:tcPr>
            <w:tcW w:w="970" w:type="dxa"/>
            <w:vMerge w:val="continue"/>
            <w:vAlign w:val="center"/>
          </w:tcPr>
          <w:p>
            <w:pPr>
              <w:snapToGrid w:val="0"/>
              <w:jc w:val="left"/>
              <w:rPr>
                <w:rFonts w:cs="宋体" w:asciiTheme="minorEastAsia" w:hAnsiTheme="minorEastAsia" w:eastAsiaTheme="minorEastAsia"/>
                <w:sz w:val="20"/>
                <w:szCs w:val="20"/>
              </w:rPr>
            </w:pPr>
          </w:p>
        </w:tc>
        <w:tc>
          <w:tcPr>
            <w:tcW w:w="1094" w:type="dxa"/>
            <w:vMerge w:val="continue"/>
            <w:vAlign w:val="center"/>
          </w:tcPr>
          <w:p>
            <w:pPr>
              <w:snapToGrid w:val="0"/>
              <w:jc w:val="center"/>
              <w:rPr>
                <w:rFonts w:cs="宋体" w:asciiTheme="minorEastAsia" w:hAnsiTheme="minorEastAsia" w:eastAsiaTheme="minorEastAsia"/>
                <w:sz w:val="20"/>
                <w:szCs w:val="20"/>
              </w:rPr>
            </w:pPr>
          </w:p>
        </w:tc>
        <w:tc>
          <w:tcPr>
            <w:tcW w:w="199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供电、变配电设备仪表</w:t>
            </w:r>
          </w:p>
        </w:tc>
        <w:tc>
          <w:tcPr>
            <w:tcW w:w="1539"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功能失效</w:t>
            </w:r>
          </w:p>
        </w:tc>
        <w:tc>
          <w:tcPr>
            <w:tcW w:w="235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仪表损坏</w:t>
            </w:r>
          </w:p>
        </w:tc>
        <w:tc>
          <w:tcPr>
            <w:tcW w:w="893"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LS法</w:t>
            </w:r>
          </w:p>
        </w:tc>
        <w:tc>
          <w:tcPr>
            <w:tcW w:w="81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3～6</w:t>
            </w:r>
          </w:p>
        </w:tc>
        <w:tc>
          <w:tcPr>
            <w:tcW w:w="84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w:t>
            </w:r>
          </w:p>
        </w:tc>
        <w:tc>
          <w:tcPr>
            <w:tcW w:w="84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3～100</w:t>
            </w:r>
          </w:p>
        </w:tc>
        <w:tc>
          <w:tcPr>
            <w:tcW w:w="1117"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3～600</w:t>
            </w:r>
          </w:p>
        </w:tc>
        <w:tc>
          <w:tcPr>
            <w:tcW w:w="1091"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低～重大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18"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43</w:t>
            </w:r>
          </w:p>
        </w:tc>
        <w:tc>
          <w:tcPr>
            <w:tcW w:w="970" w:type="dxa"/>
            <w:vMerge w:val="continue"/>
            <w:vAlign w:val="center"/>
          </w:tcPr>
          <w:p>
            <w:pPr>
              <w:snapToGrid w:val="0"/>
              <w:jc w:val="left"/>
              <w:rPr>
                <w:rFonts w:cs="宋体" w:asciiTheme="minorEastAsia" w:hAnsiTheme="minorEastAsia" w:eastAsiaTheme="minorEastAsia"/>
                <w:sz w:val="20"/>
                <w:szCs w:val="20"/>
              </w:rPr>
            </w:pPr>
          </w:p>
        </w:tc>
        <w:tc>
          <w:tcPr>
            <w:tcW w:w="1094" w:type="dxa"/>
            <w:vMerge w:val="continue"/>
            <w:vAlign w:val="center"/>
          </w:tcPr>
          <w:p>
            <w:pPr>
              <w:snapToGrid w:val="0"/>
              <w:jc w:val="center"/>
              <w:rPr>
                <w:rFonts w:cs="宋体" w:asciiTheme="minorEastAsia" w:hAnsiTheme="minorEastAsia" w:eastAsiaTheme="minorEastAsia"/>
                <w:sz w:val="20"/>
                <w:szCs w:val="20"/>
              </w:rPr>
            </w:pPr>
          </w:p>
        </w:tc>
        <w:tc>
          <w:tcPr>
            <w:tcW w:w="199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高压开关设备</w:t>
            </w:r>
          </w:p>
        </w:tc>
        <w:tc>
          <w:tcPr>
            <w:tcW w:w="1539"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未及时维修养护</w:t>
            </w:r>
          </w:p>
        </w:tc>
        <w:tc>
          <w:tcPr>
            <w:tcW w:w="235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影响设备运行</w:t>
            </w:r>
          </w:p>
        </w:tc>
        <w:tc>
          <w:tcPr>
            <w:tcW w:w="893"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LS法</w:t>
            </w:r>
          </w:p>
        </w:tc>
        <w:tc>
          <w:tcPr>
            <w:tcW w:w="81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3～18</w:t>
            </w:r>
          </w:p>
        </w:tc>
        <w:tc>
          <w:tcPr>
            <w:tcW w:w="84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w:t>
            </w:r>
          </w:p>
        </w:tc>
        <w:tc>
          <w:tcPr>
            <w:tcW w:w="84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3～100</w:t>
            </w:r>
          </w:p>
        </w:tc>
        <w:tc>
          <w:tcPr>
            <w:tcW w:w="1117"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9～1800</w:t>
            </w:r>
          </w:p>
        </w:tc>
        <w:tc>
          <w:tcPr>
            <w:tcW w:w="1091"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低～重大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18"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44</w:t>
            </w:r>
          </w:p>
        </w:tc>
        <w:tc>
          <w:tcPr>
            <w:tcW w:w="970" w:type="dxa"/>
            <w:vMerge w:val="continue"/>
            <w:vAlign w:val="center"/>
          </w:tcPr>
          <w:p>
            <w:pPr>
              <w:snapToGrid w:val="0"/>
              <w:jc w:val="center"/>
              <w:rPr>
                <w:rFonts w:cs="宋体" w:asciiTheme="minorEastAsia" w:hAnsiTheme="minorEastAsia" w:eastAsiaTheme="minorEastAsia"/>
                <w:sz w:val="20"/>
                <w:szCs w:val="20"/>
              </w:rPr>
            </w:pPr>
          </w:p>
        </w:tc>
        <w:tc>
          <w:tcPr>
            <w:tcW w:w="1094" w:type="dxa"/>
            <w:vMerge w:val="continue"/>
            <w:vAlign w:val="center"/>
          </w:tcPr>
          <w:p>
            <w:pPr>
              <w:snapToGrid w:val="0"/>
              <w:jc w:val="center"/>
              <w:rPr>
                <w:rFonts w:cs="宋体" w:asciiTheme="minorEastAsia" w:hAnsiTheme="minorEastAsia" w:eastAsiaTheme="minorEastAsia"/>
                <w:sz w:val="20"/>
                <w:szCs w:val="20"/>
              </w:rPr>
            </w:pPr>
          </w:p>
        </w:tc>
        <w:tc>
          <w:tcPr>
            <w:tcW w:w="199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设备接地</w:t>
            </w:r>
          </w:p>
        </w:tc>
        <w:tc>
          <w:tcPr>
            <w:tcW w:w="1539"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未检查接地</w:t>
            </w:r>
          </w:p>
        </w:tc>
        <w:tc>
          <w:tcPr>
            <w:tcW w:w="235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触电、设备损坏</w:t>
            </w:r>
          </w:p>
        </w:tc>
        <w:tc>
          <w:tcPr>
            <w:tcW w:w="893"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LS法</w:t>
            </w:r>
          </w:p>
        </w:tc>
        <w:tc>
          <w:tcPr>
            <w:tcW w:w="81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3～18</w:t>
            </w:r>
          </w:p>
        </w:tc>
        <w:tc>
          <w:tcPr>
            <w:tcW w:w="84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w:t>
            </w:r>
          </w:p>
        </w:tc>
        <w:tc>
          <w:tcPr>
            <w:tcW w:w="84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3～100</w:t>
            </w:r>
          </w:p>
        </w:tc>
        <w:tc>
          <w:tcPr>
            <w:tcW w:w="1117"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9～1800</w:t>
            </w:r>
          </w:p>
        </w:tc>
        <w:tc>
          <w:tcPr>
            <w:tcW w:w="1091"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低～重大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18"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45</w:t>
            </w:r>
          </w:p>
        </w:tc>
        <w:tc>
          <w:tcPr>
            <w:tcW w:w="970" w:type="dxa"/>
            <w:vMerge w:val="continue"/>
            <w:vAlign w:val="center"/>
          </w:tcPr>
          <w:p>
            <w:pPr>
              <w:snapToGrid w:val="0"/>
              <w:jc w:val="center"/>
              <w:rPr>
                <w:rFonts w:cs="宋体" w:asciiTheme="minorEastAsia" w:hAnsiTheme="minorEastAsia" w:eastAsiaTheme="minorEastAsia"/>
                <w:sz w:val="20"/>
                <w:szCs w:val="20"/>
              </w:rPr>
            </w:pPr>
          </w:p>
        </w:tc>
        <w:tc>
          <w:tcPr>
            <w:tcW w:w="1094" w:type="dxa"/>
            <w:vMerge w:val="continue"/>
            <w:vAlign w:val="center"/>
          </w:tcPr>
          <w:p>
            <w:pPr>
              <w:snapToGrid w:val="0"/>
              <w:jc w:val="left"/>
              <w:rPr>
                <w:rFonts w:cs="宋体" w:asciiTheme="minorEastAsia" w:hAnsiTheme="minorEastAsia" w:eastAsiaTheme="minorEastAsia"/>
                <w:sz w:val="20"/>
                <w:szCs w:val="20"/>
              </w:rPr>
            </w:pPr>
          </w:p>
        </w:tc>
        <w:tc>
          <w:tcPr>
            <w:tcW w:w="199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防静电设备</w:t>
            </w:r>
          </w:p>
        </w:tc>
        <w:tc>
          <w:tcPr>
            <w:tcW w:w="1539"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未检查设备状况</w:t>
            </w:r>
          </w:p>
        </w:tc>
        <w:tc>
          <w:tcPr>
            <w:tcW w:w="235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触电、设备损坏</w:t>
            </w:r>
          </w:p>
        </w:tc>
        <w:tc>
          <w:tcPr>
            <w:tcW w:w="893"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LS法</w:t>
            </w:r>
          </w:p>
        </w:tc>
        <w:tc>
          <w:tcPr>
            <w:tcW w:w="81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3～18</w:t>
            </w:r>
          </w:p>
        </w:tc>
        <w:tc>
          <w:tcPr>
            <w:tcW w:w="84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w:t>
            </w:r>
          </w:p>
        </w:tc>
        <w:tc>
          <w:tcPr>
            <w:tcW w:w="84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3～100</w:t>
            </w:r>
          </w:p>
        </w:tc>
        <w:tc>
          <w:tcPr>
            <w:tcW w:w="1117"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9～1800</w:t>
            </w:r>
          </w:p>
        </w:tc>
        <w:tc>
          <w:tcPr>
            <w:tcW w:w="1091"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低～重大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18"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46</w:t>
            </w:r>
          </w:p>
        </w:tc>
        <w:tc>
          <w:tcPr>
            <w:tcW w:w="970" w:type="dxa"/>
            <w:vMerge w:val="continue"/>
            <w:vAlign w:val="center"/>
          </w:tcPr>
          <w:p>
            <w:pPr>
              <w:snapToGrid w:val="0"/>
              <w:jc w:val="center"/>
              <w:rPr>
                <w:rFonts w:cs="宋体" w:asciiTheme="minorEastAsia" w:hAnsiTheme="minorEastAsia" w:eastAsiaTheme="minorEastAsia"/>
                <w:sz w:val="20"/>
                <w:szCs w:val="20"/>
              </w:rPr>
            </w:pPr>
          </w:p>
        </w:tc>
        <w:tc>
          <w:tcPr>
            <w:tcW w:w="1094" w:type="dxa"/>
            <w:vMerge w:val="continue"/>
            <w:vAlign w:val="center"/>
          </w:tcPr>
          <w:p>
            <w:pPr>
              <w:snapToGrid w:val="0"/>
              <w:jc w:val="left"/>
              <w:rPr>
                <w:rFonts w:cs="宋体" w:asciiTheme="minorEastAsia" w:hAnsiTheme="minorEastAsia" w:eastAsiaTheme="minorEastAsia"/>
                <w:sz w:val="20"/>
                <w:szCs w:val="20"/>
              </w:rPr>
            </w:pPr>
          </w:p>
        </w:tc>
        <w:tc>
          <w:tcPr>
            <w:tcW w:w="199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柴油发电机</w:t>
            </w:r>
          </w:p>
        </w:tc>
        <w:tc>
          <w:tcPr>
            <w:tcW w:w="1539"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未及时维修养护</w:t>
            </w:r>
          </w:p>
        </w:tc>
        <w:tc>
          <w:tcPr>
            <w:tcW w:w="235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停电、影响运行</w:t>
            </w:r>
          </w:p>
        </w:tc>
        <w:tc>
          <w:tcPr>
            <w:tcW w:w="893"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LS法</w:t>
            </w:r>
          </w:p>
        </w:tc>
        <w:tc>
          <w:tcPr>
            <w:tcW w:w="81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3～18</w:t>
            </w:r>
          </w:p>
        </w:tc>
        <w:tc>
          <w:tcPr>
            <w:tcW w:w="84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w:t>
            </w:r>
          </w:p>
        </w:tc>
        <w:tc>
          <w:tcPr>
            <w:tcW w:w="84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3～100</w:t>
            </w:r>
          </w:p>
        </w:tc>
        <w:tc>
          <w:tcPr>
            <w:tcW w:w="1117"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9～1800</w:t>
            </w:r>
          </w:p>
        </w:tc>
        <w:tc>
          <w:tcPr>
            <w:tcW w:w="1091"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低～重大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18"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47</w:t>
            </w:r>
          </w:p>
        </w:tc>
        <w:tc>
          <w:tcPr>
            <w:tcW w:w="970" w:type="dxa"/>
            <w:vMerge w:val="continue"/>
            <w:vAlign w:val="center"/>
          </w:tcPr>
          <w:p>
            <w:pPr>
              <w:snapToGrid w:val="0"/>
              <w:jc w:val="center"/>
              <w:rPr>
                <w:rFonts w:cs="宋体" w:asciiTheme="minorEastAsia" w:hAnsiTheme="minorEastAsia" w:eastAsiaTheme="minorEastAsia"/>
                <w:sz w:val="20"/>
                <w:szCs w:val="20"/>
              </w:rPr>
            </w:pPr>
          </w:p>
        </w:tc>
        <w:tc>
          <w:tcPr>
            <w:tcW w:w="1094" w:type="dxa"/>
            <w:vMerge w:val="continue"/>
            <w:vAlign w:val="center"/>
          </w:tcPr>
          <w:p>
            <w:pPr>
              <w:snapToGrid w:val="0"/>
              <w:jc w:val="left"/>
              <w:rPr>
                <w:rFonts w:cs="宋体" w:asciiTheme="minorEastAsia" w:hAnsiTheme="minorEastAsia" w:eastAsiaTheme="minorEastAsia"/>
                <w:sz w:val="20"/>
                <w:szCs w:val="20"/>
              </w:rPr>
            </w:pPr>
          </w:p>
        </w:tc>
        <w:tc>
          <w:tcPr>
            <w:tcW w:w="199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发电机备用柴油</w:t>
            </w:r>
          </w:p>
        </w:tc>
        <w:tc>
          <w:tcPr>
            <w:tcW w:w="1539"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油量不足</w:t>
            </w:r>
          </w:p>
        </w:tc>
        <w:tc>
          <w:tcPr>
            <w:tcW w:w="235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停电、影响运行</w:t>
            </w:r>
          </w:p>
        </w:tc>
        <w:tc>
          <w:tcPr>
            <w:tcW w:w="893"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LS法</w:t>
            </w:r>
          </w:p>
        </w:tc>
        <w:tc>
          <w:tcPr>
            <w:tcW w:w="81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3～18</w:t>
            </w:r>
          </w:p>
        </w:tc>
        <w:tc>
          <w:tcPr>
            <w:tcW w:w="84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w:t>
            </w:r>
          </w:p>
        </w:tc>
        <w:tc>
          <w:tcPr>
            <w:tcW w:w="84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3～100</w:t>
            </w:r>
          </w:p>
        </w:tc>
        <w:tc>
          <w:tcPr>
            <w:tcW w:w="1117"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9～1800</w:t>
            </w:r>
          </w:p>
        </w:tc>
        <w:tc>
          <w:tcPr>
            <w:tcW w:w="1091"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低～重大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18"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48</w:t>
            </w:r>
          </w:p>
        </w:tc>
        <w:tc>
          <w:tcPr>
            <w:tcW w:w="970" w:type="dxa"/>
            <w:vMerge w:val="continue"/>
            <w:vAlign w:val="center"/>
          </w:tcPr>
          <w:p>
            <w:pPr>
              <w:snapToGrid w:val="0"/>
              <w:jc w:val="center"/>
              <w:rPr>
                <w:rFonts w:cs="宋体" w:asciiTheme="minorEastAsia" w:hAnsiTheme="minorEastAsia" w:eastAsiaTheme="minorEastAsia"/>
                <w:sz w:val="20"/>
                <w:szCs w:val="20"/>
              </w:rPr>
            </w:pPr>
          </w:p>
        </w:tc>
        <w:tc>
          <w:tcPr>
            <w:tcW w:w="1094" w:type="dxa"/>
            <w:vMerge w:val="continue"/>
            <w:vAlign w:val="center"/>
          </w:tcPr>
          <w:p>
            <w:pPr>
              <w:snapToGrid w:val="0"/>
              <w:jc w:val="left"/>
              <w:rPr>
                <w:rFonts w:cs="宋体" w:asciiTheme="minorEastAsia" w:hAnsiTheme="minorEastAsia" w:eastAsiaTheme="minorEastAsia"/>
                <w:sz w:val="20"/>
                <w:szCs w:val="20"/>
              </w:rPr>
            </w:pPr>
          </w:p>
        </w:tc>
        <w:tc>
          <w:tcPr>
            <w:tcW w:w="199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备用供电回路</w:t>
            </w:r>
          </w:p>
        </w:tc>
        <w:tc>
          <w:tcPr>
            <w:tcW w:w="1539"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未检查线路状况</w:t>
            </w:r>
          </w:p>
        </w:tc>
        <w:tc>
          <w:tcPr>
            <w:tcW w:w="235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停电、影响运行</w:t>
            </w:r>
          </w:p>
        </w:tc>
        <w:tc>
          <w:tcPr>
            <w:tcW w:w="893"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LS法</w:t>
            </w:r>
          </w:p>
        </w:tc>
        <w:tc>
          <w:tcPr>
            <w:tcW w:w="81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3～36</w:t>
            </w:r>
          </w:p>
        </w:tc>
        <w:tc>
          <w:tcPr>
            <w:tcW w:w="84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w:t>
            </w:r>
          </w:p>
        </w:tc>
        <w:tc>
          <w:tcPr>
            <w:tcW w:w="84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3～100</w:t>
            </w:r>
          </w:p>
        </w:tc>
        <w:tc>
          <w:tcPr>
            <w:tcW w:w="1117"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3～3600</w:t>
            </w:r>
          </w:p>
        </w:tc>
        <w:tc>
          <w:tcPr>
            <w:tcW w:w="1091"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低～重大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18"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49</w:t>
            </w:r>
          </w:p>
        </w:tc>
        <w:tc>
          <w:tcPr>
            <w:tcW w:w="970" w:type="dxa"/>
            <w:vMerge w:val="restart"/>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设备设施类</w:t>
            </w:r>
          </w:p>
        </w:tc>
        <w:tc>
          <w:tcPr>
            <w:tcW w:w="1094" w:type="dxa"/>
            <w:vMerge w:val="restart"/>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特种设备</w:t>
            </w:r>
          </w:p>
        </w:tc>
        <w:tc>
          <w:tcPr>
            <w:tcW w:w="199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电梯</w:t>
            </w:r>
          </w:p>
        </w:tc>
        <w:tc>
          <w:tcPr>
            <w:tcW w:w="1539"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未及时维修养护、未定期检测</w:t>
            </w:r>
          </w:p>
        </w:tc>
        <w:tc>
          <w:tcPr>
            <w:tcW w:w="235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影响正常运行</w:t>
            </w:r>
          </w:p>
        </w:tc>
        <w:tc>
          <w:tcPr>
            <w:tcW w:w="893"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LEC法</w:t>
            </w:r>
          </w:p>
        </w:tc>
        <w:tc>
          <w:tcPr>
            <w:tcW w:w="81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0.5～3</w:t>
            </w:r>
          </w:p>
        </w:tc>
        <w:tc>
          <w:tcPr>
            <w:tcW w:w="84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2～6</w:t>
            </w:r>
          </w:p>
        </w:tc>
        <w:tc>
          <w:tcPr>
            <w:tcW w:w="84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3～15</w:t>
            </w:r>
          </w:p>
        </w:tc>
        <w:tc>
          <w:tcPr>
            <w:tcW w:w="1117"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3～270</w:t>
            </w:r>
          </w:p>
        </w:tc>
        <w:tc>
          <w:tcPr>
            <w:tcW w:w="1091"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低～重大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18"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50</w:t>
            </w:r>
          </w:p>
        </w:tc>
        <w:tc>
          <w:tcPr>
            <w:tcW w:w="970" w:type="dxa"/>
            <w:vMerge w:val="continue"/>
            <w:vAlign w:val="center"/>
          </w:tcPr>
          <w:p>
            <w:pPr>
              <w:snapToGrid w:val="0"/>
              <w:jc w:val="center"/>
              <w:rPr>
                <w:rFonts w:cs="宋体" w:asciiTheme="minorEastAsia" w:hAnsiTheme="minorEastAsia" w:eastAsiaTheme="minorEastAsia"/>
                <w:sz w:val="20"/>
                <w:szCs w:val="20"/>
              </w:rPr>
            </w:pPr>
          </w:p>
        </w:tc>
        <w:tc>
          <w:tcPr>
            <w:tcW w:w="1094" w:type="dxa"/>
            <w:vMerge w:val="continue"/>
            <w:vAlign w:val="center"/>
          </w:tcPr>
          <w:p>
            <w:pPr>
              <w:snapToGrid w:val="0"/>
              <w:jc w:val="left"/>
              <w:rPr>
                <w:rFonts w:cs="宋体" w:asciiTheme="minorEastAsia" w:hAnsiTheme="minorEastAsia" w:eastAsiaTheme="minorEastAsia"/>
                <w:sz w:val="20"/>
                <w:szCs w:val="20"/>
              </w:rPr>
            </w:pPr>
          </w:p>
        </w:tc>
        <w:tc>
          <w:tcPr>
            <w:tcW w:w="199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压力钢管</w:t>
            </w:r>
          </w:p>
        </w:tc>
        <w:tc>
          <w:tcPr>
            <w:tcW w:w="1539"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未及时维修养护、未定期检测</w:t>
            </w:r>
          </w:p>
        </w:tc>
        <w:tc>
          <w:tcPr>
            <w:tcW w:w="235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影响正常运行</w:t>
            </w:r>
          </w:p>
        </w:tc>
        <w:tc>
          <w:tcPr>
            <w:tcW w:w="893"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LS法</w:t>
            </w:r>
          </w:p>
        </w:tc>
        <w:tc>
          <w:tcPr>
            <w:tcW w:w="81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3～18</w:t>
            </w:r>
          </w:p>
        </w:tc>
        <w:tc>
          <w:tcPr>
            <w:tcW w:w="84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w:t>
            </w:r>
          </w:p>
        </w:tc>
        <w:tc>
          <w:tcPr>
            <w:tcW w:w="84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3～100</w:t>
            </w:r>
          </w:p>
        </w:tc>
        <w:tc>
          <w:tcPr>
            <w:tcW w:w="1117"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9～1800</w:t>
            </w:r>
          </w:p>
        </w:tc>
        <w:tc>
          <w:tcPr>
            <w:tcW w:w="1091"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低～重大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18"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51</w:t>
            </w:r>
          </w:p>
        </w:tc>
        <w:tc>
          <w:tcPr>
            <w:tcW w:w="970" w:type="dxa"/>
            <w:vMerge w:val="continue"/>
            <w:vAlign w:val="center"/>
          </w:tcPr>
          <w:p>
            <w:pPr>
              <w:snapToGrid w:val="0"/>
              <w:jc w:val="center"/>
              <w:rPr>
                <w:rFonts w:cs="宋体" w:asciiTheme="minorEastAsia" w:hAnsiTheme="minorEastAsia" w:eastAsiaTheme="minorEastAsia"/>
                <w:sz w:val="20"/>
                <w:szCs w:val="20"/>
              </w:rPr>
            </w:pPr>
          </w:p>
        </w:tc>
        <w:tc>
          <w:tcPr>
            <w:tcW w:w="1094" w:type="dxa"/>
            <w:vMerge w:val="continue"/>
            <w:vAlign w:val="center"/>
          </w:tcPr>
          <w:p>
            <w:pPr>
              <w:snapToGrid w:val="0"/>
              <w:jc w:val="left"/>
              <w:rPr>
                <w:rFonts w:cs="宋体" w:asciiTheme="minorEastAsia" w:hAnsiTheme="minorEastAsia" w:eastAsiaTheme="minorEastAsia"/>
                <w:sz w:val="20"/>
                <w:szCs w:val="20"/>
              </w:rPr>
            </w:pPr>
          </w:p>
        </w:tc>
        <w:tc>
          <w:tcPr>
            <w:tcW w:w="199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锅炉</w:t>
            </w:r>
          </w:p>
        </w:tc>
        <w:tc>
          <w:tcPr>
            <w:tcW w:w="1539"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未及时维修养护、未定期检测</w:t>
            </w:r>
          </w:p>
        </w:tc>
        <w:tc>
          <w:tcPr>
            <w:tcW w:w="235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影响正常运行</w:t>
            </w:r>
          </w:p>
        </w:tc>
        <w:tc>
          <w:tcPr>
            <w:tcW w:w="893"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LS法</w:t>
            </w:r>
          </w:p>
        </w:tc>
        <w:tc>
          <w:tcPr>
            <w:tcW w:w="81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3～18</w:t>
            </w:r>
          </w:p>
        </w:tc>
        <w:tc>
          <w:tcPr>
            <w:tcW w:w="84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w:t>
            </w:r>
          </w:p>
        </w:tc>
        <w:tc>
          <w:tcPr>
            <w:tcW w:w="84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3～100</w:t>
            </w:r>
          </w:p>
        </w:tc>
        <w:tc>
          <w:tcPr>
            <w:tcW w:w="1117"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9～1800</w:t>
            </w:r>
          </w:p>
        </w:tc>
        <w:tc>
          <w:tcPr>
            <w:tcW w:w="1091"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低～重大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18"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52</w:t>
            </w:r>
          </w:p>
        </w:tc>
        <w:tc>
          <w:tcPr>
            <w:tcW w:w="970" w:type="dxa"/>
            <w:vMerge w:val="continue"/>
            <w:vAlign w:val="center"/>
          </w:tcPr>
          <w:p>
            <w:pPr>
              <w:snapToGrid w:val="0"/>
              <w:jc w:val="center"/>
              <w:rPr>
                <w:rFonts w:cs="宋体" w:asciiTheme="minorEastAsia" w:hAnsiTheme="minorEastAsia" w:eastAsiaTheme="minorEastAsia"/>
                <w:sz w:val="20"/>
                <w:szCs w:val="20"/>
              </w:rPr>
            </w:pPr>
          </w:p>
        </w:tc>
        <w:tc>
          <w:tcPr>
            <w:tcW w:w="1094" w:type="dxa"/>
            <w:vMerge w:val="continue"/>
            <w:vAlign w:val="center"/>
          </w:tcPr>
          <w:p>
            <w:pPr>
              <w:snapToGrid w:val="0"/>
              <w:jc w:val="left"/>
              <w:rPr>
                <w:rFonts w:cs="宋体" w:asciiTheme="minorEastAsia" w:hAnsiTheme="minorEastAsia" w:eastAsiaTheme="minorEastAsia"/>
                <w:sz w:val="20"/>
                <w:szCs w:val="20"/>
              </w:rPr>
            </w:pPr>
          </w:p>
        </w:tc>
        <w:tc>
          <w:tcPr>
            <w:tcW w:w="199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压力容器</w:t>
            </w:r>
          </w:p>
        </w:tc>
        <w:tc>
          <w:tcPr>
            <w:tcW w:w="1539"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未及时维修养护、未定期检测</w:t>
            </w:r>
          </w:p>
        </w:tc>
        <w:tc>
          <w:tcPr>
            <w:tcW w:w="235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影响正常运行</w:t>
            </w:r>
          </w:p>
        </w:tc>
        <w:tc>
          <w:tcPr>
            <w:tcW w:w="893"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LS法</w:t>
            </w:r>
          </w:p>
        </w:tc>
        <w:tc>
          <w:tcPr>
            <w:tcW w:w="81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3～18</w:t>
            </w:r>
          </w:p>
        </w:tc>
        <w:tc>
          <w:tcPr>
            <w:tcW w:w="84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w:t>
            </w:r>
          </w:p>
        </w:tc>
        <w:tc>
          <w:tcPr>
            <w:tcW w:w="84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3～100</w:t>
            </w:r>
          </w:p>
        </w:tc>
        <w:tc>
          <w:tcPr>
            <w:tcW w:w="1117"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9～1800</w:t>
            </w:r>
          </w:p>
        </w:tc>
        <w:tc>
          <w:tcPr>
            <w:tcW w:w="1091"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低～重大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18"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53</w:t>
            </w:r>
          </w:p>
        </w:tc>
        <w:tc>
          <w:tcPr>
            <w:tcW w:w="970" w:type="dxa"/>
            <w:vMerge w:val="continue"/>
            <w:vAlign w:val="center"/>
          </w:tcPr>
          <w:p>
            <w:pPr>
              <w:snapToGrid w:val="0"/>
              <w:jc w:val="center"/>
              <w:rPr>
                <w:rFonts w:cs="宋体" w:asciiTheme="minorEastAsia" w:hAnsiTheme="minorEastAsia" w:eastAsiaTheme="minorEastAsia"/>
                <w:sz w:val="20"/>
                <w:szCs w:val="20"/>
              </w:rPr>
            </w:pPr>
          </w:p>
        </w:tc>
        <w:tc>
          <w:tcPr>
            <w:tcW w:w="1094" w:type="dxa"/>
            <w:vMerge w:val="continue"/>
            <w:vAlign w:val="center"/>
          </w:tcPr>
          <w:p>
            <w:pPr>
              <w:snapToGrid w:val="0"/>
              <w:jc w:val="left"/>
              <w:rPr>
                <w:rFonts w:cs="宋体" w:asciiTheme="minorEastAsia" w:hAnsiTheme="minorEastAsia" w:eastAsiaTheme="minorEastAsia"/>
                <w:sz w:val="20"/>
                <w:szCs w:val="20"/>
              </w:rPr>
            </w:pPr>
          </w:p>
        </w:tc>
        <w:tc>
          <w:tcPr>
            <w:tcW w:w="199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专用机动车辆</w:t>
            </w:r>
          </w:p>
        </w:tc>
        <w:tc>
          <w:tcPr>
            <w:tcW w:w="1539"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未及时维修养护、未定期检测</w:t>
            </w:r>
          </w:p>
        </w:tc>
        <w:tc>
          <w:tcPr>
            <w:tcW w:w="235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影响正常运行</w:t>
            </w:r>
          </w:p>
        </w:tc>
        <w:tc>
          <w:tcPr>
            <w:tcW w:w="893"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LEC法</w:t>
            </w:r>
          </w:p>
        </w:tc>
        <w:tc>
          <w:tcPr>
            <w:tcW w:w="81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0.5～3</w:t>
            </w:r>
          </w:p>
        </w:tc>
        <w:tc>
          <w:tcPr>
            <w:tcW w:w="84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2～6</w:t>
            </w:r>
          </w:p>
        </w:tc>
        <w:tc>
          <w:tcPr>
            <w:tcW w:w="84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3～15</w:t>
            </w:r>
          </w:p>
        </w:tc>
        <w:tc>
          <w:tcPr>
            <w:tcW w:w="1117"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3～270</w:t>
            </w:r>
          </w:p>
        </w:tc>
        <w:tc>
          <w:tcPr>
            <w:tcW w:w="1091"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低～重大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18"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54</w:t>
            </w:r>
          </w:p>
        </w:tc>
        <w:tc>
          <w:tcPr>
            <w:tcW w:w="970" w:type="dxa"/>
            <w:vMerge w:val="continue"/>
            <w:vAlign w:val="center"/>
          </w:tcPr>
          <w:p>
            <w:pPr>
              <w:snapToGrid w:val="0"/>
              <w:jc w:val="center"/>
              <w:rPr>
                <w:rFonts w:cs="宋体" w:asciiTheme="minorEastAsia" w:hAnsiTheme="minorEastAsia" w:eastAsiaTheme="minorEastAsia"/>
                <w:sz w:val="20"/>
                <w:szCs w:val="20"/>
              </w:rPr>
            </w:pPr>
          </w:p>
        </w:tc>
        <w:tc>
          <w:tcPr>
            <w:tcW w:w="1094" w:type="dxa"/>
            <w:vMerge w:val="restart"/>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管理设施</w:t>
            </w:r>
          </w:p>
        </w:tc>
        <w:tc>
          <w:tcPr>
            <w:tcW w:w="199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水文测报站网及自动测报系统</w:t>
            </w:r>
          </w:p>
        </w:tc>
        <w:tc>
          <w:tcPr>
            <w:tcW w:w="1539"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功能失效</w:t>
            </w:r>
          </w:p>
        </w:tc>
        <w:tc>
          <w:tcPr>
            <w:tcW w:w="235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影响工程调度运行</w:t>
            </w:r>
          </w:p>
        </w:tc>
        <w:tc>
          <w:tcPr>
            <w:tcW w:w="893"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LS法</w:t>
            </w:r>
          </w:p>
        </w:tc>
        <w:tc>
          <w:tcPr>
            <w:tcW w:w="81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3～18</w:t>
            </w:r>
          </w:p>
        </w:tc>
        <w:tc>
          <w:tcPr>
            <w:tcW w:w="84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w:t>
            </w:r>
          </w:p>
        </w:tc>
        <w:tc>
          <w:tcPr>
            <w:tcW w:w="84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3～100</w:t>
            </w:r>
          </w:p>
        </w:tc>
        <w:tc>
          <w:tcPr>
            <w:tcW w:w="1117"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9～1800</w:t>
            </w:r>
          </w:p>
        </w:tc>
        <w:tc>
          <w:tcPr>
            <w:tcW w:w="1091"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低～重大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18"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55</w:t>
            </w:r>
          </w:p>
        </w:tc>
        <w:tc>
          <w:tcPr>
            <w:tcW w:w="970" w:type="dxa"/>
            <w:vMerge w:val="continue"/>
            <w:vAlign w:val="center"/>
          </w:tcPr>
          <w:p>
            <w:pPr>
              <w:snapToGrid w:val="0"/>
              <w:jc w:val="left"/>
              <w:rPr>
                <w:rFonts w:cs="宋体" w:asciiTheme="minorEastAsia" w:hAnsiTheme="minorEastAsia" w:eastAsiaTheme="minorEastAsia"/>
                <w:sz w:val="20"/>
                <w:szCs w:val="20"/>
              </w:rPr>
            </w:pPr>
          </w:p>
        </w:tc>
        <w:tc>
          <w:tcPr>
            <w:tcW w:w="1094" w:type="dxa"/>
            <w:vMerge w:val="continue"/>
            <w:vAlign w:val="center"/>
          </w:tcPr>
          <w:p>
            <w:pPr>
              <w:snapToGrid w:val="0"/>
              <w:jc w:val="left"/>
              <w:rPr>
                <w:rFonts w:cs="宋体" w:asciiTheme="minorEastAsia" w:hAnsiTheme="minorEastAsia" w:eastAsiaTheme="minorEastAsia"/>
                <w:sz w:val="20"/>
                <w:szCs w:val="20"/>
              </w:rPr>
            </w:pPr>
          </w:p>
        </w:tc>
        <w:tc>
          <w:tcPr>
            <w:tcW w:w="199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观测设施</w:t>
            </w:r>
          </w:p>
        </w:tc>
        <w:tc>
          <w:tcPr>
            <w:tcW w:w="1539"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设施损坏</w:t>
            </w:r>
          </w:p>
        </w:tc>
        <w:tc>
          <w:tcPr>
            <w:tcW w:w="235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影响工程调度运行</w:t>
            </w:r>
          </w:p>
        </w:tc>
        <w:tc>
          <w:tcPr>
            <w:tcW w:w="893"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LS法</w:t>
            </w:r>
          </w:p>
        </w:tc>
        <w:tc>
          <w:tcPr>
            <w:tcW w:w="81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3～6</w:t>
            </w:r>
          </w:p>
        </w:tc>
        <w:tc>
          <w:tcPr>
            <w:tcW w:w="84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w:t>
            </w:r>
          </w:p>
        </w:tc>
        <w:tc>
          <w:tcPr>
            <w:tcW w:w="84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3～100</w:t>
            </w:r>
          </w:p>
        </w:tc>
        <w:tc>
          <w:tcPr>
            <w:tcW w:w="1117"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3～600</w:t>
            </w:r>
          </w:p>
        </w:tc>
        <w:tc>
          <w:tcPr>
            <w:tcW w:w="1091"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低～重大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18"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56</w:t>
            </w:r>
          </w:p>
        </w:tc>
        <w:tc>
          <w:tcPr>
            <w:tcW w:w="970" w:type="dxa"/>
            <w:vMerge w:val="continue"/>
            <w:vAlign w:val="center"/>
          </w:tcPr>
          <w:p>
            <w:pPr>
              <w:snapToGrid w:val="0"/>
              <w:jc w:val="center"/>
              <w:rPr>
                <w:rFonts w:cs="宋体" w:asciiTheme="minorEastAsia" w:hAnsiTheme="minorEastAsia" w:eastAsiaTheme="minorEastAsia"/>
                <w:sz w:val="20"/>
                <w:szCs w:val="20"/>
              </w:rPr>
            </w:pPr>
          </w:p>
        </w:tc>
        <w:tc>
          <w:tcPr>
            <w:tcW w:w="1094" w:type="dxa"/>
            <w:vMerge w:val="continue"/>
            <w:vAlign w:val="center"/>
          </w:tcPr>
          <w:p>
            <w:pPr>
              <w:snapToGrid w:val="0"/>
              <w:jc w:val="center"/>
              <w:rPr>
                <w:rFonts w:cs="宋体" w:asciiTheme="minorEastAsia" w:hAnsiTheme="minorEastAsia" w:eastAsiaTheme="minorEastAsia"/>
                <w:sz w:val="20"/>
                <w:szCs w:val="20"/>
              </w:rPr>
            </w:pPr>
          </w:p>
        </w:tc>
        <w:tc>
          <w:tcPr>
            <w:tcW w:w="199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变形、渗流、应力应变、温度、地震等安全监测系统</w:t>
            </w:r>
          </w:p>
        </w:tc>
        <w:tc>
          <w:tcPr>
            <w:tcW w:w="1539"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功能失效</w:t>
            </w:r>
          </w:p>
        </w:tc>
        <w:tc>
          <w:tcPr>
            <w:tcW w:w="235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不能及时发现工程隐患或险情</w:t>
            </w:r>
          </w:p>
        </w:tc>
        <w:tc>
          <w:tcPr>
            <w:tcW w:w="893"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LS法</w:t>
            </w:r>
          </w:p>
        </w:tc>
        <w:tc>
          <w:tcPr>
            <w:tcW w:w="81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3～18</w:t>
            </w:r>
          </w:p>
        </w:tc>
        <w:tc>
          <w:tcPr>
            <w:tcW w:w="84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w:t>
            </w:r>
          </w:p>
        </w:tc>
        <w:tc>
          <w:tcPr>
            <w:tcW w:w="84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3～100</w:t>
            </w:r>
          </w:p>
        </w:tc>
        <w:tc>
          <w:tcPr>
            <w:tcW w:w="1117"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9～1800</w:t>
            </w:r>
          </w:p>
        </w:tc>
        <w:tc>
          <w:tcPr>
            <w:tcW w:w="1091"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低～重大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18"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57</w:t>
            </w:r>
          </w:p>
        </w:tc>
        <w:tc>
          <w:tcPr>
            <w:tcW w:w="970" w:type="dxa"/>
            <w:vMerge w:val="continue"/>
            <w:vAlign w:val="center"/>
          </w:tcPr>
          <w:p>
            <w:pPr>
              <w:snapToGrid w:val="0"/>
              <w:jc w:val="center"/>
              <w:rPr>
                <w:rFonts w:cs="宋体" w:asciiTheme="minorEastAsia" w:hAnsiTheme="minorEastAsia" w:eastAsiaTheme="minorEastAsia"/>
                <w:sz w:val="20"/>
                <w:szCs w:val="20"/>
              </w:rPr>
            </w:pPr>
          </w:p>
        </w:tc>
        <w:tc>
          <w:tcPr>
            <w:tcW w:w="1094" w:type="dxa"/>
            <w:vMerge w:val="continue"/>
            <w:vAlign w:val="center"/>
          </w:tcPr>
          <w:p>
            <w:pPr>
              <w:snapToGrid w:val="0"/>
              <w:jc w:val="center"/>
              <w:rPr>
                <w:rFonts w:cs="宋体" w:asciiTheme="minorEastAsia" w:hAnsiTheme="minorEastAsia" w:eastAsiaTheme="minorEastAsia"/>
                <w:sz w:val="20"/>
                <w:szCs w:val="20"/>
              </w:rPr>
            </w:pPr>
          </w:p>
        </w:tc>
        <w:tc>
          <w:tcPr>
            <w:tcW w:w="199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通信及预警设施</w:t>
            </w:r>
          </w:p>
        </w:tc>
        <w:tc>
          <w:tcPr>
            <w:tcW w:w="1539"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设施损坏</w:t>
            </w:r>
          </w:p>
        </w:tc>
        <w:tc>
          <w:tcPr>
            <w:tcW w:w="235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影响工程调度运行、防汛抢险</w:t>
            </w:r>
          </w:p>
        </w:tc>
        <w:tc>
          <w:tcPr>
            <w:tcW w:w="893"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LS法</w:t>
            </w:r>
          </w:p>
        </w:tc>
        <w:tc>
          <w:tcPr>
            <w:tcW w:w="81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3～18</w:t>
            </w:r>
          </w:p>
        </w:tc>
        <w:tc>
          <w:tcPr>
            <w:tcW w:w="84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w:t>
            </w:r>
          </w:p>
        </w:tc>
        <w:tc>
          <w:tcPr>
            <w:tcW w:w="84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3～100</w:t>
            </w:r>
          </w:p>
        </w:tc>
        <w:tc>
          <w:tcPr>
            <w:tcW w:w="1117"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9～1800</w:t>
            </w:r>
          </w:p>
        </w:tc>
        <w:tc>
          <w:tcPr>
            <w:tcW w:w="1091"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低～重大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18"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58</w:t>
            </w:r>
          </w:p>
        </w:tc>
        <w:tc>
          <w:tcPr>
            <w:tcW w:w="970" w:type="dxa"/>
            <w:vMerge w:val="continue"/>
            <w:vAlign w:val="center"/>
          </w:tcPr>
          <w:p>
            <w:pPr>
              <w:snapToGrid w:val="0"/>
              <w:jc w:val="center"/>
              <w:rPr>
                <w:rFonts w:cs="宋体" w:asciiTheme="minorEastAsia" w:hAnsiTheme="minorEastAsia" w:eastAsiaTheme="minorEastAsia"/>
                <w:sz w:val="20"/>
                <w:szCs w:val="20"/>
              </w:rPr>
            </w:pPr>
          </w:p>
        </w:tc>
        <w:tc>
          <w:tcPr>
            <w:tcW w:w="1094" w:type="dxa"/>
            <w:vMerge w:val="continue"/>
            <w:vAlign w:val="center"/>
          </w:tcPr>
          <w:p>
            <w:pPr>
              <w:snapToGrid w:val="0"/>
              <w:jc w:val="center"/>
              <w:rPr>
                <w:rFonts w:cs="宋体" w:asciiTheme="minorEastAsia" w:hAnsiTheme="minorEastAsia" w:eastAsiaTheme="minorEastAsia"/>
                <w:sz w:val="20"/>
                <w:szCs w:val="20"/>
              </w:rPr>
            </w:pPr>
          </w:p>
        </w:tc>
        <w:tc>
          <w:tcPr>
            <w:tcW w:w="199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闸门远程控制系统</w:t>
            </w:r>
          </w:p>
        </w:tc>
        <w:tc>
          <w:tcPr>
            <w:tcW w:w="1539"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功能失效</w:t>
            </w:r>
          </w:p>
        </w:tc>
        <w:tc>
          <w:tcPr>
            <w:tcW w:w="235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影响闸门启闭、工程调度运行</w:t>
            </w:r>
          </w:p>
        </w:tc>
        <w:tc>
          <w:tcPr>
            <w:tcW w:w="893"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LS法</w:t>
            </w:r>
          </w:p>
        </w:tc>
        <w:tc>
          <w:tcPr>
            <w:tcW w:w="81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3～18</w:t>
            </w:r>
          </w:p>
        </w:tc>
        <w:tc>
          <w:tcPr>
            <w:tcW w:w="84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w:t>
            </w:r>
          </w:p>
        </w:tc>
        <w:tc>
          <w:tcPr>
            <w:tcW w:w="84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3～100</w:t>
            </w:r>
          </w:p>
        </w:tc>
        <w:tc>
          <w:tcPr>
            <w:tcW w:w="1117"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9～1800</w:t>
            </w:r>
          </w:p>
        </w:tc>
        <w:tc>
          <w:tcPr>
            <w:tcW w:w="1091"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低～重大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18"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59</w:t>
            </w:r>
          </w:p>
        </w:tc>
        <w:tc>
          <w:tcPr>
            <w:tcW w:w="970" w:type="dxa"/>
            <w:vMerge w:val="continue"/>
            <w:vAlign w:val="center"/>
          </w:tcPr>
          <w:p>
            <w:pPr>
              <w:snapToGrid w:val="0"/>
              <w:jc w:val="left"/>
              <w:rPr>
                <w:rFonts w:cs="宋体" w:asciiTheme="minorEastAsia" w:hAnsiTheme="minorEastAsia" w:eastAsiaTheme="minorEastAsia"/>
                <w:sz w:val="20"/>
                <w:szCs w:val="20"/>
              </w:rPr>
            </w:pPr>
          </w:p>
        </w:tc>
        <w:tc>
          <w:tcPr>
            <w:tcW w:w="1094" w:type="dxa"/>
            <w:vMerge w:val="continue"/>
            <w:vAlign w:val="center"/>
          </w:tcPr>
          <w:p>
            <w:pPr>
              <w:snapToGrid w:val="0"/>
              <w:jc w:val="left"/>
              <w:rPr>
                <w:rFonts w:cs="宋体" w:asciiTheme="minorEastAsia" w:hAnsiTheme="minorEastAsia" w:eastAsiaTheme="minorEastAsia"/>
                <w:sz w:val="20"/>
                <w:szCs w:val="20"/>
              </w:rPr>
            </w:pPr>
          </w:p>
        </w:tc>
        <w:tc>
          <w:tcPr>
            <w:tcW w:w="199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网络设施</w:t>
            </w:r>
          </w:p>
        </w:tc>
        <w:tc>
          <w:tcPr>
            <w:tcW w:w="1539"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设施损坏</w:t>
            </w:r>
          </w:p>
        </w:tc>
        <w:tc>
          <w:tcPr>
            <w:tcW w:w="235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影响闸门启闭、工程调度运行、安全监测数据传输</w:t>
            </w:r>
          </w:p>
        </w:tc>
        <w:tc>
          <w:tcPr>
            <w:tcW w:w="893"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LS法</w:t>
            </w:r>
          </w:p>
        </w:tc>
        <w:tc>
          <w:tcPr>
            <w:tcW w:w="81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3～18</w:t>
            </w:r>
          </w:p>
        </w:tc>
        <w:tc>
          <w:tcPr>
            <w:tcW w:w="84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w:t>
            </w:r>
          </w:p>
        </w:tc>
        <w:tc>
          <w:tcPr>
            <w:tcW w:w="84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3～100</w:t>
            </w:r>
          </w:p>
        </w:tc>
        <w:tc>
          <w:tcPr>
            <w:tcW w:w="1117"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9～1800</w:t>
            </w:r>
          </w:p>
        </w:tc>
        <w:tc>
          <w:tcPr>
            <w:tcW w:w="1091"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低～重大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18"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60</w:t>
            </w:r>
          </w:p>
        </w:tc>
        <w:tc>
          <w:tcPr>
            <w:tcW w:w="970" w:type="dxa"/>
            <w:vMerge w:val="restart"/>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设备设施类</w:t>
            </w:r>
          </w:p>
        </w:tc>
        <w:tc>
          <w:tcPr>
            <w:tcW w:w="1094" w:type="dxa"/>
            <w:vMerge w:val="restart"/>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管理设施</w:t>
            </w:r>
          </w:p>
        </w:tc>
        <w:tc>
          <w:tcPr>
            <w:tcW w:w="199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防汛抢险照明设施</w:t>
            </w:r>
          </w:p>
        </w:tc>
        <w:tc>
          <w:tcPr>
            <w:tcW w:w="1539"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设施损坏</w:t>
            </w:r>
          </w:p>
        </w:tc>
        <w:tc>
          <w:tcPr>
            <w:tcW w:w="235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影响夜间防汛抢险</w:t>
            </w:r>
          </w:p>
        </w:tc>
        <w:tc>
          <w:tcPr>
            <w:tcW w:w="893"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LS法</w:t>
            </w:r>
          </w:p>
        </w:tc>
        <w:tc>
          <w:tcPr>
            <w:tcW w:w="81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3～6</w:t>
            </w:r>
          </w:p>
        </w:tc>
        <w:tc>
          <w:tcPr>
            <w:tcW w:w="84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w:t>
            </w:r>
          </w:p>
        </w:tc>
        <w:tc>
          <w:tcPr>
            <w:tcW w:w="84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3～100</w:t>
            </w:r>
          </w:p>
        </w:tc>
        <w:tc>
          <w:tcPr>
            <w:tcW w:w="1117"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3～600</w:t>
            </w:r>
          </w:p>
        </w:tc>
        <w:tc>
          <w:tcPr>
            <w:tcW w:w="1091"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低～重大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18"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61</w:t>
            </w:r>
          </w:p>
        </w:tc>
        <w:tc>
          <w:tcPr>
            <w:tcW w:w="970" w:type="dxa"/>
            <w:vMerge w:val="continue"/>
            <w:vAlign w:val="center"/>
          </w:tcPr>
          <w:p>
            <w:pPr>
              <w:snapToGrid w:val="0"/>
              <w:jc w:val="left"/>
              <w:rPr>
                <w:rFonts w:cs="宋体" w:asciiTheme="minorEastAsia" w:hAnsiTheme="minorEastAsia" w:eastAsiaTheme="minorEastAsia"/>
                <w:sz w:val="20"/>
                <w:szCs w:val="20"/>
              </w:rPr>
            </w:pPr>
          </w:p>
        </w:tc>
        <w:tc>
          <w:tcPr>
            <w:tcW w:w="1094" w:type="dxa"/>
            <w:vMerge w:val="continue"/>
            <w:vAlign w:val="center"/>
          </w:tcPr>
          <w:p>
            <w:pPr>
              <w:snapToGrid w:val="0"/>
              <w:jc w:val="center"/>
              <w:rPr>
                <w:rFonts w:cs="宋体" w:asciiTheme="minorEastAsia" w:hAnsiTheme="minorEastAsia" w:eastAsiaTheme="minorEastAsia"/>
                <w:sz w:val="20"/>
                <w:szCs w:val="20"/>
              </w:rPr>
            </w:pPr>
          </w:p>
        </w:tc>
        <w:tc>
          <w:tcPr>
            <w:tcW w:w="199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防汛上坝道路</w:t>
            </w:r>
          </w:p>
        </w:tc>
        <w:tc>
          <w:tcPr>
            <w:tcW w:w="1539"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设施损坏</w:t>
            </w:r>
          </w:p>
        </w:tc>
        <w:tc>
          <w:tcPr>
            <w:tcW w:w="235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影响防汛人员、物资等运送</w:t>
            </w:r>
          </w:p>
        </w:tc>
        <w:tc>
          <w:tcPr>
            <w:tcW w:w="893"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LS法</w:t>
            </w:r>
          </w:p>
        </w:tc>
        <w:tc>
          <w:tcPr>
            <w:tcW w:w="81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3～6</w:t>
            </w:r>
          </w:p>
        </w:tc>
        <w:tc>
          <w:tcPr>
            <w:tcW w:w="84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w:t>
            </w:r>
          </w:p>
        </w:tc>
        <w:tc>
          <w:tcPr>
            <w:tcW w:w="84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3～100</w:t>
            </w:r>
          </w:p>
        </w:tc>
        <w:tc>
          <w:tcPr>
            <w:tcW w:w="1117"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3～600</w:t>
            </w:r>
          </w:p>
        </w:tc>
        <w:tc>
          <w:tcPr>
            <w:tcW w:w="1091"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低～重大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18"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62</w:t>
            </w:r>
          </w:p>
        </w:tc>
        <w:tc>
          <w:tcPr>
            <w:tcW w:w="970" w:type="dxa"/>
            <w:vMerge w:val="continue"/>
            <w:vAlign w:val="center"/>
          </w:tcPr>
          <w:p>
            <w:pPr>
              <w:snapToGrid w:val="0"/>
              <w:jc w:val="left"/>
              <w:rPr>
                <w:rFonts w:cs="宋体" w:asciiTheme="minorEastAsia" w:hAnsiTheme="minorEastAsia" w:eastAsiaTheme="minorEastAsia"/>
                <w:sz w:val="20"/>
                <w:szCs w:val="20"/>
              </w:rPr>
            </w:pPr>
          </w:p>
        </w:tc>
        <w:tc>
          <w:tcPr>
            <w:tcW w:w="1094" w:type="dxa"/>
            <w:vMerge w:val="continue"/>
            <w:vAlign w:val="center"/>
          </w:tcPr>
          <w:p>
            <w:pPr>
              <w:snapToGrid w:val="0"/>
              <w:jc w:val="center"/>
              <w:rPr>
                <w:rFonts w:cs="宋体" w:asciiTheme="minorEastAsia" w:hAnsiTheme="minorEastAsia" w:eastAsiaTheme="minorEastAsia"/>
                <w:sz w:val="20"/>
                <w:szCs w:val="20"/>
              </w:rPr>
            </w:pPr>
          </w:p>
        </w:tc>
        <w:tc>
          <w:tcPr>
            <w:tcW w:w="199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与外界联系交通道路</w:t>
            </w:r>
          </w:p>
        </w:tc>
        <w:tc>
          <w:tcPr>
            <w:tcW w:w="1539"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设施损坏</w:t>
            </w:r>
          </w:p>
        </w:tc>
        <w:tc>
          <w:tcPr>
            <w:tcW w:w="235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影响工程防汛抢险</w:t>
            </w:r>
          </w:p>
        </w:tc>
        <w:tc>
          <w:tcPr>
            <w:tcW w:w="893"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LS法</w:t>
            </w:r>
          </w:p>
        </w:tc>
        <w:tc>
          <w:tcPr>
            <w:tcW w:w="81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3～6</w:t>
            </w:r>
          </w:p>
        </w:tc>
        <w:tc>
          <w:tcPr>
            <w:tcW w:w="84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w:t>
            </w:r>
          </w:p>
        </w:tc>
        <w:tc>
          <w:tcPr>
            <w:tcW w:w="84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3～100</w:t>
            </w:r>
          </w:p>
        </w:tc>
        <w:tc>
          <w:tcPr>
            <w:tcW w:w="1117"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3～600</w:t>
            </w:r>
          </w:p>
        </w:tc>
        <w:tc>
          <w:tcPr>
            <w:tcW w:w="1091"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低～重大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18"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63</w:t>
            </w:r>
          </w:p>
        </w:tc>
        <w:tc>
          <w:tcPr>
            <w:tcW w:w="970" w:type="dxa"/>
            <w:vMerge w:val="continue"/>
            <w:vAlign w:val="center"/>
          </w:tcPr>
          <w:p>
            <w:pPr>
              <w:snapToGrid w:val="0"/>
              <w:jc w:val="center"/>
              <w:rPr>
                <w:rFonts w:cs="宋体" w:asciiTheme="minorEastAsia" w:hAnsiTheme="minorEastAsia" w:eastAsiaTheme="minorEastAsia"/>
                <w:sz w:val="20"/>
                <w:szCs w:val="20"/>
              </w:rPr>
            </w:pPr>
          </w:p>
        </w:tc>
        <w:tc>
          <w:tcPr>
            <w:tcW w:w="1094" w:type="dxa"/>
            <w:vMerge w:val="continue"/>
            <w:vAlign w:val="center"/>
          </w:tcPr>
          <w:p>
            <w:pPr>
              <w:snapToGrid w:val="0"/>
              <w:jc w:val="center"/>
              <w:rPr>
                <w:rFonts w:cs="宋体" w:asciiTheme="minorEastAsia" w:hAnsiTheme="minorEastAsia" w:eastAsiaTheme="minorEastAsia"/>
                <w:sz w:val="20"/>
                <w:szCs w:val="20"/>
              </w:rPr>
            </w:pPr>
          </w:p>
        </w:tc>
        <w:tc>
          <w:tcPr>
            <w:tcW w:w="199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消防设施</w:t>
            </w:r>
          </w:p>
        </w:tc>
        <w:tc>
          <w:tcPr>
            <w:tcW w:w="1539"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设施损坏、过期或失效</w:t>
            </w:r>
          </w:p>
        </w:tc>
        <w:tc>
          <w:tcPr>
            <w:tcW w:w="235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不能及时预警、不能正常发挥灭火功能</w:t>
            </w:r>
          </w:p>
        </w:tc>
        <w:tc>
          <w:tcPr>
            <w:tcW w:w="893"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LS法</w:t>
            </w:r>
          </w:p>
        </w:tc>
        <w:tc>
          <w:tcPr>
            <w:tcW w:w="81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3～18</w:t>
            </w:r>
          </w:p>
        </w:tc>
        <w:tc>
          <w:tcPr>
            <w:tcW w:w="84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w:t>
            </w:r>
          </w:p>
        </w:tc>
        <w:tc>
          <w:tcPr>
            <w:tcW w:w="84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3～100</w:t>
            </w:r>
          </w:p>
        </w:tc>
        <w:tc>
          <w:tcPr>
            <w:tcW w:w="1117"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9～1800</w:t>
            </w:r>
          </w:p>
        </w:tc>
        <w:tc>
          <w:tcPr>
            <w:tcW w:w="1091"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低～重大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18"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64</w:t>
            </w:r>
          </w:p>
        </w:tc>
        <w:tc>
          <w:tcPr>
            <w:tcW w:w="970" w:type="dxa"/>
            <w:vMerge w:val="continue"/>
            <w:vAlign w:val="center"/>
          </w:tcPr>
          <w:p>
            <w:pPr>
              <w:snapToGrid w:val="0"/>
              <w:jc w:val="left"/>
              <w:rPr>
                <w:rFonts w:cs="宋体" w:asciiTheme="minorEastAsia" w:hAnsiTheme="minorEastAsia" w:eastAsiaTheme="minorEastAsia"/>
                <w:sz w:val="20"/>
                <w:szCs w:val="20"/>
              </w:rPr>
            </w:pPr>
          </w:p>
        </w:tc>
        <w:tc>
          <w:tcPr>
            <w:tcW w:w="1094" w:type="dxa"/>
            <w:vMerge w:val="continue"/>
            <w:vAlign w:val="center"/>
          </w:tcPr>
          <w:p>
            <w:pPr>
              <w:snapToGrid w:val="0"/>
              <w:jc w:val="left"/>
              <w:rPr>
                <w:rFonts w:cs="宋体" w:asciiTheme="minorEastAsia" w:hAnsiTheme="minorEastAsia" w:eastAsiaTheme="minorEastAsia"/>
                <w:sz w:val="20"/>
                <w:szCs w:val="20"/>
              </w:rPr>
            </w:pPr>
          </w:p>
        </w:tc>
        <w:tc>
          <w:tcPr>
            <w:tcW w:w="199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防雷保护系统</w:t>
            </w:r>
          </w:p>
        </w:tc>
        <w:tc>
          <w:tcPr>
            <w:tcW w:w="1539"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功能失效</w:t>
            </w:r>
          </w:p>
        </w:tc>
        <w:tc>
          <w:tcPr>
            <w:tcW w:w="235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电气系统损坏，影响工程运行安全</w:t>
            </w:r>
          </w:p>
        </w:tc>
        <w:tc>
          <w:tcPr>
            <w:tcW w:w="893"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LS法</w:t>
            </w:r>
          </w:p>
        </w:tc>
        <w:tc>
          <w:tcPr>
            <w:tcW w:w="81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3～18</w:t>
            </w:r>
          </w:p>
        </w:tc>
        <w:tc>
          <w:tcPr>
            <w:tcW w:w="84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w:t>
            </w:r>
          </w:p>
        </w:tc>
        <w:tc>
          <w:tcPr>
            <w:tcW w:w="84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3～100</w:t>
            </w:r>
          </w:p>
        </w:tc>
        <w:tc>
          <w:tcPr>
            <w:tcW w:w="1117"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9～1800</w:t>
            </w:r>
          </w:p>
        </w:tc>
        <w:tc>
          <w:tcPr>
            <w:tcW w:w="1091"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低～重大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18"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65</w:t>
            </w:r>
          </w:p>
        </w:tc>
        <w:tc>
          <w:tcPr>
            <w:tcW w:w="970" w:type="dxa"/>
            <w:vMerge w:val="restart"/>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作业活动类</w:t>
            </w:r>
          </w:p>
        </w:tc>
        <w:tc>
          <w:tcPr>
            <w:tcW w:w="1094" w:type="dxa"/>
            <w:vMerge w:val="restart"/>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作业活动</w:t>
            </w:r>
          </w:p>
        </w:tc>
        <w:tc>
          <w:tcPr>
            <w:tcW w:w="199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机械作业</w:t>
            </w:r>
          </w:p>
        </w:tc>
        <w:tc>
          <w:tcPr>
            <w:tcW w:w="1539" w:type="dxa"/>
            <w:vMerge w:val="restart"/>
            <w:vAlign w:val="center"/>
          </w:tcPr>
          <w:p>
            <w:pPr>
              <w:snapToGrid w:val="0"/>
              <w:jc w:val="center"/>
              <w:rPr>
                <w:rFonts w:cs="宋体" w:asciiTheme="minorEastAsia" w:hAnsiTheme="minorEastAsia" w:eastAsiaTheme="minorEastAsia"/>
                <w:sz w:val="20"/>
                <w:szCs w:val="20"/>
              </w:rPr>
            </w:pPr>
            <w:r>
              <w:rPr>
                <w:rFonts w:cs="Arial" w:asciiTheme="minorEastAsia" w:hAnsiTheme="minorEastAsia" w:eastAsiaTheme="minorEastAsia"/>
                <w:sz w:val="20"/>
                <w:szCs w:val="20"/>
                <w:shd w:val="clear" w:color="auto" w:fill="FFFFFF"/>
              </w:rPr>
              <w:t>违章指挥</w:t>
            </w:r>
            <w:r>
              <w:rPr>
                <w:rFonts w:hint="eastAsia" w:cs="Arial" w:asciiTheme="minorEastAsia" w:hAnsiTheme="minorEastAsia" w:eastAsiaTheme="minorEastAsia"/>
                <w:sz w:val="20"/>
                <w:szCs w:val="20"/>
                <w:shd w:val="clear" w:color="auto" w:fill="FFFFFF"/>
              </w:rPr>
              <w:t>、</w:t>
            </w:r>
            <w:r>
              <w:rPr>
                <w:rFonts w:cs="Arial" w:asciiTheme="minorEastAsia" w:hAnsiTheme="minorEastAsia" w:eastAsiaTheme="minorEastAsia"/>
                <w:sz w:val="20"/>
                <w:szCs w:val="20"/>
                <w:shd w:val="clear" w:color="auto" w:fill="FFFFFF"/>
              </w:rPr>
              <w:t>违章操作</w:t>
            </w:r>
            <w:r>
              <w:rPr>
                <w:rFonts w:hint="eastAsia" w:cs="Arial" w:asciiTheme="minorEastAsia" w:hAnsiTheme="minorEastAsia" w:eastAsiaTheme="minorEastAsia"/>
                <w:sz w:val="20"/>
                <w:szCs w:val="20"/>
                <w:shd w:val="clear" w:color="auto" w:fill="FFFFFF"/>
              </w:rPr>
              <w:t>、</w:t>
            </w:r>
            <w:r>
              <w:rPr>
                <w:rFonts w:cs="Arial" w:asciiTheme="minorEastAsia" w:hAnsiTheme="minorEastAsia" w:eastAsiaTheme="minorEastAsia"/>
                <w:sz w:val="20"/>
                <w:szCs w:val="20"/>
                <w:shd w:val="clear" w:color="auto" w:fill="FFFFFF"/>
              </w:rPr>
              <w:t>违反劳动纪律</w:t>
            </w:r>
            <w:r>
              <w:rPr>
                <w:rFonts w:hint="eastAsia" w:cs="Arial" w:asciiTheme="minorEastAsia" w:hAnsiTheme="minorEastAsia" w:eastAsiaTheme="minorEastAsia"/>
                <w:sz w:val="20"/>
                <w:szCs w:val="20"/>
                <w:shd w:val="clear" w:color="auto" w:fill="FFFFFF"/>
              </w:rPr>
              <w:t>、未正确使用防护用品、无证上岗</w:t>
            </w:r>
          </w:p>
        </w:tc>
        <w:tc>
          <w:tcPr>
            <w:tcW w:w="235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机械伤害</w:t>
            </w:r>
          </w:p>
        </w:tc>
        <w:tc>
          <w:tcPr>
            <w:tcW w:w="893"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LEC法</w:t>
            </w:r>
          </w:p>
        </w:tc>
        <w:tc>
          <w:tcPr>
            <w:tcW w:w="81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0.5～3</w:t>
            </w:r>
          </w:p>
        </w:tc>
        <w:tc>
          <w:tcPr>
            <w:tcW w:w="84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2～6</w:t>
            </w:r>
          </w:p>
        </w:tc>
        <w:tc>
          <w:tcPr>
            <w:tcW w:w="84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3～7</w:t>
            </w:r>
          </w:p>
        </w:tc>
        <w:tc>
          <w:tcPr>
            <w:tcW w:w="1117"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3～126</w:t>
            </w:r>
          </w:p>
        </w:tc>
        <w:tc>
          <w:tcPr>
            <w:tcW w:w="1091"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低～一般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18"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66</w:t>
            </w:r>
          </w:p>
        </w:tc>
        <w:tc>
          <w:tcPr>
            <w:tcW w:w="970" w:type="dxa"/>
            <w:vMerge w:val="continue"/>
            <w:vAlign w:val="center"/>
          </w:tcPr>
          <w:p>
            <w:pPr>
              <w:snapToGrid w:val="0"/>
              <w:jc w:val="center"/>
              <w:rPr>
                <w:rFonts w:cs="宋体" w:asciiTheme="minorEastAsia" w:hAnsiTheme="minorEastAsia" w:eastAsiaTheme="minorEastAsia"/>
                <w:sz w:val="20"/>
                <w:szCs w:val="20"/>
              </w:rPr>
            </w:pPr>
          </w:p>
        </w:tc>
        <w:tc>
          <w:tcPr>
            <w:tcW w:w="1094" w:type="dxa"/>
            <w:vMerge w:val="continue"/>
            <w:vAlign w:val="center"/>
          </w:tcPr>
          <w:p>
            <w:pPr>
              <w:snapToGrid w:val="0"/>
              <w:jc w:val="left"/>
              <w:rPr>
                <w:rFonts w:cs="宋体" w:asciiTheme="minorEastAsia" w:hAnsiTheme="minorEastAsia" w:eastAsiaTheme="minorEastAsia"/>
                <w:sz w:val="20"/>
                <w:szCs w:val="20"/>
              </w:rPr>
            </w:pPr>
          </w:p>
        </w:tc>
        <w:tc>
          <w:tcPr>
            <w:tcW w:w="199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起重、搬运作业</w:t>
            </w:r>
          </w:p>
        </w:tc>
        <w:tc>
          <w:tcPr>
            <w:tcW w:w="1539" w:type="dxa"/>
            <w:vMerge w:val="continue"/>
            <w:vAlign w:val="center"/>
          </w:tcPr>
          <w:p>
            <w:pPr>
              <w:snapToGrid w:val="0"/>
              <w:jc w:val="center"/>
              <w:rPr>
                <w:rFonts w:cs="宋体" w:asciiTheme="minorEastAsia" w:hAnsiTheme="minorEastAsia" w:eastAsiaTheme="minorEastAsia"/>
                <w:sz w:val="20"/>
                <w:szCs w:val="20"/>
              </w:rPr>
            </w:pPr>
          </w:p>
        </w:tc>
        <w:tc>
          <w:tcPr>
            <w:tcW w:w="235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起重伤害、物体打击</w:t>
            </w:r>
          </w:p>
        </w:tc>
        <w:tc>
          <w:tcPr>
            <w:tcW w:w="893"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LEC法</w:t>
            </w:r>
          </w:p>
        </w:tc>
        <w:tc>
          <w:tcPr>
            <w:tcW w:w="81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0.5～3</w:t>
            </w:r>
          </w:p>
        </w:tc>
        <w:tc>
          <w:tcPr>
            <w:tcW w:w="84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2～6</w:t>
            </w:r>
          </w:p>
        </w:tc>
        <w:tc>
          <w:tcPr>
            <w:tcW w:w="84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3～7</w:t>
            </w:r>
          </w:p>
        </w:tc>
        <w:tc>
          <w:tcPr>
            <w:tcW w:w="1117"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3～126</w:t>
            </w:r>
          </w:p>
        </w:tc>
        <w:tc>
          <w:tcPr>
            <w:tcW w:w="1091"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低～一般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18"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67</w:t>
            </w:r>
          </w:p>
        </w:tc>
        <w:tc>
          <w:tcPr>
            <w:tcW w:w="970" w:type="dxa"/>
            <w:vMerge w:val="continue"/>
            <w:vAlign w:val="center"/>
          </w:tcPr>
          <w:p>
            <w:pPr>
              <w:snapToGrid w:val="0"/>
              <w:jc w:val="center"/>
              <w:rPr>
                <w:rFonts w:cs="宋体" w:asciiTheme="minorEastAsia" w:hAnsiTheme="minorEastAsia" w:eastAsiaTheme="minorEastAsia"/>
                <w:sz w:val="20"/>
                <w:szCs w:val="20"/>
              </w:rPr>
            </w:pPr>
          </w:p>
        </w:tc>
        <w:tc>
          <w:tcPr>
            <w:tcW w:w="1094" w:type="dxa"/>
            <w:vMerge w:val="continue"/>
            <w:vAlign w:val="center"/>
          </w:tcPr>
          <w:p>
            <w:pPr>
              <w:snapToGrid w:val="0"/>
              <w:jc w:val="left"/>
              <w:rPr>
                <w:rFonts w:cs="宋体" w:asciiTheme="minorEastAsia" w:hAnsiTheme="minorEastAsia" w:eastAsiaTheme="minorEastAsia"/>
                <w:sz w:val="20"/>
                <w:szCs w:val="20"/>
              </w:rPr>
            </w:pPr>
          </w:p>
        </w:tc>
        <w:tc>
          <w:tcPr>
            <w:tcW w:w="199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高空作业</w:t>
            </w:r>
          </w:p>
        </w:tc>
        <w:tc>
          <w:tcPr>
            <w:tcW w:w="1539" w:type="dxa"/>
            <w:vMerge w:val="continue"/>
            <w:vAlign w:val="center"/>
          </w:tcPr>
          <w:p>
            <w:pPr>
              <w:snapToGrid w:val="0"/>
              <w:jc w:val="center"/>
              <w:rPr>
                <w:rFonts w:cs="宋体" w:asciiTheme="minorEastAsia" w:hAnsiTheme="minorEastAsia" w:eastAsiaTheme="minorEastAsia"/>
                <w:sz w:val="20"/>
                <w:szCs w:val="20"/>
              </w:rPr>
            </w:pPr>
          </w:p>
        </w:tc>
        <w:tc>
          <w:tcPr>
            <w:tcW w:w="235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高处坠落、物体打击</w:t>
            </w:r>
          </w:p>
        </w:tc>
        <w:tc>
          <w:tcPr>
            <w:tcW w:w="893"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LEC法</w:t>
            </w:r>
          </w:p>
        </w:tc>
        <w:tc>
          <w:tcPr>
            <w:tcW w:w="81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0.5～</w:t>
            </w:r>
            <w:r>
              <w:rPr>
                <w:rFonts w:cs="宋体" w:asciiTheme="minorEastAsia" w:hAnsiTheme="minorEastAsia" w:eastAsiaTheme="minorEastAsia"/>
                <w:sz w:val="20"/>
                <w:szCs w:val="20"/>
              </w:rPr>
              <w:t>6</w:t>
            </w:r>
          </w:p>
        </w:tc>
        <w:tc>
          <w:tcPr>
            <w:tcW w:w="84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2～6</w:t>
            </w:r>
          </w:p>
        </w:tc>
        <w:tc>
          <w:tcPr>
            <w:tcW w:w="84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3～7</w:t>
            </w:r>
          </w:p>
        </w:tc>
        <w:tc>
          <w:tcPr>
            <w:tcW w:w="1117"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w:t>
            </w:r>
            <w:r>
              <w:rPr>
                <w:rFonts w:cs="宋体" w:asciiTheme="minorEastAsia" w:hAnsiTheme="minorEastAsia" w:eastAsiaTheme="minorEastAsia"/>
                <w:sz w:val="20"/>
                <w:szCs w:val="20"/>
              </w:rPr>
              <w:t>252</w:t>
            </w:r>
          </w:p>
        </w:tc>
        <w:tc>
          <w:tcPr>
            <w:tcW w:w="1091"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低～较大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18"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68</w:t>
            </w:r>
          </w:p>
        </w:tc>
        <w:tc>
          <w:tcPr>
            <w:tcW w:w="970" w:type="dxa"/>
            <w:vMerge w:val="continue"/>
            <w:vAlign w:val="center"/>
          </w:tcPr>
          <w:p>
            <w:pPr>
              <w:snapToGrid w:val="0"/>
              <w:jc w:val="center"/>
              <w:rPr>
                <w:rFonts w:cs="宋体" w:asciiTheme="minorEastAsia" w:hAnsiTheme="minorEastAsia" w:eastAsiaTheme="minorEastAsia"/>
                <w:sz w:val="20"/>
                <w:szCs w:val="20"/>
              </w:rPr>
            </w:pPr>
          </w:p>
        </w:tc>
        <w:tc>
          <w:tcPr>
            <w:tcW w:w="1094" w:type="dxa"/>
            <w:vMerge w:val="continue"/>
            <w:vAlign w:val="center"/>
          </w:tcPr>
          <w:p>
            <w:pPr>
              <w:snapToGrid w:val="0"/>
              <w:jc w:val="center"/>
              <w:rPr>
                <w:rFonts w:cs="宋体" w:asciiTheme="minorEastAsia" w:hAnsiTheme="minorEastAsia" w:eastAsiaTheme="minorEastAsia"/>
                <w:sz w:val="20"/>
                <w:szCs w:val="20"/>
              </w:rPr>
            </w:pPr>
          </w:p>
        </w:tc>
        <w:tc>
          <w:tcPr>
            <w:tcW w:w="199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电焊作业</w:t>
            </w:r>
          </w:p>
        </w:tc>
        <w:tc>
          <w:tcPr>
            <w:tcW w:w="1539" w:type="dxa"/>
            <w:vMerge w:val="continue"/>
            <w:vAlign w:val="center"/>
          </w:tcPr>
          <w:p>
            <w:pPr>
              <w:snapToGrid w:val="0"/>
              <w:jc w:val="center"/>
              <w:rPr>
                <w:rFonts w:cs="宋体" w:asciiTheme="minorEastAsia" w:hAnsiTheme="minorEastAsia" w:eastAsiaTheme="minorEastAsia"/>
                <w:sz w:val="20"/>
                <w:szCs w:val="20"/>
              </w:rPr>
            </w:pPr>
          </w:p>
        </w:tc>
        <w:tc>
          <w:tcPr>
            <w:tcW w:w="235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灼烫、触电、火灾</w:t>
            </w:r>
          </w:p>
        </w:tc>
        <w:tc>
          <w:tcPr>
            <w:tcW w:w="893"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LEC法</w:t>
            </w:r>
          </w:p>
        </w:tc>
        <w:tc>
          <w:tcPr>
            <w:tcW w:w="81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0.5～3</w:t>
            </w:r>
          </w:p>
        </w:tc>
        <w:tc>
          <w:tcPr>
            <w:tcW w:w="84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2～6</w:t>
            </w:r>
          </w:p>
        </w:tc>
        <w:tc>
          <w:tcPr>
            <w:tcW w:w="84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3～7</w:t>
            </w:r>
          </w:p>
        </w:tc>
        <w:tc>
          <w:tcPr>
            <w:tcW w:w="1117"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3～126</w:t>
            </w:r>
          </w:p>
        </w:tc>
        <w:tc>
          <w:tcPr>
            <w:tcW w:w="1091"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低～一般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18"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69</w:t>
            </w:r>
          </w:p>
        </w:tc>
        <w:tc>
          <w:tcPr>
            <w:tcW w:w="970" w:type="dxa"/>
            <w:vMerge w:val="continue"/>
            <w:vAlign w:val="center"/>
          </w:tcPr>
          <w:p>
            <w:pPr>
              <w:snapToGrid w:val="0"/>
              <w:jc w:val="center"/>
              <w:rPr>
                <w:rFonts w:cs="宋体" w:asciiTheme="minorEastAsia" w:hAnsiTheme="minorEastAsia" w:eastAsiaTheme="minorEastAsia"/>
                <w:sz w:val="20"/>
                <w:szCs w:val="20"/>
              </w:rPr>
            </w:pPr>
          </w:p>
        </w:tc>
        <w:tc>
          <w:tcPr>
            <w:tcW w:w="1094" w:type="dxa"/>
            <w:vMerge w:val="continue"/>
            <w:vAlign w:val="center"/>
          </w:tcPr>
          <w:p>
            <w:pPr>
              <w:snapToGrid w:val="0"/>
              <w:jc w:val="left"/>
              <w:rPr>
                <w:rFonts w:cs="宋体" w:asciiTheme="minorEastAsia" w:hAnsiTheme="minorEastAsia" w:eastAsiaTheme="minorEastAsia"/>
                <w:sz w:val="20"/>
                <w:szCs w:val="20"/>
              </w:rPr>
            </w:pPr>
          </w:p>
        </w:tc>
        <w:tc>
          <w:tcPr>
            <w:tcW w:w="199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带电作业</w:t>
            </w:r>
          </w:p>
        </w:tc>
        <w:tc>
          <w:tcPr>
            <w:tcW w:w="1539" w:type="dxa"/>
            <w:vMerge w:val="continue"/>
            <w:vAlign w:val="center"/>
          </w:tcPr>
          <w:p>
            <w:pPr>
              <w:snapToGrid w:val="0"/>
              <w:jc w:val="center"/>
              <w:rPr>
                <w:rFonts w:cs="宋体" w:asciiTheme="minorEastAsia" w:hAnsiTheme="minorEastAsia" w:eastAsiaTheme="minorEastAsia"/>
                <w:sz w:val="20"/>
                <w:szCs w:val="20"/>
              </w:rPr>
            </w:pPr>
          </w:p>
        </w:tc>
        <w:tc>
          <w:tcPr>
            <w:tcW w:w="235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触电</w:t>
            </w:r>
          </w:p>
        </w:tc>
        <w:tc>
          <w:tcPr>
            <w:tcW w:w="893"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LEC法</w:t>
            </w:r>
          </w:p>
        </w:tc>
        <w:tc>
          <w:tcPr>
            <w:tcW w:w="81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0.5～3</w:t>
            </w:r>
          </w:p>
        </w:tc>
        <w:tc>
          <w:tcPr>
            <w:tcW w:w="84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2～6</w:t>
            </w:r>
          </w:p>
        </w:tc>
        <w:tc>
          <w:tcPr>
            <w:tcW w:w="84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3～7</w:t>
            </w:r>
          </w:p>
        </w:tc>
        <w:tc>
          <w:tcPr>
            <w:tcW w:w="1117"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3～126</w:t>
            </w:r>
          </w:p>
        </w:tc>
        <w:tc>
          <w:tcPr>
            <w:tcW w:w="1091"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低～一般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18"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70</w:t>
            </w:r>
          </w:p>
        </w:tc>
        <w:tc>
          <w:tcPr>
            <w:tcW w:w="970" w:type="dxa"/>
            <w:vMerge w:val="continue"/>
            <w:vAlign w:val="center"/>
          </w:tcPr>
          <w:p>
            <w:pPr>
              <w:snapToGrid w:val="0"/>
              <w:jc w:val="left"/>
              <w:rPr>
                <w:rFonts w:cs="宋体" w:asciiTheme="minorEastAsia" w:hAnsiTheme="minorEastAsia" w:eastAsiaTheme="minorEastAsia"/>
                <w:sz w:val="20"/>
                <w:szCs w:val="20"/>
              </w:rPr>
            </w:pPr>
          </w:p>
        </w:tc>
        <w:tc>
          <w:tcPr>
            <w:tcW w:w="1094" w:type="dxa"/>
            <w:vMerge w:val="continue"/>
            <w:vAlign w:val="center"/>
          </w:tcPr>
          <w:p>
            <w:pPr>
              <w:snapToGrid w:val="0"/>
              <w:jc w:val="left"/>
              <w:rPr>
                <w:rFonts w:cs="宋体" w:asciiTheme="minorEastAsia" w:hAnsiTheme="minorEastAsia" w:eastAsiaTheme="minorEastAsia"/>
                <w:sz w:val="20"/>
                <w:szCs w:val="20"/>
              </w:rPr>
            </w:pPr>
          </w:p>
        </w:tc>
        <w:tc>
          <w:tcPr>
            <w:tcW w:w="199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有限空间作业</w:t>
            </w:r>
          </w:p>
        </w:tc>
        <w:tc>
          <w:tcPr>
            <w:tcW w:w="1539" w:type="dxa"/>
            <w:vMerge w:val="continue"/>
            <w:vAlign w:val="center"/>
          </w:tcPr>
          <w:p>
            <w:pPr>
              <w:snapToGrid w:val="0"/>
              <w:jc w:val="center"/>
              <w:rPr>
                <w:rFonts w:cs="宋体" w:asciiTheme="minorEastAsia" w:hAnsiTheme="minorEastAsia" w:eastAsiaTheme="minorEastAsia"/>
                <w:sz w:val="20"/>
                <w:szCs w:val="20"/>
              </w:rPr>
            </w:pPr>
          </w:p>
        </w:tc>
        <w:tc>
          <w:tcPr>
            <w:tcW w:w="235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淹溺、窒息、坍塌</w:t>
            </w:r>
          </w:p>
        </w:tc>
        <w:tc>
          <w:tcPr>
            <w:tcW w:w="893"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LEC法</w:t>
            </w:r>
          </w:p>
        </w:tc>
        <w:tc>
          <w:tcPr>
            <w:tcW w:w="81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0.5～3</w:t>
            </w:r>
          </w:p>
        </w:tc>
        <w:tc>
          <w:tcPr>
            <w:tcW w:w="84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2～6</w:t>
            </w:r>
          </w:p>
        </w:tc>
        <w:tc>
          <w:tcPr>
            <w:tcW w:w="84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3～7</w:t>
            </w:r>
          </w:p>
        </w:tc>
        <w:tc>
          <w:tcPr>
            <w:tcW w:w="1117"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3～126</w:t>
            </w:r>
          </w:p>
        </w:tc>
        <w:tc>
          <w:tcPr>
            <w:tcW w:w="1091"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低～一般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18"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71</w:t>
            </w:r>
          </w:p>
        </w:tc>
        <w:tc>
          <w:tcPr>
            <w:tcW w:w="970" w:type="dxa"/>
            <w:vMerge w:val="continue"/>
            <w:vAlign w:val="center"/>
          </w:tcPr>
          <w:p>
            <w:pPr>
              <w:snapToGrid w:val="0"/>
              <w:jc w:val="left"/>
              <w:rPr>
                <w:rFonts w:cs="宋体" w:asciiTheme="minorEastAsia" w:hAnsiTheme="minorEastAsia" w:eastAsiaTheme="minorEastAsia"/>
                <w:sz w:val="20"/>
                <w:szCs w:val="20"/>
              </w:rPr>
            </w:pPr>
          </w:p>
        </w:tc>
        <w:tc>
          <w:tcPr>
            <w:tcW w:w="1094" w:type="dxa"/>
            <w:vMerge w:val="continue"/>
            <w:vAlign w:val="center"/>
          </w:tcPr>
          <w:p>
            <w:pPr>
              <w:snapToGrid w:val="0"/>
              <w:jc w:val="left"/>
              <w:rPr>
                <w:rFonts w:cs="宋体" w:asciiTheme="minorEastAsia" w:hAnsiTheme="minorEastAsia" w:eastAsiaTheme="minorEastAsia"/>
                <w:sz w:val="20"/>
                <w:szCs w:val="20"/>
              </w:rPr>
            </w:pPr>
          </w:p>
        </w:tc>
        <w:tc>
          <w:tcPr>
            <w:tcW w:w="199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水上观测与检查作业</w:t>
            </w:r>
          </w:p>
        </w:tc>
        <w:tc>
          <w:tcPr>
            <w:tcW w:w="1539" w:type="dxa"/>
            <w:vMerge w:val="continue"/>
            <w:vAlign w:val="center"/>
          </w:tcPr>
          <w:p>
            <w:pPr>
              <w:snapToGrid w:val="0"/>
              <w:jc w:val="center"/>
              <w:rPr>
                <w:rFonts w:cs="宋体" w:asciiTheme="minorEastAsia" w:hAnsiTheme="minorEastAsia" w:eastAsiaTheme="minorEastAsia"/>
                <w:sz w:val="20"/>
                <w:szCs w:val="20"/>
              </w:rPr>
            </w:pPr>
          </w:p>
        </w:tc>
        <w:tc>
          <w:tcPr>
            <w:tcW w:w="235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淹溺</w:t>
            </w:r>
          </w:p>
        </w:tc>
        <w:tc>
          <w:tcPr>
            <w:tcW w:w="893"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LEC法</w:t>
            </w:r>
          </w:p>
        </w:tc>
        <w:tc>
          <w:tcPr>
            <w:tcW w:w="81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0.5～3</w:t>
            </w:r>
          </w:p>
        </w:tc>
        <w:tc>
          <w:tcPr>
            <w:tcW w:w="84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2～6</w:t>
            </w:r>
          </w:p>
        </w:tc>
        <w:tc>
          <w:tcPr>
            <w:tcW w:w="84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3～7</w:t>
            </w:r>
          </w:p>
        </w:tc>
        <w:tc>
          <w:tcPr>
            <w:tcW w:w="1117"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3～126</w:t>
            </w:r>
          </w:p>
        </w:tc>
        <w:tc>
          <w:tcPr>
            <w:tcW w:w="1091"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低～一般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18"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72</w:t>
            </w:r>
          </w:p>
        </w:tc>
        <w:tc>
          <w:tcPr>
            <w:tcW w:w="970" w:type="dxa"/>
            <w:vMerge w:val="continue"/>
            <w:vAlign w:val="center"/>
          </w:tcPr>
          <w:p>
            <w:pPr>
              <w:snapToGrid w:val="0"/>
              <w:jc w:val="left"/>
              <w:rPr>
                <w:rFonts w:cs="宋体" w:asciiTheme="minorEastAsia" w:hAnsiTheme="minorEastAsia" w:eastAsiaTheme="minorEastAsia"/>
                <w:sz w:val="20"/>
                <w:szCs w:val="20"/>
              </w:rPr>
            </w:pPr>
          </w:p>
        </w:tc>
        <w:tc>
          <w:tcPr>
            <w:tcW w:w="1094" w:type="dxa"/>
            <w:vMerge w:val="continue"/>
            <w:vAlign w:val="center"/>
          </w:tcPr>
          <w:p>
            <w:pPr>
              <w:snapToGrid w:val="0"/>
              <w:jc w:val="left"/>
              <w:rPr>
                <w:rFonts w:cs="宋体" w:asciiTheme="minorEastAsia" w:hAnsiTheme="minorEastAsia" w:eastAsiaTheme="minorEastAsia"/>
                <w:sz w:val="20"/>
                <w:szCs w:val="20"/>
              </w:rPr>
            </w:pPr>
          </w:p>
        </w:tc>
        <w:tc>
          <w:tcPr>
            <w:tcW w:w="199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水下观测与检查作业</w:t>
            </w:r>
          </w:p>
        </w:tc>
        <w:tc>
          <w:tcPr>
            <w:tcW w:w="1539" w:type="dxa"/>
            <w:vMerge w:val="continue"/>
            <w:vAlign w:val="center"/>
          </w:tcPr>
          <w:p>
            <w:pPr>
              <w:snapToGrid w:val="0"/>
              <w:jc w:val="center"/>
              <w:rPr>
                <w:rFonts w:cs="宋体" w:asciiTheme="minorEastAsia" w:hAnsiTheme="minorEastAsia" w:eastAsiaTheme="minorEastAsia"/>
                <w:sz w:val="20"/>
                <w:szCs w:val="20"/>
              </w:rPr>
            </w:pPr>
          </w:p>
        </w:tc>
        <w:tc>
          <w:tcPr>
            <w:tcW w:w="235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淹溺</w:t>
            </w:r>
          </w:p>
        </w:tc>
        <w:tc>
          <w:tcPr>
            <w:tcW w:w="893"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LEC法</w:t>
            </w:r>
          </w:p>
        </w:tc>
        <w:tc>
          <w:tcPr>
            <w:tcW w:w="81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0.5～</w:t>
            </w:r>
            <w:r>
              <w:rPr>
                <w:rFonts w:cs="宋体" w:asciiTheme="minorEastAsia" w:hAnsiTheme="minorEastAsia" w:eastAsiaTheme="minorEastAsia"/>
                <w:sz w:val="20"/>
                <w:szCs w:val="20"/>
              </w:rPr>
              <w:t>6</w:t>
            </w:r>
          </w:p>
        </w:tc>
        <w:tc>
          <w:tcPr>
            <w:tcW w:w="84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2～6</w:t>
            </w:r>
          </w:p>
        </w:tc>
        <w:tc>
          <w:tcPr>
            <w:tcW w:w="84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3～7</w:t>
            </w:r>
          </w:p>
        </w:tc>
        <w:tc>
          <w:tcPr>
            <w:tcW w:w="1117"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w:t>
            </w:r>
            <w:r>
              <w:rPr>
                <w:rFonts w:cs="宋体" w:asciiTheme="minorEastAsia" w:hAnsiTheme="minorEastAsia" w:eastAsiaTheme="minorEastAsia"/>
                <w:sz w:val="20"/>
                <w:szCs w:val="20"/>
              </w:rPr>
              <w:t>252</w:t>
            </w:r>
          </w:p>
        </w:tc>
        <w:tc>
          <w:tcPr>
            <w:tcW w:w="1091"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低～较大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18"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73</w:t>
            </w:r>
          </w:p>
        </w:tc>
        <w:tc>
          <w:tcPr>
            <w:tcW w:w="970" w:type="dxa"/>
            <w:vMerge w:val="continue"/>
            <w:vAlign w:val="center"/>
          </w:tcPr>
          <w:p>
            <w:pPr>
              <w:snapToGrid w:val="0"/>
              <w:jc w:val="left"/>
              <w:rPr>
                <w:rFonts w:cs="宋体" w:asciiTheme="minorEastAsia" w:hAnsiTheme="minorEastAsia" w:eastAsiaTheme="minorEastAsia"/>
                <w:sz w:val="20"/>
                <w:szCs w:val="20"/>
              </w:rPr>
            </w:pPr>
          </w:p>
        </w:tc>
        <w:tc>
          <w:tcPr>
            <w:tcW w:w="1094" w:type="dxa"/>
            <w:vMerge w:val="continue"/>
            <w:vAlign w:val="center"/>
          </w:tcPr>
          <w:p>
            <w:pPr>
              <w:snapToGrid w:val="0"/>
              <w:jc w:val="left"/>
              <w:rPr>
                <w:rFonts w:cs="宋体" w:asciiTheme="minorEastAsia" w:hAnsiTheme="minorEastAsia" w:eastAsiaTheme="minorEastAsia"/>
                <w:sz w:val="20"/>
                <w:szCs w:val="20"/>
              </w:rPr>
            </w:pPr>
          </w:p>
        </w:tc>
        <w:tc>
          <w:tcPr>
            <w:tcW w:w="199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车辆行驶</w:t>
            </w:r>
          </w:p>
        </w:tc>
        <w:tc>
          <w:tcPr>
            <w:tcW w:w="1539" w:type="dxa"/>
            <w:vMerge w:val="continue"/>
            <w:vAlign w:val="center"/>
          </w:tcPr>
          <w:p>
            <w:pPr>
              <w:snapToGrid w:val="0"/>
              <w:jc w:val="center"/>
              <w:rPr>
                <w:rFonts w:cs="宋体" w:asciiTheme="minorEastAsia" w:hAnsiTheme="minorEastAsia" w:eastAsiaTheme="minorEastAsia"/>
                <w:sz w:val="20"/>
                <w:szCs w:val="20"/>
              </w:rPr>
            </w:pPr>
          </w:p>
        </w:tc>
        <w:tc>
          <w:tcPr>
            <w:tcW w:w="235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车辆伤害</w:t>
            </w:r>
          </w:p>
        </w:tc>
        <w:tc>
          <w:tcPr>
            <w:tcW w:w="893"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LEC法</w:t>
            </w:r>
          </w:p>
        </w:tc>
        <w:tc>
          <w:tcPr>
            <w:tcW w:w="81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0.5～3</w:t>
            </w:r>
          </w:p>
        </w:tc>
        <w:tc>
          <w:tcPr>
            <w:tcW w:w="84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2～6</w:t>
            </w:r>
          </w:p>
        </w:tc>
        <w:tc>
          <w:tcPr>
            <w:tcW w:w="84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3～15</w:t>
            </w:r>
          </w:p>
        </w:tc>
        <w:tc>
          <w:tcPr>
            <w:tcW w:w="1117"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3～270</w:t>
            </w:r>
          </w:p>
        </w:tc>
        <w:tc>
          <w:tcPr>
            <w:tcW w:w="1091"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低～较大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18"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74</w:t>
            </w:r>
          </w:p>
        </w:tc>
        <w:tc>
          <w:tcPr>
            <w:tcW w:w="970" w:type="dxa"/>
            <w:vMerge w:val="continue"/>
            <w:vAlign w:val="center"/>
          </w:tcPr>
          <w:p>
            <w:pPr>
              <w:snapToGrid w:val="0"/>
              <w:jc w:val="left"/>
              <w:rPr>
                <w:rFonts w:cs="宋体" w:asciiTheme="minorEastAsia" w:hAnsiTheme="minorEastAsia" w:eastAsiaTheme="minorEastAsia"/>
                <w:sz w:val="20"/>
                <w:szCs w:val="20"/>
              </w:rPr>
            </w:pPr>
          </w:p>
        </w:tc>
        <w:tc>
          <w:tcPr>
            <w:tcW w:w="1094" w:type="dxa"/>
            <w:vMerge w:val="continue"/>
            <w:vAlign w:val="center"/>
          </w:tcPr>
          <w:p>
            <w:pPr>
              <w:snapToGrid w:val="0"/>
              <w:jc w:val="left"/>
              <w:rPr>
                <w:rFonts w:cs="宋体" w:asciiTheme="minorEastAsia" w:hAnsiTheme="minorEastAsia" w:eastAsiaTheme="minorEastAsia"/>
                <w:sz w:val="20"/>
                <w:szCs w:val="20"/>
              </w:rPr>
            </w:pPr>
          </w:p>
        </w:tc>
        <w:tc>
          <w:tcPr>
            <w:tcW w:w="199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船舶行驶</w:t>
            </w:r>
          </w:p>
        </w:tc>
        <w:tc>
          <w:tcPr>
            <w:tcW w:w="1539" w:type="dxa"/>
            <w:vMerge w:val="continue"/>
            <w:vAlign w:val="center"/>
          </w:tcPr>
          <w:p>
            <w:pPr>
              <w:snapToGrid w:val="0"/>
              <w:jc w:val="center"/>
              <w:rPr>
                <w:rFonts w:cs="宋体" w:asciiTheme="minorEastAsia" w:hAnsiTheme="minorEastAsia" w:eastAsiaTheme="minorEastAsia"/>
                <w:sz w:val="20"/>
                <w:szCs w:val="20"/>
              </w:rPr>
            </w:pPr>
          </w:p>
        </w:tc>
        <w:tc>
          <w:tcPr>
            <w:tcW w:w="235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淹溺</w:t>
            </w:r>
          </w:p>
        </w:tc>
        <w:tc>
          <w:tcPr>
            <w:tcW w:w="893"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LEC法</w:t>
            </w:r>
          </w:p>
        </w:tc>
        <w:tc>
          <w:tcPr>
            <w:tcW w:w="81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0.5～3</w:t>
            </w:r>
          </w:p>
        </w:tc>
        <w:tc>
          <w:tcPr>
            <w:tcW w:w="84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2～6</w:t>
            </w:r>
          </w:p>
        </w:tc>
        <w:tc>
          <w:tcPr>
            <w:tcW w:w="84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3～15</w:t>
            </w:r>
          </w:p>
        </w:tc>
        <w:tc>
          <w:tcPr>
            <w:tcW w:w="1117"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3～270</w:t>
            </w:r>
          </w:p>
        </w:tc>
        <w:tc>
          <w:tcPr>
            <w:tcW w:w="1091"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低～较大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18"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75</w:t>
            </w:r>
          </w:p>
        </w:tc>
        <w:tc>
          <w:tcPr>
            <w:tcW w:w="970" w:type="dxa"/>
            <w:vMerge w:val="restart"/>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管理类</w:t>
            </w:r>
          </w:p>
        </w:tc>
        <w:tc>
          <w:tcPr>
            <w:tcW w:w="1094" w:type="dxa"/>
            <w:vMerge w:val="restart"/>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管理体系</w:t>
            </w:r>
          </w:p>
        </w:tc>
        <w:tc>
          <w:tcPr>
            <w:tcW w:w="199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机构组成与人员配备</w:t>
            </w:r>
          </w:p>
        </w:tc>
        <w:tc>
          <w:tcPr>
            <w:tcW w:w="1539"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机构不健全</w:t>
            </w:r>
          </w:p>
        </w:tc>
        <w:tc>
          <w:tcPr>
            <w:tcW w:w="235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影响工程运行管理</w:t>
            </w:r>
          </w:p>
        </w:tc>
        <w:tc>
          <w:tcPr>
            <w:tcW w:w="893"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LS法</w:t>
            </w:r>
          </w:p>
        </w:tc>
        <w:tc>
          <w:tcPr>
            <w:tcW w:w="81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3～18</w:t>
            </w:r>
          </w:p>
        </w:tc>
        <w:tc>
          <w:tcPr>
            <w:tcW w:w="84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w:t>
            </w:r>
          </w:p>
        </w:tc>
        <w:tc>
          <w:tcPr>
            <w:tcW w:w="84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3～100</w:t>
            </w:r>
          </w:p>
        </w:tc>
        <w:tc>
          <w:tcPr>
            <w:tcW w:w="1117"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9～1800</w:t>
            </w:r>
          </w:p>
        </w:tc>
        <w:tc>
          <w:tcPr>
            <w:tcW w:w="1091"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低～重大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18"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76</w:t>
            </w:r>
          </w:p>
        </w:tc>
        <w:tc>
          <w:tcPr>
            <w:tcW w:w="970" w:type="dxa"/>
            <w:vMerge w:val="continue"/>
            <w:vAlign w:val="center"/>
          </w:tcPr>
          <w:p>
            <w:pPr>
              <w:snapToGrid w:val="0"/>
              <w:jc w:val="center"/>
              <w:rPr>
                <w:rFonts w:cs="宋体" w:asciiTheme="minorEastAsia" w:hAnsiTheme="minorEastAsia" w:eastAsiaTheme="minorEastAsia"/>
                <w:sz w:val="20"/>
                <w:szCs w:val="20"/>
              </w:rPr>
            </w:pPr>
          </w:p>
        </w:tc>
        <w:tc>
          <w:tcPr>
            <w:tcW w:w="1094" w:type="dxa"/>
            <w:vMerge w:val="continue"/>
            <w:vAlign w:val="center"/>
          </w:tcPr>
          <w:p>
            <w:pPr>
              <w:snapToGrid w:val="0"/>
              <w:jc w:val="left"/>
              <w:rPr>
                <w:rFonts w:cs="宋体" w:asciiTheme="minorEastAsia" w:hAnsiTheme="minorEastAsia" w:eastAsiaTheme="minorEastAsia"/>
                <w:sz w:val="20"/>
                <w:szCs w:val="20"/>
              </w:rPr>
            </w:pPr>
          </w:p>
        </w:tc>
        <w:tc>
          <w:tcPr>
            <w:tcW w:w="199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安全管理规章制度与操作规程制定</w:t>
            </w:r>
          </w:p>
        </w:tc>
        <w:tc>
          <w:tcPr>
            <w:tcW w:w="1539"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制度不健全</w:t>
            </w:r>
          </w:p>
        </w:tc>
        <w:tc>
          <w:tcPr>
            <w:tcW w:w="235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影响工程运行管理</w:t>
            </w:r>
          </w:p>
        </w:tc>
        <w:tc>
          <w:tcPr>
            <w:tcW w:w="893"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LS法</w:t>
            </w:r>
          </w:p>
        </w:tc>
        <w:tc>
          <w:tcPr>
            <w:tcW w:w="81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3～18</w:t>
            </w:r>
          </w:p>
        </w:tc>
        <w:tc>
          <w:tcPr>
            <w:tcW w:w="84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w:t>
            </w:r>
          </w:p>
        </w:tc>
        <w:tc>
          <w:tcPr>
            <w:tcW w:w="84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3～100</w:t>
            </w:r>
          </w:p>
        </w:tc>
        <w:tc>
          <w:tcPr>
            <w:tcW w:w="1117"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9～1800</w:t>
            </w:r>
          </w:p>
        </w:tc>
        <w:tc>
          <w:tcPr>
            <w:tcW w:w="1091"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低～重大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18"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77</w:t>
            </w:r>
          </w:p>
        </w:tc>
        <w:tc>
          <w:tcPr>
            <w:tcW w:w="970" w:type="dxa"/>
            <w:vMerge w:val="continue"/>
            <w:vAlign w:val="center"/>
          </w:tcPr>
          <w:p>
            <w:pPr>
              <w:snapToGrid w:val="0"/>
              <w:jc w:val="center"/>
              <w:rPr>
                <w:rFonts w:cs="宋体" w:asciiTheme="minorEastAsia" w:hAnsiTheme="minorEastAsia" w:eastAsiaTheme="minorEastAsia"/>
                <w:sz w:val="20"/>
                <w:szCs w:val="20"/>
              </w:rPr>
            </w:pPr>
          </w:p>
        </w:tc>
        <w:tc>
          <w:tcPr>
            <w:tcW w:w="1094" w:type="dxa"/>
            <w:vMerge w:val="continue"/>
            <w:vAlign w:val="center"/>
          </w:tcPr>
          <w:p>
            <w:pPr>
              <w:snapToGrid w:val="0"/>
              <w:jc w:val="left"/>
              <w:rPr>
                <w:rFonts w:cs="宋体" w:asciiTheme="minorEastAsia" w:hAnsiTheme="minorEastAsia" w:eastAsiaTheme="minorEastAsia"/>
                <w:sz w:val="20"/>
                <w:szCs w:val="20"/>
              </w:rPr>
            </w:pPr>
          </w:p>
        </w:tc>
        <w:tc>
          <w:tcPr>
            <w:tcW w:w="199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防汛抢险物料准备</w:t>
            </w:r>
          </w:p>
        </w:tc>
        <w:tc>
          <w:tcPr>
            <w:tcW w:w="1539"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物料准备不足</w:t>
            </w:r>
          </w:p>
        </w:tc>
        <w:tc>
          <w:tcPr>
            <w:tcW w:w="235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影响工程防汛抢险</w:t>
            </w:r>
          </w:p>
        </w:tc>
        <w:tc>
          <w:tcPr>
            <w:tcW w:w="893"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LS法</w:t>
            </w:r>
          </w:p>
        </w:tc>
        <w:tc>
          <w:tcPr>
            <w:tcW w:w="81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3～6</w:t>
            </w:r>
          </w:p>
        </w:tc>
        <w:tc>
          <w:tcPr>
            <w:tcW w:w="84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w:t>
            </w:r>
          </w:p>
        </w:tc>
        <w:tc>
          <w:tcPr>
            <w:tcW w:w="84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3～100</w:t>
            </w:r>
          </w:p>
        </w:tc>
        <w:tc>
          <w:tcPr>
            <w:tcW w:w="1117"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3～600</w:t>
            </w:r>
          </w:p>
        </w:tc>
        <w:tc>
          <w:tcPr>
            <w:tcW w:w="1091"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低～重大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18"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78</w:t>
            </w:r>
          </w:p>
        </w:tc>
        <w:tc>
          <w:tcPr>
            <w:tcW w:w="970" w:type="dxa"/>
            <w:vMerge w:val="continue"/>
            <w:vAlign w:val="center"/>
          </w:tcPr>
          <w:p>
            <w:pPr>
              <w:snapToGrid w:val="0"/>
              <w:jc w:val="center"/>
              <w:rPr>
                <w:rFonts w:cs="宋体" w:asciiTheme="minorEastAsia" w:hAnsiTheme="minorEastAsia" w:eastAsiaTheme="minorEastAsia"/>
                <w:sz w:val="20"/>
                <w:szCs w:val="20"/>
              </w:rPr>
            </w:pPr>
          </w:p>
        </w:tc>
        <w:tc>
          <w:tcPr>
            <w:tcW w:w="1094" w:type="dxa"/>
            <w:vMerge w:val="continue"/>
            <w:vAlign w:val="center"/>
          </w:tcPr>
          <w:p>
            <w:pPr>
              <w:snapToGrid w:val="0"/>
              <w:jc w:val="left"/>
              <w:rPr>
                <w:rFonts w:cs="宋体" w:asciiTheme="minorEastAsia" w:hAnsiTheme="minorEastAsia" w:eastAsiaTheme="minorEastAsia"/>
                <w:sz w:val="20"/>
                <w:szCs w:val="20"/>
              </w:rPr>
            </w:pPr>
          </w:p>
        </w:tc>
        <w:tc>
          <w:tcPr>
            <w:tcW w:w="199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维修养护物资准备</w:t>
            </w:r>
          </w:p>
        </w:tc>
        <w:tc>
          <w:tcPr>
            <w:tcW w:w="1539"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物资准备不足</w:t>
            </w:r>
          </w:p>
        </w:tc>
        <w:tc>
          <w:tcPr>
            <w:tcW w:w="235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影响工程运行安全</w:t>
            </w:r>
          </w:p>
        </w:tc>
        <w:tc>
          <w:tcPr>
            <w:tcW w:w="893"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LS法</w:t>
            </w:r>
          </w:p>
        </w:tc>
        <w:tc>
          <w:tcPr>
            <w:tcW w:w="81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3～6</w:t>
            </w:r>
          </w:p>
        </w:tc>
        <w:tc>
          <w:tcPr>
            <w:tcW w:w="84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w:t>
            </w:r>
          </w:p>
        </w:tc>
        <w:tc>
          <w:tcPr>
            <w:tcW w:w="84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3～100</w:t>
            </w:r>
          </w:p>
        </w:tc>
        <w:tc>
          <w:tcPr>
            <w:tcW w:w="1117"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3～600</w:t>
            </w:r>
          </w:p>
        </w:tc>
        <w:tc>
          <w:tcPr>
            <w:tcW w:w="1091"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低～重大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18"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79</w:t>
            </w:r>
          </w:p>
        </w:tc>
        <w:tc>
          <w:tcPr>
            <w:tcW w:w="970" w:type="dxa"/>
            <w:vMerge w:val="continue"/>
            <w:vAlign w:val="center"/>
          </w:tcPr>
          <w:p>
            <w:pPr>
              <w:snapToGrid w:val="0"/>
              <w:jc w:val="center"/>
              <w:rPr>
                <w:rFonts w:cs="宋体" w:asciiTheme="minorEastAsia" w:hAnsiTheme="minorEastAsia" w:eastAsiaTheme="minorEastAsia"/>
                <w:sz w:val="20"/>
                <w:szCs w:val="20"/>
              </w:rPr>
            </w:pPr>
          </w:p>
        </w:tc>
        <w:tc>
          <w:tcPr>
            <w:tcW w:w="1094" w:type="dxa"/>
            <w:vMerge w:val="continue"/>
            <w:vAlign w:val="center"/>
          </w:tcPr>
          <w:p>
            <w:pPr>
              <w:snapToGrid w:val="0"/>
              <w:jc w:val="left"/>
              <w:rPr>
                <w:rFonts w:cs="宋体" w:asciiTheme="minorEastAsia" w:hAnsiTheme="minorEastAsia" w:eastAsiaTheme="minorEastAsia"/>
                <w:sz w:val="20"/>
                <w:szCs w:val="20"/>
              </w:rPr>
            </w:pPr>
          </w:p>
        </w:tc>
        <w:tc>
          <w:tcPr>
            <w:tcW w:w="199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人员基本支出和工程维修养护经费落实</w:t>
            </w:r>
          </w:p>
        </w:tc>
        <w:tc>
          <w:tcPr>
            <w:tcW w:w="1539"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经费未落实</w:t>
            </w:r>
          </w:p>
        </w:tc>
        <w:tc>
          <w:tcPr>
            <w:tcW w:w="235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影响工程运行管理</w:t>
            </w:r>
          </w:p>
        </w:tc>
        <w:tc>
          <w:tcPr>
            <w:tcW w:w="893"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LS法</w:t>
            </w:r>
          </w:p>
        </w:tc>
        <w:tc>
          <w:tcPr>
            <w:tcW w:w="81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3～18</w:t>
            </w:r>
          </w:p>
        </w:tc>
        <w:tc>
          <w:tcPr>
            <w:tcW w:w="84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w:t>
            </w:r>
          </w:p>
        </w:tc>
        <w:tc>
          <w:tcPr>
            <w:tcW w:w="84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3～100</w:t>
            </w:r>
          </w:p>
        </w:tc>
        <w:tc>
          <w:tcPr>
            <w:tcW w:w="1117"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9～1800</w:t>
            </w:r>
          </w:p>
        </w:tc>
        <w:tc>
          <w:tcPr>
            <w:tcW w:w="1091"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低～重大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18"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80</w:t>
            </w:r>
          </w:p>
        </w:tc>
        <w:tc>
          <w:tcPr>
            <w:tcW w:w="970" w:type="dxa"/>
            <w:vMerge w:val="continue"/>
            <w:vAlign w:val="center"/>
          </w:tcPr>
          <w:p>
            <w:pPr>
              <w:snapToGrid w:val="0"/>
              <w:jc w:val="center"/>
              <w:rPr>
                <w:rFonts w:cs="宋体" w:asciiTheme="minorEastAsia" w:hAnsiTheme="minorEastAsia" w:eastAsiaTheme="minorEastAsia"/>
                <w:sz w:val="20"/>
                <w:szCs w:val="20"/>
              </w:rPr>
            </w:pPr>
          </w:p>
        </w:tc>
        <w:tc>
          <w:tcPr>
            <w:tcW w:w="1094" w:type="dxa"/>
            <w:vMerge w:val="continue"/>
            <w:vAlign w:val="center"/>
          </w:tcPr>
          <w:p>
            <w:pPr>
              <w:snapToGrid w:val="0"/>
              <w:jc w:val="center"/>
              <w:rPr>
                <w:rFonts w:cs="宋体" w:asciiTheme="minorEastAsia" w:hAnsiTheme="minorEastAsia" w:eastAsiaTheme="minorEastAsia"/>
                <w:sz w:val="20"/>
                <w:szCs w:val="20"/>
              </w:rPr>
            </w:pPr>
          </w:p>
        </w:tc>
        <w:tc>
          <w:tcPr>
            <w:tcW w:w="199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管理、作业人员教育培训</w:t>
            </w:r>
          </w:p>
        </w:tc>
        <w:tc>
          <w:tcPr>
            <w:tcW w:w="1539"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培训不到位</w:t>
            </w:r>
          </w:p>
        </w:tc>
        <w:tc>
          <w:tcPr>
            <w:tcW w:w="235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影响工程运行安全、人员作业安全</w:t>
            </w:r>
          </w:p>
        </w:tc>
        <w:tc>
          <w:tcPr>
            <w:tcW w:w="893"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LS法</w:t>
            </w:r>
          </w:p>
        </w:tc>
        <w:tc>
          <w:tcPr>
            <w:tcW w:w="81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3～18</w:t>
            </w:r>
          </w:p>
        </w:tc>
        <w:tc>
          <w:tcPr>
            <w:tcW w:w="84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w:t>
            </w:r>
          </w:p>
        </w:tc>
        <w:tc>
          <w:tcPr>
            <w:tcW w:w="84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3～100</w:t>
            </w:r>
          </w:p>
        </w:tc>
        <w:tc>
          <w:tcPr>
            <w:tcW w:w="1117"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9～1800</w:t>
            </w:r>
          </w:p>
        </w:tc>
        <w:tc>
          <w:tcPr>
            <w:tcW w:w="1091"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低～重大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18"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81</w:t>
            </w:r>
          </w:p>
        </w:tc>
        <w:tc>
          <w:tcPr>
            <w:tcW w:w="970" w:type="dxa"/>
            <w:vMerge w:val="continue"/>
            <w:vAlign w:val="center"/>
          </w:tcPr>
          <w:p>
            <w:pPr>
              <w:snapToGrid w:val="0"/>
              <w:jc w:val="center"/>
              <w:rPr>
                <w:rFonts w:cs="宋体" w:asciiTheme="minorEastAsia" w:hAnsiTheme="minorEastAsia" w:eastAsiaTheme="minorEastAsia"/>
                <w:sz w:val="20"/>
                <w:szCs w:val="20"/>
              </w:rPr>
            </w:pPr>
          </w:p>
        </w:tc>
        <w:tc>
          <w:tcPr>
            <w:tcW w:w="1094" w:type="dxa"/>
            <w:vMerge w:val="restart"/>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运行管理</w:t>
            </w:r>
          </w:p>
        </w:tc>
        <w:tc>
          <w:tcPr>
            <w:tcW w:w="199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管理和保护范围划定</w:t>
            </w:r>
          </w:p>
        </w:tc>
        <w:tc>
          <w:tcPr>
            <w:tcW w:w="1539"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范围不明确</w:t>
            </w:r>
          </w:p>
        </w:tc>
        <w:tc>
          <w:tcPr>
            <w:tcW w:w="235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影响工程运行管理</w:t>
            </w:r>
          </w:p>
        </w:tc>
        <w:tc>
          <w:tcPr>
            <w:tcW w:w="893"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LS法</w:t>
            </w:r>
          </w:p>
        </w:tc>
        <w:tc>
          <w:tcPr>
            <w:tcW w:w="81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3～18</w:t>
            </w:r>
          </w:p>
        </w:tc>
        <w:tc>
          <w:tcPr>
            <w:tcW w:w="84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w:t>
            </w:r>
          </w:p>
        </w:tc>
        <w:tc>
          <w:tcPr>
            <w:tcW w:w="84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3～100</w:t>
            </w:r>
          </w:p>
        </w:tc>
        <w:tc>
          <w:tcPr>
            <w:tcW w:w="1117"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9～1800</w:t>
            </w:r>
          </w:p>
        </w:tc>
        <w:tc>
          <w:tcPr>
            <w:tcW w:w="1091"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低～重大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18"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82</w:t>
            </w:r>
          </w:p>
        </w:tc>
        <w:tc>
          <w:tcPr>
            <w:tcW w:w="970" w:type="dxa"/>
            <w:vMerge w:val="continue"/>
            <w:vAlign w:val="center"/>
          </w:tcPr>
          <w:p>
            <w:pPr>
              <w:snapToGrid w:val="0"/>
              <w:jc w:val="left"/>
              <w:rPr>
                <w:rFonts w:cs="宋体" w:asciiTheme="minorEastAsia" w:hAnsiTheme="minorEastAsia" w:eastAsiaTheme="minorEastAsia"/>
                <w:sz w:val="20"/>
                <w:szCs w:val="20"/>
              </w:rPr>
            </w:pPr>
          </w:p>
        </w:tc>
        <w:tc>
          <w:tcPr>
            <w:tcW w:w="1094" w:type="dxa"/>
            <w:vMerge w:val="continue"/>
            <w:vAlign w:val="center"/>
          </w:tcPr>
          <w:p>
            <w:pPr>
              <w:snapToGrid w:val="0"/>
              <w:jc w:val="left"/>
              <w:rPr>
                <w:rFonts w:cs="宋体" w:asciiTheme="minorEastAsia" w:hAnsiTheme="minorEastAsia" w:eastAsiaTheme="minorEastAsia"/>
                <w:sz w:val="20"/>
                <w:szCs w:val="20"/>
              </w:rPr>
            </w:pPr>
          </w:p>
        </w:tc>
        <w:tc>
          <w:tcPr>
            <w:tcW w:w="199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调度规程编制与报批</w:t>
            </w:r>
          </w:p>
        </w:tc>
        <w:tc>
          <w:tcPr>
            <w:tcW w:w="1539"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未编制、报批</w:t>
            </w:r>
          </w:p>
        </w:tc>
        <w:tc>
          <w:tcPr>
            <w:tcW w:w="235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影响工程运行安全</w:t>
            </w:r>
          </w:p>
        </w:tc>
        <w:tc>
          <w:tcPr>
            <w:tcW w:w="893"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LS法</w:t>
            </w:r>
          </w:p>
        </w:tc>
        <w:tc>
          <w:tcPr>
            <w:tcW w:w="81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3～6</w:t>
            </w:r>
          </w:p>
        </w:tc>
        <w:tc>
          <w:tcPr>
            <w:tcW w:w="84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w:t>
            </w:r>
          </w:p>
        </w:tc>
        <w:tc>
          <w:tcPr>
            <w:tcW w:w="84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3～100</w:t>
            </w:r>
          </w:p>
        </w:tc>
        <w:tc>
          <w:tcPr>
            <w:tcW w:w="1117"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3～600</w:t>
            </w:r>
          </w:p>
        </w:tc>
        <w:tc>
          <w:tcPr>
            <w:tcW w:w="1091"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低～重大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18"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83</w:t>
            </w:r>
          </w:p>
        </w:tc>
        <w:tc>
          <w:tcPr>
            <w:tcW w:w="970" w:type="dxa"/>
            <w:vMerge w:val="continue"/>
            <w:vAlign w:val="center"/>
          </w:tcPr>
          <w:p>
            <w:pPr>
              <w:snapToGrid w:val="0"/>
              <w:jc w:val="left"/>
              <w:rPr>
                <w:rFonts w:cs="宋体" w:asciiTheme="minorEastAsia" w:hAnsiTheme="minorEastAsia" w:eastAsiaTheme="minorEastAsia"/>
                <w:sz w:val="20"/>
                <w:szCs w:val="20"/>
              </w:rPr>
            </w:pPr>
          </w:p>
        </w:tc>
        <w:tc>
          <w:tcPr>
            <w:tcW w:w="1094" w:type="dxa"/>
            <w:vMerge w:val="continue"/>
            <w:vAlign w:val="center"/>
          </w:tcPr>
          <w:p>
            <w:pPr>
              <w:snapToGrid w:val="0"/>
              <w:jc w:val="left"/>
              <w:rPr>
                <w:rFonts w:cs="宋体" w:asciiTheme="minorEastAsia" w:hAnsiTheme="minorEastAsia" w:eastAsiaTheme="minorEastAsia"/>
                <w:sz w:val="20"/>
                <w:szCs w:val="20"/>
              </w:rPr>
            </w:pPr>
          </w:p>
        </w:tc>
        <w:tc>
          <w:tcPr>
            <w:tcW w:w="199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汛期调度运用计划编制与报批</w:t>
            </w:r>
          </w:p>
        </w:tc>
        <w:tc>
          <w:tcPr>
            <w:tcW w:w="1539"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未编制、报批</w:t>
            </w:r>
          </w:p>
        </w:tc>
        <w:tc>
          <w:tcPr>
            <w:tcW w:w="235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影响工程运行安全</w:t>
            </w:r>
          </w:p>
        </w:tc>
        <w:tc>
          <w:tcPr>
            <w:tcW w:w="893"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LS法</w:t>
            </w:r>
          </w:p>
        </w:tc>
        <w:tc>
          <w:tcPr>
            <w:tcW w:w="81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3～18</w:t>
            </w:r>
          </w:p>
        </w:tc>
        <w:tc>
          <w:tcPr>
            <w:tcW w:w="84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w:t>
            </w:r>
          </w:p>
        </w:tc>
        <w:tc>
          <w:tcPr>
            <w:tcW w:w="84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3～100</w:t>
            </w:r>
          </w:p>
        </w:tc>
        <w:tc>
          <w:tcPr>
            <w:tcW w:w="1117"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9～1800</w:t>
            </w:r>
          </w:p>
        </w:tc>
        <w:tc>
          <w:tcPr>
            <w:tcW w:w="1091"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低～重大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18"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84</w:t>
            </w:r>
          </w:p>
        </w:tc>
        <w:tc>
          <w:tcPr>
            <w:tcW w:w="970" w:type="dxa"/>
            <w:vMerge w:val="continue"/>
            <w:vAlign w:val="center"/>
          </w:tcPr>
          <w:p>
            <w:pPr>
              <w:snapToGrid w:val="0"/>
              <w:jc w:val="left"/>
              <w:rPr>
                <w:rFonts w:cs="宋体" w:asciiTheme="minorEastAsia" w:hAnsiTheme="minorEastAsia" w:eastAsiaTheme="minorEastAsia"/>
                <w:sz w:val="20"/>
                <w:szCs w:val="20"/>
              </w:rPr>
            </w:pPr>
          </w:p>
        </w:tc>
        <w:tc>
          <w:tcPr>
            <w:tcW w:w="1094" w:type="dxa"/>
            <w:vMerge w:val="continue"/>
            <w:vAlign w:val="center"/>
          </w:tcPr>
          <w:p>
            <w:pPr>
              <w:snapToGrid w:val="0"/>
              <w:jc w:val="left"/>
              <w:rPr>
                <w:rFonts w:cs="宋体" w:asciiTheme="minorEastAsia" w:hAnsiTheme="minorEastAsia" w:eastAsiaTheme="minorEastAsia"/>
                <w:sz w:val="20"/>
                <w:szCs w:val="20"/>
              </w:rPr>
            </w:pPr>
          </w:p>
        </w:tc>
        <w:tc>
          <w:tcPr>
            <w:tcW w:w="199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应急预案编制、报批、演练</w:t>
            </w:r>
          </w:p>
        </w:tc>
        <w:tc>
          <w:tcPr>
            <w:tcW w:w="1539"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未编制、报批或演练</w:t>
            </w:r>
          </w:p>
        </w:tc>
        <w:tc>
          <w:tcPr>
            <w:tcW w:w="235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影响工程防汛抢险</w:t>
            </w:r>
          </w:p>
        </w:tc>
        <w:tc>
          <w:tcPr>
            <w:tcW w:w="893"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LS法</w:t>
            </w:r>
          </w:p>
        </w:tc>
        <w:tc>
          <w:tcPr>
            <w:tcW w:w="81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3～18</w:t>
            </w:r>
          </w:p>
        </w:tc>
        <w:tc>
          <w:tcPr>
            <w:tcW w:w="84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w:t>
            </w:r>
          </w:p>
        </w:tc>
        <w:tc>
          <w:tcPr>
            <w:tcW w:w="84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3～100</w:t>
            </w:r>
          </w:p>
        </w:tc>
        <w:tc>
          <w:tcPr>
            <w:tcW w:w="1117"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9～1800</w:t>
            </w:r>
          </w:p>
        </w:tc>
        <w:tc>
          <w:tcPr>
            <w:tcW w:w="1091"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低～重大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18"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85</w:t>
            </w:r>
          </w:p>
        </w:tc>
        <w:tc>
          <w:tcPr>
            <w:tcW w:w="970" w:type="dxa"/>
            <w:vMerge w:val="continue"/>
            <w:vAlign w:val="center"/>
          </w:tcPr>
          <w:p>
            <w:pPr>
              <w:snapToGrid w:val="0"/>
              <w:jc w:val="center"/>
              <w:rPr>
                <w:rFonts w:cs="宋体" w:asciiTheme="minorEastAsia" w:hAnsiTheme="minorEastAsia" w:eastAsiaTheme="minorEastAsia"/>
                <w:sz w:val="20"/>
                <w:szCs w:val="20"/>
              </w:rPr>
            </w:pPr>
          </w:p>
        </w:tc>
        <w:tc>
          <w:tcPr>
            <w:tcW w:w="1094" w:type="dxa"/>
            <w:vMerge w:val="continue"/>
            <w:vAlign w:val="center"/>
          </w:tcPr>
          <w:p>
            <w:pPr>
              <w:snapToGrid w:val="0"/>
              <w:jc w:val="center"/>
              <w:rPr>
                <w:rFonts w:cs="宋体" w:asciiTheme="minorEastAsia" w:hAnsiTheme="minorEastAsia" w:eastAsiaTheme="minorEastAsia"/>
                <w:sz w:val="20"/>
                <w:szCs w:val="20"/>
              </w:rPr>
            </w:pPr>
          </w:p>
        </w:tc>
        <w:tc>
          <w:tcPr>
            <w:tcW w:w="199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监测资料整编分析</w:t>
            </w:r>
          </w:p>
        </w:tc>
        <w:tc>
          <w:tcPr>
            <w:tcW w:w="1539"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未落实</w:t>
            </w:r>
          </w:p>
        </w:tc>
        <w:tc>
          <w:tcPr>
            <w:tcW w:w="235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不能及时发现工程隐患</w:t>
            </w:r>
          </w:p>
        </w:tc>
        <w:tc>
          <w:tcPr>
            <w:tcW w:w="893"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LS法</w:t>
            </w:r>
          </w:p>
        </w:tc>
        <w:tc>
          <w:tcPr>
            <w:tcW w:w="81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3～18</w:t>
            </w:r>
          </w:p>
        </w:tc>
        <w:tc>
          <w:tcPr>
            <w:tcW w:w="84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w:t>
            </w:r>
          </w:p>
        </w:tc>
        <w:tc>
          <w:tcPr>
            <w:tcW w:w="84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3～100</w:t>
            </w:r>
          </w:p>
        </w:tc>
        <w:tc>
          <w:tcPr>
            <w:tcW w:w="1117"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9～1800</w:t>
            </w:r>
          </w:p>
        </w:tc>
        <w:tc>
          <w:tcPr>
            <w:tcW w:w="1091"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低～重大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18"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86</w:t>
            </w:r>
          </w:p>
        </w:tc>
        <w:tc>
          <w:tcPr>
            <w:tcW w:w="970" w:type="dxa"/>
            <w:vMerge w:val="continue"/>
            <w:vAlign w:val="center"/>
          </w:tcPr>
          <w:p>
            <w:pPr>
              <w:snapToGrid w:val="0"/>
              <w:jc w:val="left"/>
              <w:rPr>
                <w:rFonts w:cs="宋体" w:asciiTheme="minorEastAsia" w:hAnsiTheme="minorEastAsia" w:eastAsiaTheme="minorEastAsia"/>
                <w:sz w:val="20"/>
                <w:szCs w:val="20"/>
              </w:rPr>
            </w:pPr>
          </w:p>
        </w:tc>
        <w:tc>
          <w:tcPr>
            <w:tcW w:w="1094" w:type="dxa"/>
            <w:vMerge w:val="continue"/>
            <w:vAlign w:val="center"/>
          </w:tcPr>
          <w:p>
            <w:pPr>
              <w:snapToGrid w:val="0"/>
              <w:jc w:val="left"/>
              <w:rPr>
                <w:rFonts w:cs="宋体" w:asciiTheme="minorEastAsia" w:hAnsiTheme="minorEastAsia" w:eastAsiaTheme="minorEastAsia"/>
                <w:sz w:val="20"/>
                <w:szCs w:val="20"/>
              </w:rPr>
            </w:pPr>
          </w:p>
        </w:tc>
        <w:tc>
          <w:tcPr>
            <w:tcW w:w="199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维修养护计划制订</w:t>
            </w:r>
          </w:p>
        </w:tc>
        <w:tc>
          <w:tcPr>
            <w:tcW w:w="1539"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未制定</w:t>
            </w:r>
          </w:p>
        </w:tc>
        <w:tc>
          <w:tcPr>
            <w:tcW w:w="235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不能及时消除工程隐患</w:t>
            </w:r>
          </w:p>
        </w:tc>
        <w:tc>
          <w:tcPr>
            <w:tcW w:w="893"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LS法</w:t>
            </w:r>
          </w:p>
        </w:tc>
        <w:tc>
          <w:tcPr>
            <w:tcW w:w="81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3～6</w:t>
            </w:r>
          </w:p>
        </w:tc>
        <w:tc>
          <w:tcPr>
            <w:tcW w:w="84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w:t>
            </w:r>
          </w:p>
        </w:tc>
        <w:tc>
          <w:tcPr>
            <w:tcW w:w="84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3～100</w:t>
            </w:r>
          </w:p>
        </w:tc>
        <w:tc>
          <w:tcPr>
            <w:tcW w:w="1117"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3～600</w:t>
            </w:r>
          </w:p>
        </w:tc>
        <w:tc>
          <w:tcPr>
            <w:tcW w:w="1091"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低～重大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18"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87</w:t>
            </w:r>
          </w:p>
        </w:tc>
        <w:tc>
          <w:tcPr>
            <w:tcW w:w="970" w:type="dxa"/>
            <w:vMerge w:val="restart"/>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管理类</w:t>
            </w:r>
          </w:p>
        </w:tc>
        <w:tc>
          <w:tcPr>
            <w:tcW w:w="1094" w:type="dxa"/>
            <w:vMerge w:val="restart"/>
            <w:vAlign w:val="center"/>
          </w:tcPr>
          <w:p>
            <w:pPr>
              <w:snapToGrid w:val="0"/>
              <w:jc w:val="left"/>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运行管理</w:t>
            </w:r>
          </w:p>
        </w:tc>
        <w:tc>
          <w:tcPr>
            <w:tcW w:w="199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操作票、工作票管理及使用</w:t>
            </w:r>
          </w:p>
        </w:tc>
        <w:tc>
          <w:tcPr>
            <w:tcW w:w="1539"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未落实</w:t>
            </w:r>
          </w:p>
        </w:tc>
        <w:tc>
          <w:tcPr>
            <w:tcW w:w="235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影响工程运行管理</w:t>
            </w:r>
          </w:p>
        </w:tc>
        <w:tc>
          <w:tcPr>
            <w:tcW w:w="893"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LS法</w:t>
            </w:r>
          </w:p>
        </w:tc>
        <w:tc>
          <w:tcPr>
            <w:tcW w:w="81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3～18</w:t>
            </w:r>
          </w:p>
        </w:tc>
        <w:tc>
          <w:tcPr>
            <w:tcW w:w="84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w:t>
            </w:r>
          </w:p>
        </w:tc>
        <w:tc>
          <w:tcPr>
            <w:tcW w:w="84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3～100</w:t>
            </w:r>
          </w:p>
        </w:tc>
        <w:tc>
          <w:tcPr>
            <w:tcW w:w="1117"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9～1800</w:t>
            </w:r>
          </w:p>
        </w:tc>
        <w:tc>
          <w:tcPr>
            <w:tcW w:w="1091"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低～重大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18"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88</w:t>
            </w:r>
          </w:p>
        </w:tc>
        <w:tc>
          <w:tcPr>
            <w:tcW w:w="970" w:type="dxa"/>
            <w:vMerge w:val="continue"/>
            <w:vAlign w:val="center"/>
          </w:tcPr>
          <w:p>
            <w:pPr>
              <w:snapToGrid w:val="0"/>
              <w:jc w:val="left"/>
              <w:rPr>
                <w:rFonts w:cs="宋体" w:asciiTheme="minorEastAsia" w:hAnsiTheme="minorEastAsia" w:eastAsiaTheme="minorEastAsia"/>
                <w:sz w:val="20"/>
                <w:szCs w:val="20"/>
              </w:rPr>
            </w:pPr>
          </w:p>
        </w:tc>
        <w:tc>
          <w:tcPr>
            <w:tcW w:w="1094" w:type="dxa"/>
            <w:vMerge w:val="continue"/>
            <w:vAlign w:val="center"/>
          </w:tcPr>
          <w:p>
            <w:pPr>
              <w:snapToGrid w:val="0"/>
              <w:jc w:val="left"/>
              <w:rPr>
                <w:rFonts w:cs="宋体" w:asciiTheme="minorEastAsia" w:hAnsiTheme="minorEastAsia" w:eastAsiaTheme="minorEastAsia"/>
                <w:sz w:val="20"/>
                <w:szCs w:val="20"/>
              </w:rPr>
            </w:pPr>
          </w:p>
        </w:tc>
        <w:tc>
          <w:tcPr>
            <w:tcW w:w="199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警示、禁止标识设置</w:t>
            </w:r>
          </w:p>
        </w:tc>
        <w:tc>
          <w:tcPr>
            <w:tcW w:w="1539"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设置不足</w:t>
            </w:r>
          </w:p>
        </w:tc>
        <w:tc>
          <w:tcPr>
            <w:tcW w:w="235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影响工程运行安全、人员安全</w:t>
            </w:r>
          </w:p>
        </w:tc>
        <w:tc>
          <w:tcPr>
            <w:tcW w:w="893"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LS法</w:t>
            </w:r>
          </w:p>
        </w:tc>
        <w:tc>
          <w:tcPr>
            <w:tcW w:w="81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3～18</w:t>
            </w:r>
          </w:p>
        </w:tc>
        <w:tc>
          <w:tcPr>
            <w:tcW w:w="84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w:t>
            </w:r>
          </w:p>
        </w:tc>
        <w:tc>
          <w:tcPr>
            <w:tcW w:w="84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3～100</w:t>
            </w:r>
          </w:p>
        </w:tc>
        <w:tc>
          <w:tcPr>
            <w:tcW w:w="1117"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9～1800</w:t>
            </w:r>
          </w:p>
        </w:tc>
        <w:tc>
          <w:tcPr>
            <w:tcW w:w="1091"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低～重大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18"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89</w:t>
            </w:r>
          </w:p>
        </w:tc>
        <w:tc>
          <w:tcPr>
            <w:tcW w:w="970" w:type="dxa"/>
            <w:vMerge w:val="restart"/>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环境类</w:t>
            </w:r>
          </w:p>
        </w:tc>
        <w:tc>
          <w:tcPr>
            <w:tcW w:w="1094" w:type="dxa"/>
            <w:vMerge w:val="restart"/>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自然环境</w:t>
            </w:r>
          </w:p>
        </w:tc>
        <w:tc>
          <w:tcPr>
            <w:tcW w:w="1990" w:type="dxa"/>
            <w:vMerge w:val="restart"/>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管理和保护范围内山体（土体）存在潜在滑坡、落石区域</w:t>
            </w:r>
          </w:p>
        </w:tc>
        <w:tc>
          <w:tcPr>
            <w:tcW w:w="1539" w:type="dxa"/>
            <w:vMerge w:val="restart"/>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大风、暴雨、洪水等</w:t>
            </w:r>
          </w:p>
        </w:tc>
        <w:tc>
          <w:tcPr>
            <w:tcW w:w="235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坍塌、物体打击</w:t>
            </w:r>
          </w:p>
        </w:tc>
        <w:tc>
          <w:tcPr>
            <w:tcW w:w="893"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LEC法</w:t>
            </w:r>
          </w:p>
        </w:tc>
        <w:tc>
          <w:tcPr>
            <w:tcW w:w="81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0.5～3</w:t>
            </w:r>
          </w:p>
        </w:tc>
        <w:tc>
          <w:tcPr>
            <w:tcW w:w="84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0.5～3</w:t>
            </w:r>
          </w:p>
        </w:tc>
        <w:tc>
          <w:tcPr>
            <w:tcW w:w="84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3～15</w:t>
            </w:r>
          </w:p>
        </w:tc>
        <w:tc>
          <w:tcPr>
            <w:tcW w:w="1117"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0.75～135</w:t>
            </w:r>
          </w:p>
        </w:tc>
        <w:tc>
          <w:tcPr>
            <w:tcW w:w="1091"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低～一般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18"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90</w:t>
            </w:r>
          </w:p>
        </w:tc>
        <w:tc>
          <w:tcPr>
            <w:tcW w:w="970" w:type="dxa"/>
            <w:vMerge w:val="continue"/>
            <w:vAlign w:val="center"/>
          </w:tcPr>
          <w:p>
            <w:pPr>
              <w:snapToGrid w:val="0"/>
              <w:jc w:val="center"/>
              <w:rPr>
                <w:rFonts w:cs="宋体" w:asciiTheme="minorEastAsia" w:hAnsiTheme="minorEastAsia" w:eastAsiaTheme="minorEastAsia"/>
                <w:sz w:val="20"/>
                <w:szCs w:val="20"/>
              </w:rPr>
            </w:pPr>
          </w:p>
        </w:tc>
        <w:tc>
          <w:tcPr>
            <w:tcW w:w="1094" w:type="dxa"/>
            <w:vMerge w:val="continue"/>
            <w:vAlign w:val="center"/>
          </w:tcPr>
          <w:p>
            <w:pPr>
              <w:snapToGrid w:val="0"/>
              <w:jc w:val="center"/>
              <w:rPr>
                <w:rFonts w:cs="宋体" w:asciiTheme="minorEastAsia" w:hAnsiTheme="minorEastAsia" w:eastAsiaTheme="minorEastAsia"/>
                <w:sz w:val="20"/>
                <w:szCs w:val="20"/>
              </w:rPr>
            </w:pPr>
          </w:p>
        </w:tc>
        <w:tc>
          <w:tcPr>
            <w:tcW w:w="1990" w:type="dxa"/>
            <w:vMerge w:val="continue"/>
            <w:vAlign w:val="center"/>
          </w:tcPr>
          <w:p>
            <w:pPr>
              <w:snapToGrid w:val="0"/>
              <w:jc w:val="center"/>
              <w:rPr>
                <w:rFonts w:cs="宋体" w:asciiTheme="minorEastAsia" w:hAnsiTheme="minorEastAsia" w:eastAsiaTheme="minorEastAsia"/>
                <w:sz w:val="20"/>
                <w:szCs w:val="20"/>
              </w:rPr>
            </w:pPr>
          </w:p>
        </w:tc>
        <w:tc>
          <w:tcPr>
            <w:tcW w:w="1539" w:type="dxa"/>
            <w:vMerge w:val="continue"/>
            <w:vAlign w:val="center"/>
          </w:tcPr>
          <w:p>
            <w:pPr>
              <w:snapToGrid w:val="0"/>
              <w:jc w:val="center"/>
              <w:rPr>
                <w:rFonts w:cs="宋体" w:asciiTheme="minorEastAsia" w:hAnsiTheme="minorEastAsia" w:eastAsiaTheme="minorEastAsia"/>
                <w:sz w:val="20"/>
                <w:szCs w:val="20"/>
              </w:rPr>
            </w:pPr>
          </w:p>
        </w:tc>
        <w:tc>
          <w:tcPr>
            <w:tcW w:w="235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浪涌破坏</w:t>
            </w:r>
          </w:p>
        </w:tc>
        <w:tc>
          <w:tcPr>
            <w:tcW w:w="893"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LS法</w:t>
            </w:r>
          </w:p>
        </w:tc>
        <w:tc>
          <w:tcPr>
            <w:tcW w:w="81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3～18</w:t>
            </w:r>
          </w:p>
        </w:tc>
        <w:tc>
          <w:tcPr>
            <w:tcW w:w="84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w:t>
            </w:r>
          </w:p>
        </w:tc>
        <w:tc>
          <w:tcPr>
            <w:tcW w:w="84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3～100</w:t>
            </w:r>
          </w:p>
        </w:tc>
        <w:tc>
          <w:tcPr>
            <w:tcW w:w="1117"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9～1800</w:t>
            </w:r>
          </w:p>
        </w:tc>
        <w:tc>
          <w:tcPr>
            <w:tcW w:w="1091"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低～重大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18"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91</w:t>
            </w:r>
          </w:p>
        </w:tc>
        <w:tc>
          <w:tcPr>
            <w:tcW w:w="970" w:type="dxa"/>
            <w:vMerge w:val="continue"/>
            <w:vAlign w:val="center"/>
          </w:tcPr>
          <w:p>
            <w:pPr>
              <w:snapToGrid w:val="0"/>
              <w:jc w:val="center"/>
              <w:rPr>
                <w:rFonts w:cs="宋体" w:asciiTheme="minorEastAsia" w:hAnsiTheme="minorEastAsia" w:eastAsiaTheme="minorEastAsia"/>
                <w:sz w:val="20"/>
                <w:szCs w:val="20"/>
              </w:rPr>
            </w:pPr>
          </w:p>
        </w:tc>
        <w:tc>
          <w:tcPr>
            <w:tcW w:w="1094" w:type="dxa"/>
            <w:vMerge w:val="continue"/>
            <w:vAlign w:val="center"/>
          </w:tcPr>
          <w:p>
            <w:pPr>
              <w:snapToGrid w:val="0"/>
              <w:jc w:val="center"/>
              <w:rPr>
                <w:rFonts w:cs="宋体" w:asciiTheme="minorEastAsia" w:hAnsiTheme="minorEastAsia" w:eastAsiaTheme="minorEastAsia"/>
                <w:sz w:val="20"/>
                <w:szCs w:val="20"/>
              </w:rPr>
            </w:pPr>
          </w:p>
        </w:tc>
        <w:tc>
          <w:tcPr>
            <w:tcW w:w="199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船只、漂浮物</w:t>
            </w:r>
          </w:p>
        </w:tc>
        <w:tc>
          <w:tcPr>
            <w:tcW w:w="1539"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碰撞</w:t>
            </w:r>
          </w:p>
        </w:tc>
        <w:tc>
          <w:tcPr>
            <w:tcW w:w="235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影响工程运行安全</w:t>
            </w:r>
          </w:p>
        </w:tc>
        <w:tc>
          <w:tcPr>
            <w:tcW w:w="893"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LS法</w:t>
            </w:r>
          </w:p>
        </w:tc>
        <w:tc>
          <w:tcPr>
            <w:tcW w:w="81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3～18</w:t>
            </w:r>
          </w:p>
        </w:tc>
        <w:tc>
          <w:tcPr>
            <w:tcW w:w="84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w:t>
            </w:r>
          </w:p>
        </w:tc>
        <w:tc>
          <w:tcPr>
            <w:tcW w:w="84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3～100</w:t>
            </w:r>
          </w:p>
        </w:tc>
        <w:tc>
          <w:tcPr>
            <w:tcW w:w="1117"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9～1800</w:t>
            </w:r>
          </w:p>
        </w:tc>
        <w:tc>
          <w:tcPr>
            <w:tcW w:w="1091"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低～重大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18"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92</w:t>
            </w:r>
          </w:p>
        </w:tc>
        <w:tc>
          <w:tcPr>
            <w:tcW w:w="970" w:type="dxa"/>
            <w:vMerge w:val="continue"/>
            <w:vAlign w:val="center"/>
          </w:tcPr>
          <w:p>
            <w:pPr>
              <w:snapToGrid w:val="0"/>
              <w:jc w:val="center"/>
              <w:rPr>
                <w:rFonts w:cs="宋体" w:asciiTheme="minorEastAsia" w:hAnsiTheme="minorEastAsia" w:eastAsiaTheme="minorEastAsia"/>
                <w:sz w:val="20"/>
                <w:szCs w:val="20"/>
              </w:rPr>
            </w:pPr>
          </w:p>
        </w:tc>
        <w:tc>
          <w:tcPr>
            <w:tcW w:w="1094" w:type="dxa"/>
            <w:vMerge w:val="continue"/>
            <w:vAlign w:val="center"/>
          </w:tcPr>
          <w:p>
            <w:pPr>
              <w:snapToGrid w:val="0"/>
              <w:jc w:val="center"/>
              <w:rPr>
                <w:rFonts w:cs="宋体" w:asciiTheme="minorEastAsia" w:hAnsiTheme="minorEastAsia" w:eastAsiaTheme="minorEastAsia"/>
                <w:sz w:val="20"/>
                <w:szCs w:val="20"/>
              </w:rPr>
            </w:pPr>
          </w:p>
        </w:tc>
        <w:tc>
          <w:tcPr>
            <w:tcW w:w="199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雷电、暴雨雪、大风、冰雹、极端温度等恶劣气候</w:t>
            </w:r>
          </w:p>
        </w:tc>
        <w:tc>
          <w:tcPr>
            <w:tcW w:w="1539"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防护措施不到位、极端天气前后的安全检查不到位</w:t>
            </w:r>
          </w:p>
        </w:tc>
        <w:tc>
          <w:tcPr>
            <w:tcW w:w="235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影响工程运行安全</w:t>
            </w:r>
          </w:p>
        </w:tc>
        <w:tc>
          <w:tcPr>
            <w:tcW w:w="893"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LS法</w:t>
            </w:r>
          </w:p>
        </w:tc>
        <w:tc>
          <w:tcPr>
            <w:tcW w:w="81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3～18</w:t>
            </w:r>
          </w:p>
        </w:tc>
        <w:tc>
          <w:tcPr>
            <w:tcW w:w="84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w:t>
            </w:r>
          </w:p>
        </w:tc>
        <w:tc>
          <w:tcPr>
            <w:tcW w:w="84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3～100</w:t>
            </w:r>
          </w:p>
        </w:tc>
        <w:tc>
          <w:tcPr>
            <w:tcW w:w="1117"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9～1800</w:t>
            </w:r>
          </w:p>
        </w:tc>
        <w:tc>
          <w:tcPr>
            <w:tcW w:w="1091"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低～重大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18"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93</w:t>
            </w:r>
          </w:p>
        </w:tc>
        <w:tc>
          <w:tcPr>
            <w:tcW w:w="970" w:type="dxa"/>
            <w:vMerge w:val="continue"/>
            <w:vAlign w:val="center"/>
          </w:tcPr>
          <w:p>
            <w:pPr>
              <w:snapToGrid w:val="0"/>
              <w:jc w:val="center"/>
              <w:rPr>
                <w:rFonts w:cs="宋体" w:asciiTheme="minorEastAsia" w:hAnsiTheme="minorEastAsia" w:eastAsiaTheme="minorEastAsia"/>
                <w:sz w:val="20"/>
                <w:szCs w:val="20"/>
              </w:rPr>
            </w:pPr>
          </w:p>
        </w:tc>
        <w:tc>
          <w:tcPr>
            <w:tcW w:w="1094" w:type="dxa"/>
            <w:vMerge w:val="continue"/>
            <w:vAlign w:val="center"/>
          </w:tcPr>
          <w:p>
            <w:pPr>
              <w:snapToGrid w:val="0"/>
              <w:jc w:val="center"/>
              <w:rPr>
                <w:rFonts w:cs="宋体" w:asciiTheme="minorEastAsia" w:hAnsiTheme="minorEastAsia" w:eastAsiaTheme="minorEastAsia"/>
                <w:sz w:val="20"/>
                <w:szCs w:val="20"/>
              </w:rPr>
            </w:pPr>
          </w:p>
        </w:tc>
        <w:tc>
          <w:tcPr>
            <w:tcW w:w="199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结构受侵蚀性介质作用</w:t>
            </w:r>
          </w:p>
        </w:tc>
        <w:tc>
          <w:tcPr>
            <w:tcW w:w="1539"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侵蚀性介质接触</w:t>
            </w:r>
          </w:p>
        </w:tc>
        <w:tc>
          <w:tcPr>
            <w:tcW w:w="235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建筑物结构损坏</w:t>
            </w:r>
          </w:p>
        </w:tc>
        <w:tc>
          <w:tcPr>
            <w:tcW w:w="893"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LS法</w:t>
            </w:r>
          </w:p>
        </w:tc>
        <w:tc>
          <w:tcPr>
            <w:tcW w:w="81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3～18</w:t>
            </w:r>
          </w:p>
        </w:tc>
        <w:tc>
          <w:tcPr>
            <w:tcW w:w="84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w:t>
            </w:r>
          </w:p>
        </w:tc>
        <w:tc>
          <w:tcPr>
            <w:tcW w:w="84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3～100</w:t>
            </w:r>
          </w:p>
        </w:tc>
        <w:tc>
          <w:tcPr>
            <w:tcW w:w="1117"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9～1800</w:t>
            </w:r>
          </w:p>
        </w:tc>
        <w:tc>
          <w:tcPr>
            <w:tcW w:w="1091"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低～重大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18"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94</w:t>
            </w:r>
          </w:p>
        </w:tc>
        <w:tc>
          <w:tcPr>
            <w:tcW w:w="970" w:type="dxa"/>
            <w:vMerge w:val="continue"/>
            <w:vAlign w:val="center"/>
          </w:tcPr>
          <w:p>
            <w:pPr>
              <w:snapToGrid w:val="0"/>
              <w:jc w:val="center"/>
              <w:rPr>
                <w:rFonts w:cs="宋体" w:asciiTheme="minorEastAsia" w:hAnsiTheme="minorEastAsia" w:eastAsiaTheme="minorEastAsia"/>
                <w:sz w:val="20"/>
                <w:szCs w:val="20"/>
              </w:rPr>
            </w:pPr>
          </w:p>
        </w:tc>
        <w:tc>
          <w:tcPr>
            <w:tcW w:w="1094" w:type="dxa"/>
            <w:vMerge w:val="continue"/>
            <w:vAlign w:val="center"/>
          </w:tcPr>
          <w:p>
            <w:pPr>
              <w:snapToGrid w:val="0"/>
              <w:jc w:val="center"/>
              <w:rPr>
                <w:rFonts w:cs="宋体" w:asciiTheme="minorEastAsia" w:hAnsiTheme="minorEastAsia" w:eastAsiaTheme="minorEastAsia"/>
                <w:sz w:val="20"/>
                <w:szCs w:val="20"/>
              </w:rPr>
            </w:pPr>
          </w:p>
        </w:tc>
        <w:tc>
          <w:tcPr>
            <w:tcW w:w="199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水生生物</w:t>
            </w:r>
          </w:p>
        </w:tc>
        <w:tc>
          <w:tcPr>
            <w:tcW w:w="1539"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吸附在闸门、门槽上</w:t>
            </w:r>
          </w:p>
        </w:tc>
        <w:tc>
          <w:tcPr>
            <w:tcW w:w="235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影响闸门启闭</w:t>
            </w:r>
          </w:p>
        </w:tc>
        <w:tc>
          <w:tcPr>
            <w:tcW w:w="893"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LS法</w:t>
            </w:r>
          </w:p>
        </w:tc>
        <w:tc>
          <w:tcPr>
            <w:tcW w:w="81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3～6</w:t>
            </w:r>
          </w:p>
        </w:tc>
        <w:tc>
          <w:tcPr>
            <w:tcW w:w="84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w:t>
            </w:r>
          </w:p>
        </w:tc>
        <w:tc>
          <w:tcPr>
            <w:tcW w:w="84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3～100</w:t>
            </w:r>
          </w:p>
        </w:tc>
        <w:tc>
          <w:tcPr>
            <w:tcW w:w="1117"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3～600</w:t>
            </w:r>
          </w:p>
        </w:tc>
        <w:tc>
          <w:tcPr>
            <w:tcW w:w="1091"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低～重大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18"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95</w:t>
            </w:r>
          </w:p>
        </w:tc>
        <w:tc>
          <w:tcPr>
            <w:tcW w:w="970" w:type="dxa"/>
            <w:vMerge w:val="continue"/>
            <w:vAlign w:val="center"/>
          </w:tcPr>
          <w:p>
            <w:pPr>
              <w:snapToGrid w:val="0"/>
              <w:jc w:val="center"/>
              <w:rPr>
                <w:rFonts w:cs="宋体" w:asciiTheme="minorEastAsia" w:hAnsiTheme="minorEastAsia" w:eastAsiaTheme="minorEastAsia"/>
                <w:sz w:val="20"/>
                <w:szCs w:val="20"/>
              </w:rPr>
            </w:pPr>
          </w:p>
        </w:tc>
        <w:tc>
          <w:tcPr>
            <w:tcW w:w="1094" w:type="dxa"/>
            <w:vMerge w:val="continue"/>
            <w:vAlign w:val="center"/>
          </w:tcPr>
          <w:p>
            <w:pPr>
              <w:snapToGrid w:val="0"/>
              <w:jc w:val="left"/>
              <w:rPr>
                <w:rFonts w:cs="宋体" w:asciiTheme="minorEastAsia" w:hAnsiTheme="minorEastAsia" w:eastAsiaTheme="minorEastAsia"/>
                <w:sz w:val="20"/>
                <w:szCs w:val="20"/>
              </w:rPr>
            </w:pPr>
          </w:p>
        </w:tc>
        <w:tc>
          <w:tcPr>
            <w:tcW w:w="199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水面漂浮物、垃圾</w:t>
            </w:r>
          </w:p>
        </w:tc>
        <w:tc>
          <w:tcPr>
            <w:tcW w:w="1539"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在门槽附近堆积</w:t>
            </w:r>
          </w:p>
        </w:tc>
        <w:tc>
          <w:tcPr>
            <w:tcW w:w="235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影响闸门启闭</w:t>
            </w:r>
          </w:p>
        </w:tc>
        <w:tc>
          <w:tcPr>
            <w:tcW w:w="893"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LS法</w:t>
            </w:r>
          </w:p>
        </w:tc>
        <w:tc>
          <w:tcPr>
            <w:tcW w:w="81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3～18</w:t>
            </w:r>
          </w:p>
        </w:tc>
        <w:tc>
          <w:tcPr>
            <w:tcW w:w="84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w:t>
            </w:r>
          </w:p>
        </w:tc>
        <w:tc>
          <w:tcPr>
            <w:tcW w:w="84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3～100</w:t>
            </w:r>
          </w:p>
        </w:tc>
        <w:tc>
          <w:tcPr>
            <w:tcW w:w="1117"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9～1800</w:t>
            </w:r>
          </w:p>
        </w:tc>
        <w:tc>
          <w:tcPr>
            <w:tcW w:w="1091"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低～重大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18"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96</w:t>
            </w:r>
          </w:p>
        </w:tc>
        <w:tc>
          <w:tcPr>
            <w:tcW w:w="970" w:type="dxa"/>
            <w:vMerge w:val="continue"/>
            <w:vAlign w:val="center"/>
          </w:tcPr>
          <w:p>
            <w:pPr>
              <w:snapToGrid w:val="0"/>
              <w:jc w:val="center"/>
              <w:rPr>
                <w:rFonts w:cs="宋体" w:asciiTheme="minorEastAsia" w:hAnsiTheme="minorEastAsia" w:eastAsiaTheme="minorEastAsia"/>
                <w:sz w:val="20"/>
                <w:szCs w:val="20"/>
              </w:rPr>
            </w:pPr>
          </w:p>
        </w:tc>
        <w:tc>
          <w:tcPr>
            <w:tcW w:w="1094" w:type="dxa"/>
            <w:vMerge w:val="continue"/>
            <w:vAlign w:val="center"/>
          </w:tcPr>
          <w:p>
            <w:pPr>
              <w:snapToGrid w:val="0"/>
              <w:jc w:val="left"/>
              <w:rPr>
                <w:rFonts w:cs="宋体" w:asciiTheme="minorEastAsia" w:hAnsiTheme="minorEastAsia" w:eastAsiaTheme="minorEastAsia"/>
                <w:sz w:val="20"/>
                <w:szCs w:val="20"/>
              </w:rPr>
            </w:pPr>
          </w:p>
        </w:tc>
        <w:tc>
          <w:tcPr>
            <w:tcW w:w="199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危险的动、植物</w:t>
            </w:r>
          </w:p>
        </w:tc>
        <w:tc>
          <w:tcPr>
            <w:tcW w:w="1539"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蜇伤、咬伤、扎伤等</w:t>
            </w:r>
          </w:p>
        </w:tc>
        <w:tc>
          <w:tcPr>
            <w:tcW w:w="235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影响人身安全</w:t>
            </w:r>
          </w:p>
        </w:tc>
        <w:tc>
          <w:tcPr>
            <w:tcW w:w="893"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LEC法</w:t>
            </w:r>
          </w:p>
        </w:tc>
        <w:tc>
          <w:tcPr>
            <w:tcW w:w="81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0.5～3</w:t>
            </w:r>
          </w:p>
        </w:tc>
        <w:tc>
          <w:tcPr>
            <w:tcW w:w="84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2～6</w:t>
            </w:r>
          </w:p>
        </w:tc>
        <w:tc>
          <w:tcPr>
            <w:tcW w:w="84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3～7</w:t>
            </w:r>
          </w:p>
        </w:tc>
        <w:tc>
          <w:tcPr>
            <w:tcW w:w="1117"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3～126</w:t>
            </w:r>
          </w:p>
        </w:tc>
        <w:tc>
          <w:tcPr>
            <w:tcW w:w="1091"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低～一般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18"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97</w:t>
            </w:r>
          </w:p>
        </w:tc>
        <w:tc>
          <w:tcPr>
            <w:tcW w:w="970" w:type="dxa"/>
            <w:vMerge w:val="continue"/>
            <w:vAlign w:val="center"/>
          </w:tcPr>
          <w:p>
            <w:pPr>
              <w:snapToGrid w:val="0"/>
              <w:jc w:val="center"/>
              <w:rPr>
                <w:rFonts w:cs="宋体" w:asciiTheme="minorEastAsia" w:hAnsiTheme="minorEastAsia" w:eastAsiaTheme="minorEastAsia"/>
                <w:sz w:val="20"/>
                <w:szCs w:val="20"/>
              </w:rPr>
            </w:pPr>
          </w:p>
        </w:tc>
        <w:tc>
          <w:tcPr>
            <w:tcW w:w="1094" w:type="dxa"/>
            <w:vMerge w:val="continue"/>
            <w:vAlign w:val="center"/>
          </w:tcPr>
          <w:p>
            <w:pPr>
              <w:snapToGrid w:val="0"/>
              <w:jc w:val="left"/>
              <w:rPr>
                <w:rFonts w:cs="宋体" w:asciiTheme="minorEastAsia" w:hAnsiTheme="minorEastAsia" w:eastAsiaTheme="minorEastAsia"/>
                <w:sz w:val="20"/>
                <w:szCs w:val="20"/>
              </w:rPr>
            </w:pPr>
          </w:p>
        </w:tc>
        <w:tc>
          <w:tcPr>
            <w:tcW w:w="199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老鼠、蛇等</w:t>
            </w:r>
          </w:p>
        </w:tc>
        <w:tc>
          <w:tcPr>
            <w:tcW w:w="1539"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打洞</w:t>
            </w:r>
          </w:p>
        </w:tc>
        <w:tc>
          <w:tcPr>
            <w:tcW w:w="235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影响工程运行安全</w:t>
            </w:r>
          </w:p>
        </w:tc>
        <w:tc>
          <w:tcPr>
            <w:tcW w:w="893"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LS法</w:t>
            </w:r>
          </w:p>
        </w:tc>
        <w:tc>
          <w:tcPr>
            <w:tcW w:w="81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3～18</w:t>
            </w:r>
          </w:p>
        </w:tc>
        <w:tc>
          <w:tcPr>
            <w:tcW w:w="84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w:t>
            </w:r>
          </w:p>
        </w:tc>
        <w:tc>
          <w:tcPr>
            <w:tcW w:w="84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3～100</w:t>
            </w:r>
          </w:p>
        </w:tc>
        <w:tc>
          <w:tcPr>
            <w:tcW w:w="1117"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9～1800</w:t>
            </w:r>
          </w:p>
        </w:tc>
        <w:tc>
          <w:tcPr>
            <w:tcW w:w="1091"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低～重大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18"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98</w:t>
            </w:r>
          </w:p>
        </w:tc>
        <w:tc>
          <w:tcPr>
            <w:tcW w:w="970" w:type="dxa"/>
            <w:vMerge w:val="continue"/>
            <w:vAlign w:val="center"/>
          </w:tcPr>
          <w:p>
            <w:pPr>
              <w:snapToGrid w:val="0"/>
              <w:jc w:val="center"/>
              <w:rPr>
                <w:rFonts w:cs="宋体" w:asciiTheme="minorEastAsia" w:hAnsiTheme="minorEastAsia" w:eastAsiaTheme="minorEastAsia"/>
                <w:sz w:val="20"/>
                <w:szCs w:val="20"/>
              </w:rPr>
            </w:pPr>
          </w:p>
        </w:tc>
        <w:tc>
          <w:tcPr>
            <w:tcW w:w="1094" w:type="dxa"/>
            <w:vMerge w:val="continue"/>
            <w:vAlign w:val="center"/>
          </w:tcPr>
          <w:p>
            <w:pPr>
              <w:snapToGrid w:val="0"/>
              <w:jc w:val="left"/>
              <w:rPr>
                <w:rFonts w:cs="宋体" w:asciiTheme="minorEastAsia" w:hAnsiTheme="minorEastAsia" w:eastAsiaTheme="minorEastAsia"/>
                <w:sz w:val="20"/>
                <w:szCs w:val="20"/>
              </w:rPr>
            </w:pPr>
          </w:p>
        </w:tc>
        <w:tc>
          <w:tcPr>
            <w:tcW w:w="199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有毒有害气体</w:t>
            </w:r>
          </w:p>
        </w:tc>
        <w:tc>
          <w:tcPr>
            <w:tcW w:w="1539"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溢出</w:t>
            </w:r>
          </w:p>
        </w:tc>
        <w:tc>
          <w:tcPr>
            <w:tcW w:w="235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中毒</w:t>
            </w:r>
          </w:p>
        </w:tc>
        <w:tc>
          <w:tcPr>
            <w:tcW w:w="893"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LEC法</w:t>
            </w:r>
          </w:p>
        </w:tc>
        <w:tc>
          <w:tcPr>
            <w:tcW w:w="81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0.5～3</w:t>
            </w:r>
          </w:p>
        </w:tc>
        <w:tc>
          <w:tcPr>
            <w:tcW w:w="84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2～6</w:t>
            </w:r>
          </w:p>
        </w:tc>
        <w:tc>
          <w:tcPr>
            <w:tcW w:w="84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3～7</w:t>
            </w:r>
          </w:p>
        </w:tc>
        <w:tc>
          <w:tcPr>
            <w:tcW w:w="1117"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3～126</w:t>
            </w:r>
          </w:p>
        </w:tc>
        <w:tc>
          <w:tcPr>
            <w:tcW w:w="1091"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低～一般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18"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99</w:t>
            </w:r>
          </w:p>
        </w:tc>
        <w:tc>
          <w:tcPr>
            <w:tcW w:w="970" w:type="dxa"/>
            <w:vMerge w:val="restart"/>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环境类</w:t>
            </w:r>
          </w:p>
        </w:tc>
        <w:tc>
          <w:tcPr>
            <w:tcW w:w="1094" w:type="dxa"/>
            <w:vMerge w:val="restart"/>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工作环境</w:t>
            </w:r>
          </w:p>
        </w:tc>
        <w:tc>
          <w:tcPr>
            <w:tcW w:w="199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斜坡、步梯、通道、作业场地</w:t>
            </w:r>
          </w:p>
        </w:tc>
        <w:tc>
          <w:tcPr>
            <w:tcW w:w="1539"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结冰或湿滑</w:t>
            </w:r>
          </w:p>
        </w:tc>
        <w:tc>
          <w:tcPr>
            <w:tcW w:w="235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高处坠落、扭伤、摔伤</w:t>
            </w:r>
          </w:p>
        </w:tc>
        <w:tc>
          <w:tcPr>
            <w:tcW w:w="893"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LEC法</w:t>
            </w:r>
          </w:p>
        </w:tc>
        <w:tc>
          <w:tcPr>
            <w:tcW w:w="81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0.5～3</w:t>
            </w:r>
          </w:p>
        </w:tc>
        <w:tc>
          <w:tcPr>
            <w:tcW w:w="84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2～6</w:t>
            </w:r>
          </w:p>
        </w:tc>
        <w:tc>
          <w:tcPr>
            <w:tcW w:w="84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3～7</w:t>
            </w:r>
          </w:p>
        </w:tc>
        <w:tc>
          <w:tcPr>
            <w:tcW w:w="1117"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3～126</w:t>
            </w:r>
          </w:p>
        </w:tc>
        <w:tc>
          <w:tcPr>
            <w:tcW w:w="1091"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低～一般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18"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100</w:t>
            </w:r>
          </w:p>
        </w:tc>
        <w:tc>
          <w:tcPr>
            <w:tcW w:w="970" w:type="dxa"/>
            <w:vMerge w:val="continue"/>
            <w:vAlign w:val="center"/>
          </w:tcPr>
          <w:p>
            <w:pPr>
              <w:snapToGrid w:val="0"/>
              <w:jc w:val="center"/>
              <w:rPr>
                <w:rFonts w:cs="宋体" w:asciiTheme="minorEastAsia" w:hAnsiTheme="minorEastAsia" w:eastAsiaTheme="minorEastAsia"/>
                <w:sz w:val="20"/>
                <w:szCs w:val="20"/>
              </w:rPr>
            </w:pPr>
          </w:p>
        </w:tc>
        <w:tc>
          <w:tcPr>
            <w:tcW w:w="1094" w:type="dxa"/>
            <w:vMerge w:val="continue"/>
            <w:vAlign w:val="center"/>
          </w:tcPr>
          <w:p>
            <w:pPr>
              <w:snapToGrid w:val="0"/>
              <w:jc w:val="center"/>
              <w:rPr>
                <w:rFonts w:cs="宋体" w:asciiTheme="minorEastAsia" w:hAnsiTheme="minorEastAsia" w:eastAsiaTheme="minorEastAsia"/>
                <w:sz w:val="20"/>
                <w:szCs w:val="20"/>
              </w:rPr>
            </w:pPr>
          </w:p>
        </w:tc>
        <w:tc>
          <w:tcPr>
            <w:tcW w:w="199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临边、临水部位</w:t>
            </w:r>
          </w:p>
        </w:tc>
        <w:tc>
          <w:tcPr>
            <w:tcW w:w="1539"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防护措施不到位</w:t>
            </w:r>
          </w:p>
        </w:tc>
        <w:tc>
          <w:tcPr>
            <w:tcW w:w="235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高处坠落、淹溺</w:t>
            </w:r>
          </w:p>
        </w:tc>
        <w:tc>
          <w:tcPr>
            <w:tcW w:w="893"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LEC法</w:t>
            </w:r>
          </w:p>
        </w:tc>
        <w:tc>
          <w:tcPr>
            <w:tcW w:w="81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0.5～3</w:t>
            </w:r>
          </w:p>
        </w:tc>
        <w:tc>
          <w:tcPr>
            <w:tcW w:w="84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2～6</w:t>
            </w:r>
          </w:p>
        </w:tc>
        <w:tc>
          <w:tcPr>
            <w:tcW w:w="84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3～7</w:t>
            </w:r>
          </w:p>
        </w:tc>
        <w:tc>
          <w:tcPr>
            <w:tcW w:w="1117"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3～126</w:t>
            </w:r>
          </w:p>
        </w:tc>
        <w:tc>
          <w:tcPr>
            <w:tcW w:w="1091"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低～一般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18"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101</w:t>
            </w:r>
          </w:p>
        </w:tc>
        <w:tc>
          <w:tcPr>
            <w:tcW w:w="970" w:type="dxa"/>
            <w:vMerge w:val="continue"/>
            <w:vAlign w:val="center"/>
          </w:tcPr>
          <w:p>
            <w:pPr>
              <w:snapToGrid w:val="0"/>
              <w:jc w:val="left"/>
              <w:rPr>
                <w:rFonts w:cs="宋体" w:asciiTheme="minorEastAsia" w:hAnsiTheme="minorEastAsia" w:eastAsiaTheme="minorEastAsia"/>
                <w:sz w:val="20"/>
                <w:szCs w:val="20"/>
              </w:rPr>
            </w:pPr>
          </w:p>
        </w:tc>
        <w:tc>
          <w:tcPr>
            <w:tcW w:w="1094" w:type="dxa"/>
            <w:vMerge w:val="continue"/>
            <w:vAlign w:val="center"/>
          </w:tcPr>
          <w:p>
            <w:pPr>
              <w:snapToGrid w:val="0"/>
              <w:jc w:val="left"/>
              <w:rPr>
                <w:rFonts w:cs="宋体" w:asciiTheme="minorEastAsia" w:hAnsiTheme="minorEastAsia" w:eastAsiaTheme="minorEastAsia"/>
                <w:sz w:val="20"/>
                <w:szCs w:val="20"/>
              </w:rPr>
            </w:pPr>
          </w:p>
        </w:tc>
        <w:tc>
          <w:tcPr>
            <w:tcW w:w="199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人员密集活动</w:t>
            </w:r>
          </w:p>
        </w:tc>
        <w:tc>
          <w:tcPr>
            <w:tcW w:w="1539"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拥挤、踩踏</w:t>
            </w:r>
          </w:p>
        </w:tc>
        <w:tc>
          <w:tcPr>
            <w:tcW w:w="235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人员伤亡</w:t>
            </w:r>
          </w:p>
        </w:tc>
        <w:tc>
          <w:tcPr>
            <w:tcW w:w="893"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LEC法</w:t>
            </w:r>
          </w:p>
        </w:tc>
        <w:tc>
          <w:tcPr>
            <w:tcW w:w="81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0.5～1</w:t>
            </w:r>
          </w:p>
        </w:tc>
        <w:tc>
          <w:tcPr>
            <w:tcW w:w="84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0.5～3</w:t>
            </w:r>
          </w:p>
        </w:tc>
        <w:tc>
          <w:tcPr>
            <w:tcW w:w="84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3～40</w:t>
            </w:r>
          </w:p>
        </w:tc>
        <w:tc>
          <w:tcPr>
            <w:tcW w:w="1117"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0.75～120</w:t>
            </w:r>
          </w:p>
        </w:tc>
        <w:tc>
          <w:tcPr>
            <w:tcW w:w="1091"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低～一般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18"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102</w:t>
            </w:r>
          </w:p>
        </w:tc>
        <w:tc>
          <w:tcPr>
            <w:tcW w:w="970" w:type="dxa"/>
            <w:vMerge w:val="continue"/>
            <w:vAlign w:val="center"/>
          </w:tcPr>
          <w:p>
            <w:pPr>
              <w:snapToGrid w:val="0"/>
              <w:jc w:val="left"/>
              <w:rPr>
                <w:rFonts w:cs="宋体" w:asciiTheme="minorEastAsia" w:hAnsiTheme="minorEastAsia" w:eastAsiaTheme="minorEastAsia"/>
                <w:sz w:val="20"/>
                <w:szCs w:val="20"/>
              </w:rPr>
            </w:pPr>
          </w:p>
        </w:tc>
        <w:tc>
          <w:tcPr>
            <w:tcW w:w="1094" w:type="dxa"/>
            <w:vMerge w:val="continue"/>
            <w:vAlign w:val="center"/>
          </w:tcPr>
          <w:p>
            <w:pPr>
              <w:snapToGrid w:val="0"/>
              <w:jc w:val="left"/>
              <w:rPr>
                <w:rFonts w:cs="宋体" w:asciiTheme="minorEastAsia" w:hAnsiTheme="minorEastAsia" w:eastAsiaTheme="minorEastAsia"/>
                <w:sz w:val="20"/>
                <w:szCs w:val="20"/>
              </w:rPr>
            </w:pPr>
          </w:p>
        </w:tc>
        <w:tc>
          <w:tcPr>
            <w:tcW w:w="199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食堂食材</w:t>
            </w:r>
          </w:p>
        </w:tc>
        <w:tc>
          <w:tcPr>
            <w:tcW w:w="1539"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有毒物质</w:t>
            </w:r>
          </w:p>
        </w:tc>
        <w:tc>
          <w:tcPr>
            <w:tcW w:w="235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人员中毒</w:t>
            </w:r>
          </w:p>
        </w:tc>
        <w:tc>
          <w:tcPr>
            <w:tcW w:w="893"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LEC法</w:t>
            </w:r>
          </w:p>
        </w:tc>
        <w:tc>
          <w:tcPr>
            <w:tcW w:w="81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0.5～1</w:t>
            </w:r>
          </w:p>
        </w:tc>
        <w:tc>
          <w:tcPr>
            <w:tcW w:w="84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2～6</w:t>
            </w:r>
          </w:p>
        </w:tc>
        <w:tc>
          <w:tcPr>
            <w:tcW w:w="84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3～15</w:t>
            </w:r>
          </w:p>
        </w:tc>
        <w:tc>
          <w:tcPr>
            <w:tcW w:w="1117"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3～90</w:t>
            </w:r>
          </w:p>
        </w:tc>
        <w:tc>
          <w:tcPr>
            <w:tcW w:w="1091"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低～一般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18"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103</w:t>
            </w:r>
          </w:p>
        </w:tc>
        <w:tc>
          <w:tcPr>
            <w:tcW w:w="970" w:type="dxa"/>
            <w:vMerge w:val="continue"/>
            <w:vAlign w:val="center"/>
          </w:tcPr>
          <w:p>
            <w:pPr>
              <w:snapToGrid w:val="0"/>
              <w:jc w:val="left"/>
              <w:rPr>
                <w:rFonts w:cs="宋体" w:asciiTheme="minorEastAsia" w:hAnsiTheme="minorEastAsia" w:eastAsiaTheme="minorEastAsia"/>
                <w:sz w:val="20"/>
                <w:szCs w:val="20"/>
              </w:rPr>
            </w:pPr>
          </w:p>
        </w:tc>
        <w:tc>
          <w:tcPr>
            <w:tcW w:w="1094" w:type="dxa"/>
            <w:vMerge w:val="continue"/>
            <w:vAlign w:val="center"/>
          </w:tcPr>
          <w:p>
            <w:pPr>
              <w:snapToGrid w:val="0"/>
              <w:jc w:val="left"/>
              <w:rPr>
                <w:rFonts w:cs="宋体" w:asciiTheme="minorEastAsia" w:hAnsiTheme="minorEastAsia" w:eastAsiaTheme="minorEastAsia"/>
                <w:sz w:val="20"/>
                <w:szCs w:val="20"/>
              </w:rPr>
            </w:pPr>
          </w:p>
        </w:tc>
        <w:tc>
          <w:tcPr>
            <w:tcW w:w="199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可燃物堆积</w:t>
            </w:r>
          </w:p>
        </w:tc>
        <w:tc>
          <w:tcPr>
            <w:tcW w:w="1539"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明火</w:t>
            </w:r>
          </w:p>
        </w:tc>
        <w:tc>
          <w:tcPr>
            <w:tcW w:w="235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火灾</w:t>
            </w:r>
          </w:p>
        </w:tc>
        <w:tc>
          <w:tcPr>
            <w:tcW w:w="893"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LEC法</w:t>
            </w:r>
          </w:p>
        </w:tc>
        <w:tc>
          <w:tcPr>
            <w:tcW w:w="81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0.5～3</w:t>
            </w:r>
          </w:p>
        </w:tc>
        <w:tc>
          <w:tcPr>
            <w:tcW w:w="84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2～6</w:t>
            </w:r>
          </w:p>
        </w:tc>
        <w:tc>
          <w:tcPr>
            <w:tcW w:w="84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3～7</w:t>
            </w:r>
          </w:p>
        </w:tc>
        <w:tc>
          <w:tcPr>
            <w:tcW w:w="1117"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3～126</w:t>
            </w:r>
          </w:p>
        </w:tc>
        <w:tc>
          <w:tcPr>
            <w:tcW w:w="1091"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低～一般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18"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104</w:t>
            </w:r>
          </w:p>
        </w:tc>
        <w:tc>
          <w:tcPr>
            <w:tcW w:w="970" w:type="dxa"/>
            <w:vMerge w:val="continue"/>
            <w:vAlign w:val="center"/>
          </w:tcPr>
          <w:p>
            <w:pPr>
              <w:snapToGrid w:val="0"/>
              <w:jc w:val="left"/>
              <w:rPr>
                <w:rFonts w:cs="宋体" w:asciiTheme="minorEastAsia" w:hAnsiTheme="minorEastAsia" w:eastAsiaTheme="minorEastAsia"/>
                <w:sz w:val="20"/>
                <w:szCs w:val="20"/>
              </w:rPr>
            </w:pPr>
          </w:p>
        </w:tc>
        <w:tc>
          <w:tcPr>
            <w:tcW w:w="1094" w:type="dxa"/>
            <w:vMerge w:val="continue"/>
            <w:vAlign w:val="center"/>
          </w:tcPr>
          <w:p>
            <w:pPr>
              <w:snapToGrid w:val="0"/>
              <w:jc w:val="left"/>
              <w:rPr>
                <w:rFonts w:cs="宋体" w:asciiTheme="minorEastAsia" w:hAnsiTheme="minorEastAsia" w:eastAsiaTheme="minorEastAsia"/>
                <w:sz w:val="20"/>
                <w:szCs w:val="20"/>
              </w:rPr>
            </w:pPr>
          </w:p>
        </w:tc>
        <w:tc>
          <w:tcPr>
            <w:tcW w:w="199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电源插座</w:t>
            </w:r>
          </w:p>
        </w:tc>
        <w:tc>
          <w:tcPr>
            <w:tcW w:w="1539"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漏电、短路、线路老化等</w:t>
            </w:r>
          </w:p>
        </w:tc>
        <w:tc>
          <w:tcPr>
            <w:tcW w:w="235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火灾、触电</w:t>
            </w:r>
          </w:p>
        </w:tc>
        <w:tc>
          <w:tcPr>
            <w:tcW w:w="893"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LEC法</w:t>
            </w:r>
          </w:p>
        </w:tc>
        <w:tc>
          <w:tcPr>
            <w:tcW w:w="81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0.5～3</w:t>
            </w:r>
          </w:p>
        </w:tc>
        <w:tc>
          <w:tcPr>
            <w:tcW w:w="84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2～6</w:t>
            </w:r>
          </w:p>
        </w:tc>
        <w:tc>
          <w:tcPr>
            <w:tcW w:w="84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3～7</w:t>
            </w:r>
          </w:p>
        </w:tc>
        <w:tc>
          <w:tcPr>
            <w:tcW w:w="1117"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3～126</w:t>
            </w:r>
          </w:p>
        </w:tc>
        <w:tc>
          <w:tcPr>
            <w:tcW w:w="1091"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低～一般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18"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105</w:t>
            </w:r>
          </w:p>
        </w:tc>
        <w:tc>
          <w:tcPr>
            <w:tcW w:w="970" w:type="dxa"/>
            <w:vMerge w:val="continue"/>
            <w:vAlign w:val="center"/>
          </w:tcPr>
          <w:p>
            <w:pPr>
              <w:snapToGrid w:val="0"/>
              <w:jc w:val="left"/>
              <w:rPr>
                <w:rFonts w:cs="宋体" w:asciiTheme="minorEastAsia" w:hAnsiTheme="minorEastAsia" w:eastAsiaTheme="minorEastAsia"/>
                <w:sz w:val="20"/>
                <w:szCs w:val="20"/>
              </w:rPr>
            </w:pPr>
          </w:p>
        </w:tc>
        <w:tc>
          <w:tcPr>
            <w:tcW w:w="1094" w:type="dxa"/>
            <w:vMerge w:val="continue"/>
            <w:vAlign w:val="center"/>
          </w:tcPr>
          <w:p>
            <w:pPr>
              <w:snapToGrid w:val="0"/>
              <w:jc w:val="left"/>
              <w:rPr>
                <w:rFonts w:cs="宋体" w:asciiTheme="minorEastAsia" w:hAnsiTheme="minorEastAsia" w:eastAsiaTheme="minorEastAsia"/>
                <w:sz w:val="20"/>
                <w:szCs w:val="20"/>
              </w:rPr>
            </w:pPr>
          </w:p>
        </w:tc>
        <w:tc>
          <w:tcPr>
            <w:tcW w:w="199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大功率电器使用</w:t>
            </w:r>
          </w:p>
        </w:tc>
        <w:tc>
          <w:tcPr>
            <w:tcW w:w="1539"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过载、线路老化、电器质量不合格等</w:t>
            </w:r>
          </w:p>
        </w:tc>
        <w:tc>
          <w:tcPr>
            <w:tcW w:w="235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火灾</w:t>
            </w:r>
          </w:p>
        </w:tc>
        <w:tc>
          <w:tcPr>
            <w:tcW w:w="893"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LEC法</w:t>
            </w:r>
          </w:p>
        </w:tc>
        <w:tc>
          <w:tcPr>
            <w:tcW w:w="81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0.5～3</w:t>
            </w:r>
          </w:p>
        </w:tc>
        <w:tc>
          <w:tcPr>
            <w:tcW w:w="84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2～6</w:t>
            </w:r>
          </w:p>
        </w:tc>
        <w:tc>
          <w:tcPr>
            <w:tcW w:w="84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3～7</w:t>
            </w:r>
          </w:p>
        </w:tc>
        <w:tc>
          <w:tcPr>
            <w:tcW w:w="1117"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3～126</w:t>
            </w:r>
          </w:p>
        </w:tc>
        <w:tc>
          <w:tcPr>
            <w:tcW w:w="1091"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低～一般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18"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106</w:t>
            </w:r>
          </w:p>
        </w:tc>
        <w:tc>
          <w:tcPr>
            <w:tcW w:w="970" w:type="dxa"/>
            <w:vMerge w:val="continue"/>
            <w:vAlign w:val="center"/>
          </w:tcPr>
          <w:p>
            <w:pPr>
              <w:snapToGrid w:val="0"/>
              <w:jc w:val="center"/>
              <w:rPr>
                <w:rFonts w:cs="宋体" w:asciiTheme="minorEastAsia" w:hAnsiTheme="minorEastAsia" w:eastAsiaTheme="minorEastAsia"/>
                <w:sz w:val="20"/>
                <w:szCs w:val="20"/>
              </w:rPr>
            </w:pPr>
          </w:p>
        </w:tc>
        <w:tc>
          <w:tcPr>
            <w:tcW w:w="1094" w:type="dxa"/>
            <w:vMerge w:val="continue"/>
            <w:vAlign w:val="center"/>
          </w:tcPr>
          <w:p>
            <w:pPr>
              <w:snapToGrid w:val="0"/>
              <w:jc w:val="center"/>
              <w:rPr>
                <w:rFonts w:cs="宋体" w:asciiTheme="minorEastAsia" w:hAnsiTheme="minorEastAsia" w:eastAsiaTheme="minorEastAsia"/>
                <w:sz w:val="20"/>
                <w:szCs w:val="20"/>
              </w:rPr>
            </w:pPr>
          </w:p>
        </w:tc>
        <w:tc>
          <w:tcPr>
            <w:tcW w:w="1990"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游客的活动</w:t>
            </w:r>
          </w:p>
        </w:tc>
        <w:tc>
          <w:tcPr>
            <w:tcW w:w="1539"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管理不到位、防护措施不到位、安全意识不足等</w:t>
            </w:r>
          </w:p>
        </w:tc>
        <w:tc>
          <w:tcPr>
            <w:tcW w:w="235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高处坠落、触电</w:t>
            </w:r>
          </w:p>
        </w:tc>
        <w:tc>
          <w:tcPr>
            <w:tcW w:w="893"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LEC法</w:t>
            </w:r>
          </w:p>
        </w:tc>
        <w:tc>
          <w:tcPr>
            <w:tcW w:w="816"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0.5～3</w:t>
            </w:r>
          </w:p>
        </w:tc>
        <w:tc>
          <w:tcPr>
            <w:tcW w:w="84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2～6</w:t>
            </w:r>
          </w:p>
        </w:tc>
        <w:tc>
          <w:tcPr>
            <w:tcW w:w="845"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3～7</w:t>
            </w:r>
          </w:p>
        </w:tc>
        <w:tc>
          <w:tcPr>
            <w:tcW w:w="1117"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3～126</w:t>
            </w:r>
          </w:p>
        </w:tc>
        <w:tc>
          <w:tcPr>
            <w:tcW w:w="1091" w:type="dxa"/>
            <w:vAlign w:val="center"/>
          </w:tcPr>
          <w:p>
            <w:pPr>
              <w:snapToGrid w:val="0"/>
              <w:jc w:val="center"/>
              <w:rPr>
                <w:rFonts w:cs="宋体" w:asciiTheme="minorEastAsia" w:hAnsiTheme="minorEastAsia" w:eastAsiaTheme="minorEastAsia"/>
                <w:sz w:val="20"/>
                <w:szCs w:val="20"/>
              </w:rPr>
            </w:pPr>
            <w:r>
              <w:rPr>
                <w:rFonts w:hint="eastAsia" w:cs="宋体" w:asciiTheme="minorEastAsia" w:hAnsiTheme="minorEastAsia" w:eastAsiaTheme="minorEastAsia"/>
                <w:sz w:val="20"/>
                <w:szCs w:val="20"/>
              </w:rPr>
              <w:t>低～一般</w:t>
            </w:r>
          </w:p>
        </w:tc>
      </w:tr>
    </w:tbl>
    <w:p>
      <w:pPr>
        <w:widowControl w:val="0"/>
        <w:spacing w:line="400" w:lineRule="exact"/>
        <w:jc w:val="center"/>
        <w:rPr>
          <w:rFonts w:ascii="Times New Roman" w:eastAsia="宋体"/>
          <w:sz w:val="24"/>
          <w:szCs w:val="21"/>
        </w:rPr>
      </w:pPr>
    </w:p>
    <w:p>
      <w:pPr>
        <w:rPr>
          <w:rFonts w:asciiTheme="minorEastAsia" w:hAnsiTheme="minorEastAsia" w:eastAsiaTheme="minorEastAsia"/>
          <w:sz w:val="21"/>
          <w:szCs w:val="21"/>
        </w:rPr>
        <w:sectPr>
          <w:pgSz w:w="16838" w:h="11906" w:orient="landscape"/>
          <w:pgMar w:top="1797" w:right="1440" w:bottom="1797" w:left="1440" w:header="851" w:footer="992" w:gutter="0"/>
          <w:cols w:space="425" w:num="1"/>
          <w:docGrid w:type="lines" w:linePitch="435" w:charSpace="0"/>
        </w:sectPr>
      </w:pPr>
    </w:p>
    <w:p>
      <w:pPr>
        <w:jc w:val="center"/>
        <w:outlineLvl w:val="0"/>
        <w:rPr>
          <w:rFonts w:ascii="方正小标宋_GBK" w:hAnsi="黑体" w:eastAsia="方正小标宋_GBK"/>
          <w:b/>
          <w:bCs/>
          <w:sz w:val="28"/>
          <w:szCs w:val="28"/>
        </w:rPr>
      </w:pPr>
      <w:bookmarkStart w:id="103" w:name="_Toc117541305"/>
      <w:bookmarkStart w:id="104" w:name="_Hlk117455870"/>
      <w:bookmarkStart w:id="105" w:name="_Toc119336586"/>
      <w:r>
        <w:rPr>
          <w:rFonts w:hint="eastAsia" w:ascii="方正小标宋_GBK" w:hAnsi="黑体" w:eastAsia="方正小标宋_GBK"/>
          <w:b/>
          <w:bCs/>
          <w:sz w:val="28"/>
          <w:szCs w:val="28"/>
        </w:rPr>
        <w:t>附录A.7</w:t>
      </w:r>
      <w:bookmarkEnd w:id="103"/>
      <w:bookmarkEnd w:id="104"/>
      <w:bookmarkEnd w:id="105"/>
    </w:p>
    <w:p>
      <w:pPr>
        <w:jc w:val="center"/>
        <w:rPr>
          <w:rFonts w:ascii="方正小标宋_GBK" w:hAnsi="黑体" w:eastAsia="方正小标宋_GBK"/>
          <w:b/>
          <w:bCs/>
          <w:sz w:val="28"/>
          <w:szCs w:val="28"/>
        </w:rPr>
      </w:pPr>
      <w:r>
        <w:rPr>
          <w:rFonts w:hint="eastAsia" w:ascii="方正小标宋_GBK" w:hAnsi="黑体" w:eastAsia="方正小标宋_GBK"/>
          <w:b/>
          <w:bCs/>
          <w:sz w:val="28"/>
          <w:szCs w:val="28"/>
        </w:rPr>
        <w:t>（资料性附录）</w:t>
      </w:r>
    </w:p>
    <w:p>
      <w:pPr>
        <w:jc w:val="center"/>
        <w:rPr>
          <w:rFonts w:ascii="方正小标宋_GBK" w:hAnsi="黑体" w:eastAsia="方正小标宋_GBK"/>
          <w:b/>
          <w:bCs/>
          <w:sz w:val="28"/>
          <w:szCs w:val="28"/>
        </w:rPr>
      </w:pPr>
    </w:p>
    <w:p>
      <w:pPr>
        <w:jc w:val="center"/>
        <w:outlineLvl w:val="1"/>
        <w:rPr>
          <w:rFonts w:ascii="方正小标宋_GBK" w:hAnsi="黑体" w:eastAsia="方正小标宋_GBK"/>
          <w:b/>
          <w:bCs/>
          <w:sz w:val="28"/>
          <w:szCs w:val="28"/>
        </w:rPr>
      </w:pPr>
      <w:bookmarkStart w:id="106" w:name="_Toc119336587"/>
      <w:bookmarkStart w:id="107" w:name="_Toc117541306"/>
      <w:r>
        <w:rPr>
          <w:rFonts w:hint="eastAsia" w:ascii="方正小标宋_GBK" w:hAnsi="黑体" w:eastAsia="方正小标宋_GBK"/>
          <w:b/>
          <w:bCs/>
          <w:sz w:val="28"/>
          <w:szCs w:val="28"/>
        </w:rPr>
        <w:t>水电站工程运行重大危险源清单</w:t>
      </w:r>
      <w:bookmarkEnd w:id="106"/>
      <w:bookmarkEnd w:id="107"/>
    </w:p>
    <w:tbl>
      <w:tblPr>
        <w:tblStyle w:val="3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51"/>
        <w:gridCol w:w="1025"/>
        <w:gridCol w:w="1258"/>
        <w:gridCol w:w="1952"/>
        <w:gridCol w:w="1731"/>
        <w:gridCol w:w="19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70" w:type="pct"/>
            <w:noWrap/>
            <w:tcMar>
              <w:top w:w="15" w:type="dxa"/>
              <w:left w:w="15" w:type="dxa"/>
              <w:right w:w="15" w:type="dxa"/>
            </w:tcMar>
            <w:vAlign w:val="center"/>
          </w:tcPr>
          <w:p>
            <w:pPr>
              <w:jc w:val="center"/>
              <w:textAlignment w:val="center"/>
              <w:rPr>
                <w:rFonts w:cs="黑体" w:asciiTheme="minorEastAsia" w:hAnsiTheme="minorEastAsia" w:eastAsiaTheme="minorEastAsia"/>
                <w:b/>
                <w:bCs/>
                <w:sz w:val="21"/>
                <w:szCs w:val="21"/>
              </w:rPr>
            </w:pPr>
            <w:r>
              <w:rPr>
                <w:rFonts w:hint="eastAsia" w:cs="黑体" w:asciiTheme="minorEastAsia" w:hAnsiTheme="minorEastAsia" w:eastAsiaTheme="minorEastAsia"/>
                <w:b/>
                <w:bCs/>
                <w:sz w:val="21"/>
                <w:szCs w:val="21"/>
                <w:lang w:bidi="ar"/>
              </w:rPr>
              <w:t>序号</w:t>
            </w:r>
          </w:p>
        </w:tc>
        <w:tc>
          <w:tcPr>
            <w:tcW w:w="614" w:type="pct"/>
            <w:noWrap/>
            <w:tcMar>
              <w:top w:w="15" w:type="dxa"/>
              <w:left w:w="15" w:type="dxa"/>
              <w:right w:w="15" w:type="dxa"/>
            </w:tcMar>
            <w:vAlign w:val="center"/>
          </w:tcPr>
          <w:p>
            <w:pPr>
              <w:jc w:val="center"/>
              <w:textAlignment w:val="center"/>
              <w:rPr>
                <w:rFonts w:cs="黑体" w:asciiTheme="minorEastAsia" w:hAnsiTheme="minorEastAsia" w:eastAsiaTheme="minorEastAsia"/>
                <w:b/>
                <w:bCs/>
                <w:sz w:val="21"/>
                <w:szCs w:val="21"/>
              </w:rPr>
            </w:pPr>
            <w:r>
              <w:rPr>
                <w:rFonts w:hint="eastAsia" w:cs="黑体" w:asciiTheme="minorEastAsia" w:hAnsiTheme="minorEastAsia" w:eastAsiaTheme="minorEastAsia"/>
                <w:b/>
                <w:bCs/>
                <w:sz w:val="21"/>
                <w:szCs w:val="21"/>
                <w:lang w:bidi="ar"/>
              </w:rPr>
              <w:t>类别</w:t>
            </w:r>
          </w:p>
        </w:tc>
        <w:tc>
          <w:tcPr>
            <w:tcW w:w="754" w:type="pct"/>
            <w:noWrap/>
            <w:tcMar>
              <w:top w:w="15" w:type="dxa"/>
              <w:left w:w="15" w:type="dxa"/>
              <w:right w:w="15" w:type="dxa"/>
            </w:tcMar>
            <w:vAlign w:val="center"/>
          </w:tcPr>
          <w:p>
            <w:pPr>
              <w:jc w:val="center"/>
              <w:textAlignment w:val="center"/>
              <w:rPr>
                <w:rFonts w:cs="黑体" w:asciiTheme="minorEastAsia" w:hAnsiTheme="minorEastAsia" w:eastAsiaTheme="minorEastAsia"/>
                <w:b/>
                <w:bCs/>
                <w:sz w:val="21"/>
                <w:szCs w:val="21"/>
              </w:rPr>
            </w:pPr>
            <w:r>
              <w:rPr>
                <w:rFonts w:hint="eastAsia" w:cs="黑体" w:asciiTheme="minorEastAsia" w:hAnsiTheme="minorEastAsia" w:eastAsiaTheme="minorEastAsia"/>
                <w:b/>
                <w:bCs/>
                <w:sz w:val="21"/>
                <w:szCs w:val="21"/>
                <w:lang w:bidi="ar"/>
              </w:rPr>
              <w:t>项目</w:t>
            </w:r>
          </w:p>
        </w:tc>
        <w:tc>
          <w:tcPr>
            <w:tcW w:w="1170" w:type="pct"/>
            <w:noWrap/>
            <w:tcMar>
              <w:top w:w="15" w:type="dxa"/>
              <w:left w:w="15" w:type="dxa"/>
              <w:right w:w="15" w:type="dxa"/>
            </w:tcMar>
            <w:vAlign w:val="center"/>
          </w:tcPr>
          <w:p>
            <w:pPr>
              <w:jc w:val="center"/>
              <w:textAlignment w:val="center"/>
              <w:rPr>
                <w:rFonts w:cs="黑体" w:asciiTheme="minorEastAsia" w:hAnsiTheme="minorEastAsia" w:eastAsiaTheme="minorEastAsia"/>
                <w:b/>
                <w:bCs/>
                <w:sz w:val="21"/>
                <w:szCs w:val="21"/>
              </w:rPr>
            </w:pPr>
            <w:r>
              <w:rPr>
                <w:rFonts w:hint="eastAsia" w:cs="黑体" w:asciiTheme="minorEastAsia" w:hAnsiTheme="minorEastAsia" w:eastAsiaTheme="minorEastAsia"/>
                <w:b/>
                <w:bCs/>
                <w:sz w:val="21"/>
                <w:szCs w:val="21"/>
                <w:lang w:bidi="ar"/>
              </w:rPr>
              <w:t>重大危险源</w:t>
            </w:r>
          </w:p>
        </w:tc>
        <w:tc>
          <w:tcPr>
            <w:tcW w:w="1038" w:type="pct"/>
            <w:tcMar>
              <w:top w:w="15" w:type="dxa"/>
              <w:left w:w="15" w:type="dxa"/>
              <w:right w:w="15" w:type="dxa"/>
            </w:tcMar>
            <w:vAlign w:val="center"/>
          </w:tcPr>
          <w:p>
            <w:pPr>
              <w:jc w:val="center"/>
              <w:textAlignment w:val="center"/>
              <w:rPr>
                <w:rFonts w:cs="黑体" w:asciiTheme="minorEastAsia" w:hAnsiTheme="minorEastAsia" w:eastAsiaTheme="minorEastAsia"/>
                <w:b/>
                <w:bCs/>
                <w:sz w:val="21"/>
                <w:szCs w:val="21"/>
                <w:lang w:bidi="ar"/>
              </w:rPr>
            </w:pPr>
            <w:r>
              <w:rPr>
                <w:rFonts w:hint="eastAsia" w:cs="黑体" w:asciiTheme="minorEastAsia" w:hAnsiTheme="minorEastAsia" w:eastAsiaTheme="minorEastAsia"/>
                <w:b/>
                <w:bCs/>
                <w:sz w:val="21"/>
                <w:szCs w:val="21"/>
                <w:lang w:bidi="ar"/>
              </w:rPr>
              <w:t>事故诱因</w:t>
            </w:r>
          </w:p>
        </w:tc>
        <w:tc>
          <w:tcPr>
            <w:tcW w:w="1152" w:type="pct"/>
            <w:tcMar>
              <w:top w:w="15" w:type="dxa"/>
              <w:left w:w="15" w:type="dxa"/>
              <w:right w:w="15" w:type="dxa"/>
            </w:tcMar>
            <w:vAlign w:val="center"/>
          </w:tcPr>
          <w:p>
            <w:pPr>
              <w:jc w:val="center"/>
              <w:textAlignment w:val="center"/>
              <w:rPr>
                <w:rFonts w:cs="黑体" w:asciiTheme="minorEastAsia" w:hAnsiTheme="minorEastAsia" w:eastAsiaTheme="minorEastAsia"/>
                <w:b/>
                <w:bCs/>
                <w:sz w:val="21"/>
                <w:szCs w:val="21"/>
              </w:rPr>
            </w:pPr>
            <w:r>
              <w:rPr>
                <w:rFonts w:hint="eastAsia" w:cs="黑体" w:asciiTheme="minorEastAsia" w:hAnsiTheme="minorEastAsia" w:eastAsiaTheme="minorEastAsia"/>
                <w:b/>
                <w:bCs/>
                <w:sz w:val="21"/>
                <w:szCs w:val="21"/>
                <w:lang w:bidi="ar"/>
              </w:rPr>
              <w:t>可能导致的后果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70" w:type="pct"/>
            <w:noWrap/>
            <w:tcMar>
              <w:top w:w="15" w:type="dxa"/>
              <w:left w:w="15" w:type="dxa"/>
              <w:right w:w="15" w:type="dxa"/>
            </w:tcMar>
            <w:vAlign w:val="center"/>
          </w:tcPr>
          <w:p>
            <w:pPr>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1</w:t>
            </w:r>
          </w:p>
        </w:tc>
        <w:tc>
          <w:tcPr>
            <w:tcW w:w="614" w:type="pct"/>
            <w:vMerge w:val="restart"/>
            <w:noWrap/>
            <w:tcMar>
              <w:top w:w="15" w:type="dxa"/>
              <w:left w:w="15" w:type="dxa"/>
              <w:right w:w="15" w:type="dxa"/>
            </w:tcMar>
            <w:vAlign w:val="center"/>
          </w:tcPr>
          <w:p>
            <w:pPr>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构（建）筑物类</w:t>
            </w:r>
          </w:p>
        </w:tc>
        <w:tc>
          <w:tcPr>
            <w:tcW w:w="754" w:type="pct"/>
            <w:noWrap/>
            <w:tcMar>
              <w:top w:w="15" w:type="dxa"/>
              <w:left w:w="15" w:type="dxa"/>
              <w:right w:w="15" w:type="dxa"/>
            </w:tcMar>
            <w:vAlign w:val="center"/>
          </w:tcPr>
          <w:p>
            <w:pPr>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挡水建筑物</w:t>
            </w:r>
          </w:p>
        </w:tc>
        <w:tc>
          <w:tcPr>
            <w:tcW w:w="1170" w:type="pct"/>
            <w:tcMar>
              <w:top w:w="15" w:type="dxa"/>
              <w:left w:w="15" w:type="dxa"/>
              <w:right w:w="15" w:type="dxa"/>
            </w:tcMar>
            <w:vAlign w:val="center"/>
          </w:tcPr>
          <w:p>
            <w:pPr>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挡水堰（坝）</w:t>
            </w:r>
          </w:p>
        </w:tc>
        <w:tc>
          <w:tcPr>
            <w:tcW w:w="1038" w:type="pct"/>
            <w:tcMar>
              <w:top w:w="15" w:type="dxa"/>
              <w:left w:w="15" w:type="dxa"/>
              <w:right w:w="15" w:type="dxa"/>
            </w:tcMar>
            <w:vAlign w:val="center"/>
          </w:tcPr>
          <w:p>
            <w:pPr>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不良地质，变形、渗漏异常</w:t>
            </w:r>
          </w:p>
        </w:tc>
        <w:tc>
          <w:tcPr>
            <w:tcW w:w="1152" w:type="pct"/>
            <w:tcMar>
              <w:top w:w="15" w:type="dxa"/>
              <w:left w:w="15" w:type="dxa"/>
              <w:right w:w="15" w:type="dxa"/>
            </w:tcMar>
            <w:vAlign w:val="center"/>
          </w:tcPr>
          <w:p>
            <w:pPr>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溃坝、水淹厂房和周边设施等、人员伤亡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70" w:type="pct"/>
            <w:noWrap/>
            <w:tcMar>
              <w:top w:w="15" w:type="dxa"/>
              <w:left w:w="15" w:type="dxa"/>
              <w:right w:w="15" w:type="dxa"/>
            </w:tcMar>
            <w:vAlign w:val="center"/>
          </w:tcPr>
          <w:p>
            <w:pPr>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2</w:t>
            </w:r>
          </w:p>
        </w:tc>
        <w:tc>
          <w:tcPr>
            <w:tcW w:w="614" w:type="pct"/>
            <w:vMerge w:val="continue"/>
            <w:noWrap/>
            <w:tcMar>
              <w:top w:w="15" w:type="dxa"/>
              <w:left w:w="15" w:type="dxa"/>
              <w:right w:w="15" w:type="dxa"/>
            </w:tcMar>
            <w:vAlign w:val="center"/>
          </w:tcPr>
          <w:p>
            <w:pPr>
              <w:jc w:val="center"/>
              <w:textAlignment w:val="center"/>
              <w:rPr>
                <w:rFonts w:cs="宋体" w:asciiTheme="minorEastAsia" w:hAnsiTheme="minorEastAsia" w:eastAsiaTheme="minorEastAsia"/>
                <w:sz w:val="18"/>
                <w:szCs w:val="18"/>
                <w:lang w:bidi="ar"/>
              </w:rPr>
            </w:pPr>
          </w:p>
        </w:tc>
        <w:tc>
          <w:tcPr>
            <w:tcW w:w="754" w:type="pct"/>
            <w:vMerge w:val="restart"/>
            <w:noWrap/>
            <w:tcMar>
              <w:top w:w="15" w:type="dxa"/>
              <w:left w:w="15" w:type="dxa"/>
              <w:right w:w="15" w:type="dxa"/>
            </w:tcMar>
            <w:vAlign w:val="center"/>
          </w:tcPr>
          <w:p>
            <w:pPr>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引（输）水建筑物</w:t>
            </w:r>
          </w:p>
        </w:tc>
        <w:tc>
          <w:tcPr>
            <w:tcW w:w="1170" w:type="pct"/>
            <w:tcMar>
              <w:top w:w="15" w:type="dxa"/>
              <w:left w:w="15" w:type="dxa"/>
              <w:right w:w="15" w:type="dxa"/>
            </w:tcMar>
            <w:vAlign w:val="center"/>
          </w:tcPr>
          <w:p>
            <w:pPr>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调压设施</w:t>
            </w:r>
          </w:p>
        </w:tc>
        <w:tc>
          <w:tcPr>
            <w:tcW w:w="1038" w:type="pct"/>
            <w:tcMar>
              <w:top w:w="15" w:type="dxa"/>
              <w:left w:w="15" w:type="dxa"/>
              <w:right w:w="15" w:type="dxa"/>
            </w:tcMar>
            <w:vAlign w:val="center"/>
          </w:tcPr>
          <w:p>
            <w:pPr>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不良地质，变形、渗漏异常</w:t>
            </w:r>
          </w:p>
        </w:tc>
        <w:tc>
          <w:tcPr>
            <w:tcW w:w="1152" w:type="pct"/>
            <w:tcMar>
              <w:top w:w="15" w:type="dxa"/>
              <w:left w:w="15" w:type="dxa"/>
              <w:right w:w="15" w:type="dxa"/>
            </w:tcMar>
            <w:vAlign w:val="center"/>
          </w:tcPr>
          <w:p>
            <w:pPr>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顶部溢水、塌陷、漏水、水淹厂房及周边设施等、人员伤亡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70" w:type="pct"/>
            <w:noWrap/>
            <w:tcMar>
              <w:top w:w="15" w:type="dxa"/>
              <w:left w:w="15" w:type="dxa"/>
              <w:right w:w="15" w:type="dxa"/>
            </w:tcMar>
            <w:vAlign w:val="center"/>
          </w:tcPr>
          <w:p>
            <w:pPr>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3</w:t>
            </w:r>
          </w:p>
        </w:tc>
        <w:tc>
          <w:tcPr>
            <w:tcW w:w="614" w:type="pct"/>
            <w:vMerge w:val="continue"/>
            <w:noWrap/>
            <w:tcMar>
              <w:top w:w="15" w:type="dxa"/>
              <w:left w:w="15" w:type="dxa"/>
              <w:right w:w="15" w:type="dxa"/>
            </w:tcMar>
            <w:vAlign w:val="center"/>
          </w:tcPr>
          <w:p>
            <w:pPr>
              <w:jc w:val="center"/>
              <w:rPr>
                <w:rFonts w:cs="宋体" w:asciiTheme="minorEastAsia" w:hAnsiTheme="minorEastAsia" w:eastAsiaTheme="minorEastAsia"/>
                <w:sz w:val="18"/>
                <w:szCs w:val="18"/>
              </w:rPr>
            </w:pPr>
          </w:p>
        </w:tc>
        <w:tc>
          <w:tcPr>
            <w:tcW w:w="754" w:type="pct"/>
            <w:vMerge w:val="continue"/>
            <w:noWrap/>
            <w:tcMar>
              <w:top w:w="15" w:type="dxa"/>
              <w:left w:w="15" w:type="dxa"/>
              <w:right w:w="15" w:type="dxa"/>
            </w:tcMar>
            <w:vAlign w:val="center"/>
          </w:tcPr>
          <w:p>
            <w:pPr>
              <w:jc w:val="center"/>
              <w:rPr>
                <w:rFonts w:cs="宋体" w:asciiTheme="minorEastAsia" w:hAnsiTheme="minorEastAsia" w:eastAsiaTheme="minorEastAsia"/>
                <w:sz w:val="18"/>
                <w:szCs w:val="18"/>
              </w:rPr>
            </w:pPr>
          </w:p>
        </w:tc>
        <w:tc>
          <w:tcPr>
            <w:tcW w:w="1170" w:type="pct"/>
            <w:tcMar>
              <w:top w:w="15" w:type="dxa"/>
              <w:left w:w="15" w:type="dxa"/>
              <w:right w:w="15" w:type="dxa"/>
            </w:tcMar>
            <w:vAlign w:val="center"/>
          </w:tcPr>
          <w:p>
            <w:pPr>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压力管道、镇支墩</w:t>
            </w:r>
          </w:p>
        </w:tc>
        <w:tc>
          <w:tcPr>
            <w:tcW w:w="1038" w:type="pct"/>
            <w:tcMar>
              <w:top w:w="15" w:type="dxa"/>
              <w:left w:w="15" w:type="dxa"/>
              <w:right w:w="15" w:type="dxa"/>
            </w:tcMar>
            <w:vAlign w:val="center"/>
          </w:tcPr>
          <w:p>
            <w:pPr>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变形、开裂</w:t>
            </w:r>
          </w:p>
        </w:tc>
        <w:tc>
          <w:tcPr>
            <w:tcW w:w="1152" w:type="pct"/>
            <w:tcMar>
              <w:top w:w="15" w:type="dxa"/>
              <w:left w:w="15" w:type="dxa"/>
              <w:right w:w="15" w:type="dxa"/>
            </w:tcMar>
            <w:vAlign w:val="center"/>
          </w:tcPr>
          <w:p>
            <w:pPr>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失稳、爆管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70" w:type="pct"/>
            <w:noWrap/>
            <w:tcMar>
              <w:top w:w="15" w:type="dxa"/>
              <w:left w:w="15" w:type="dxa"/>
              <w:right w:w="15" w:type="dxa"/>
            </w:tcMar>
            <w:vAlign w:val="center"/>
          </w:tcPr>
          <w:p>
            <w:pPr>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4</w:t>
            </w:r>
          </w:p>
        </w:tc>
        <w:tc>
          <w:tcPr>
            <w:tcW w:w="614" w:type="pct"/>
            <w:noWrap/>
            <w:tcMar>
              <w:top w:w="15" w:type="dxa"/>
              <w:left w:w="15" w:type="dxa"/>
              <w:right w:w="15" w:type="dxa"/>
            </w:tcMar>
            <w:vAlign w:val="center"/>
          </w:tcPr>
          <w:p>
            <w:pPr>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金属结构类</w:t>
            </w:r>
          </w:p>
        </w:tc>
        <w:tc>
          <w:tcPr>
            <w:tcW w:w="754" w:type="pct"/>
            <w:noWrap/>
            <w:tcMar>
              <w:top w:w="15" w:type="dxa"/>
              <w:left w:w="15" w:type="dxa"/>
              <w:right w:w="15" w:type="dxa"/>
            </w:tcMar>
            <w:vAlign w:val="center"/>
          </w:tcPr>
          <w:p>
            <w:pPr>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压力钢管</w:t>
            </w:r>
          </w:p>
        </w:tc>
        <w:tc>
          <w:tcPr>
            <w:tcW w:w="1170" w:type="pct"/>
            <w:noWrap/>
            <w:tcMar>
              <w:top w:w="15" w:type="dxa"/>
              <w:left w:w="15" w:type="dxa"/>
              <w:right w:w="15" w:type="dxa"/>
            </w:tcMar>
            <w:vAlign w:val="center"/>
          </w:tcPr>
          <w:p>
            <w:pPr>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压力钢管、阀组、伸缩节</w:t>
            </w:r>
          </w:p>
        </w:tc>
        <w:tc>
          <w:tcPr>
            <w:tcW w:w="1038" w:type="pct"/>
            <w:tcMar>
              <w:top w:w="15" w:type="dxa"/>
              <w:left w:w="15" w:type="dxa"/>
              <w:right w:w="15" w:type="dxa"/>
            </w:tcMar>
            <w:vAlign w:val="center"/>
          </w:tcPr>
          <w:p>
            <w:pPr>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变形、锈蚀、未定期检验、机组飞逸且紧急关阀、水锤防护设施失效</w:t>
            </w:r>
          </w:p>
        </w:tc>
        <w:tc>
          <w:tcPr>
            <w:tcW w:w="1152" w:type="pct"/>
            <w:tcMar>
              <w:top w:w="15" w:type="dxa"/>
              <w:left w:w="15" w:type="dxa"/>
              <w:right w:w="15" w:type="dxa"/>
            </w:tcMar>
            <w:vAlign w:val="center"/>
          </w:tcPr>
          <w:p>
            <w:pPr>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爆管、水淹厂房和周边设施等、人员伤亡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70" w:type="pct"/>
            <w:noWrap/>
            <w:tcMar>
              <w:top w:w="15" w:type="dxa"/>
              <w:left w:w="15" w:type="dxa"/>
              <w:right w:w="15" w:type="dxa"/>
            </w:tcMar>
            <w:vAlign w:val="center"/>
          </w:tcPr>
          <w:p>
            <w:pPr>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5</w:t>
            </w:r>
          </w:p>
        </w:tc>
        <w:tc>
          <w:tcPr>
            <w:tcW w:w="614" w:type="pct"/>
            <w:noWrap/>
            <w:tcMar>
              <w:top w:w="15" w:type="dxa"/>
              <w:left w:w="15" w:type="dxa"/>
              <w:right w:w="15" w:type="dxa"/>
            </w:tcMar>
            <w:vAlign w:val="center"/>
          </w:tcPr>
          <w:p>
            <w:pPr>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设施设备类</w:t>
            </w:r>
          </w:p>
        </w:tc>
        <w:tc>
          <w:tcPr>
            <w:tcW w:w="754" w:type="pct"/>
            <w:noWrap/>
            <w:tcMar>
              <w:top w:w="15" w:type="dxa"/>
              <w:left w:w="15" w:type="dxa"/>
              <w:right w:w="15" w:type="dxa"/>
            </w:tcMar>
            <w:vAlign w:val="center"/>
          </w:tcPr>
          <w:p>
            <w:pPr>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特种设备</w:t>
            </w:r>
          </w:p>
        </w:tc>
        <w:tc>
          <w:tcPr>
            <w:tcW w:w="1170" w:type="pct"/>
            <w:noWrap/>
            <w:tcMar>
              <w:top w:w="15" w:type="dxa"/>
              <w:left w:w="15" w:type="dxa"/>
              <w:right w:w="15" w:type="dxa"/>
            </w:tcMar>
            <w:vAlign w:val="center"/>
          </w:tcPr>
          <w:p>
            <w:pPr>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起重设备</w:t>
            </w:r>
          </w:p>
        </w:tc>
        <w:tc>
          <w:tcPr>
            <w:tcW w:w="1038" w:type="pct"/>
            <w:tcMar>
              <w:top w:w="15" w:type="dxa"/>
              <w:left w:w="15" w:type="dxa"/>
              <w:right w:w="15" w:type="dxa"/>
            </w:tcMar>
            <w:vAlign w:val="center"/>
          </w:tcPr>
          <w:p>
            <w:pPr>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未经常性维护保养、自行检查和定期检验</w:t>
            </w:r>
          </w:p>
        </w:tc>
        <w:tc>
          <w:tcPr>
            <w:tcW w:w="1152" w:type="pct"/>
            <w:tcMar>
              <w:top w:w="15" w:type="dxa"/>
              <w:left w:w="15" w:type="dxa"/>
              <w:right w:w="15" w:type="dxa"/>
            </w:tcMar>
            <w:vAlign w:val="center"/>
          </w:tcPr>
          <w:p>
            <w:pPr>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设备严重损坏、人员伤亡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70" w:type="pct"/>
            <w:noWrap/>
            <w:tcMar>
              <w:top w:w="15" w:type="dxa"/>
              <w:left w:w="15" w:type="dxa"/>
              <w:right w:w="15" w:type="dxa"/>
            </w:tcMar>
            <w:vAlign w:val="center"/>
          </w:tcPr>
          <w:p>
            <w:pPr>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6</w:t>
            </w:r>
          </w:p>
        </w:tc>
        <w:tc>
          <w:tcPr>
            <w:tcW w:w="614" w:type="pct"/>
            <w:vMerge w:val="restart"/>
            <w:noWrap/>
            <w:tcMar>
              <w:top w:w="15" w:type="dxa"/>
              <w:left w:w="15" w:type="dxa"/>
              <w:right w:w="15" w:type="dxa"/>
            </w:tcMar>
            <w:vAlign w:val="center"/>
          </w:tcPr>
          <w:p>
            <w:pPr>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作业活动类</w:t>
            </w:r>
          </w:p>
        </w:tc>
        <w:tc>
          <w:tcPr>
            <w:tcW w:w="754" w:type="pct"/>
            <w:vMerge w:val="restart"/>
            <w:noWrap/>
            <w:tcMar>
              <w:top w:w="15" w:type="dxa"/>
              <w:left w:w="15" w:type="dxa"/>
              <w:right w:w="15" w:type="dxa"/>
            </w:tcMar>
            <w:vAlign w:val="center"/>
          </w:tcPr>
          <w:p>
            <w:pPr>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作业活动</w:t>
            </w:r>
          </w:p>
        </w:tc>
        <w:tc>
          <w:tcPr>
            <w:tcW w:w="1170" w:type="pct"/>
            <w:noWrap/>
            <w:tcMar>
              <w:top w:w="15" w:type="dxa"/>
              <w:left w:w="15" w:type="dxa"/>
              <w:right w:w="15" w:type="dxa"/>
            </w:tcMar>
            <w:vAlign w:val="center"/>
          </w:tcPr>
          <w:p>
            <w:pPr>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高处作业</w:t>
            </w:r>
          </w:p>
        </w:tc>
        <w:tc>
          <w:tcPr>
            <w:tcW w:w="1038" w:type="pct"/>
            <w:vMerge w:val="restart"/>
            <w:noWrap/>
            <w:tcMar>
              <w:top w:w="15" w:type="dxa"/>
              <w:left w:w="15" w:type="dxa"/>
              <w:right w:w="15" w:type="dxa"/>
            </w:tcMar>
            <w:vAlign w:val="center"/>
          </w:tcPr>
          <w:p>
            <w:pPr>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违章指挥、违章操作、违反劳动纪律、未正确使用防护用品</w:t>
            </w:r>
          </w:p>
        </w:tc>
        <w:tc>
          <w:tcPr>
            <w:tcW w:w="1152" w:type="pct"/>
            <w:noWrap/>
            <w:tcMar>
              <w:top w:w="15" w:type="dxa"/>
              <w:left w:w="15" w:type="dxa"/>
              <w:right w:w="15" w:type="dxa"/>
            </w:tcMar>
            <w:vAlign w:val="center"/>
          </w:tcPr>
          <w:p>
            <w:pPr>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高处坠落、物体打击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70" w:type="pct"/>
            <w:noWrap/>
            <w:tcMar>
              <w:top w:w="15" w:type="dxa"/>
              <w:left w:w="15" w:type="dxa"/>
              <w:right w:w="15" w:type="dxa"/>
            </w:tcMar>
            <w:vAlign w:val="center"/>
          </w:tcPr>
          <w:p>
            <w:pPr>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7</w:t>
            </w:r>
          </w:p>
        </w:tc>
        <w:tc>
          <w:tcPr>
            <w:tcW w:w="614" w:type="pct"/>
            <w:vMerge w:val="continue"/>
            <w:noWrap/>
            <w:tcMar>
              <w:top w:w="15" w:type="dxa"/>
              <w:left w:w="15" w:type="dxa"/>
              <w:right w:w="15" w:type="dxa"/>
            </w:tcMar>
            <w:vAlign w:val="center"/>
          </w:tcPr>
          <w:p>
            <w:pPr>
              <w:jc w:val="center"/>
              <w:rPr>
                <w:rFonts w:cs="宋体" w:asciiTheme="minorEastAsia" w:hAnsiTheme="minorEastAsia" w:eastAsiaTheme="minorEastAsia"/>
                <w:sz w:val="18"/>
                <w:szCs w:val="18"/>
              </w:rPr>
            </w:pPr>
          </w:p>
        </w:tc>
        <w:tc>
          <w:tcPr>
            <w:tcW w:w="754" w:type="pct"/>
            <w:vMerge w:val="continue"/>
            <w:noWrap/>
            <w:tcMar>
              <w:top w:w="15" w:type="dxa"/>
              <w:left w:w="15" w:type="dxa"/>
              <w:right w:w="15" w:type="dxa"/>
            </w:tcMar>
            <w:vAlign w:val="center"/>
          </w:tcPr>
          <w:p>
            <w:pPr>
              <w:jc w:val="center"/>
              <w:rPr>
                <w:rFonts w:cs="宋体" w:asciiTheme="minorEastAsia" w:hAnsiTheme="minorEastAsia" w:eastAsiaTheme="minorEastAsia"/>
                <w:sz w:val="18"/>
                <w:szCs w:val="18"/>
              </w:rPr>
            </w:pPr>
          </w:p>
        </w:tc>
        <w:tc>
          <w:tcPr>
            <w:tcW w:w="1170" w:type="pct"/>
            <w:noWrap/>
            <w:tcMar>
              <w:top w:w="15" w:type="dxa"/>
              <w:left w:w="15" w:type="dxa"/>
              <w:right w:w="15" w:type="dxa"/>
            </w:tcMar>
            <w:vAlign w:val="center"/>
          </w:tcPr>
          <w:p>
            <w:pPr>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有限空间作业</w:t>
            </w:r>
          </w:p>
        </w:tc>
        <w:tc>
          <w:tcPr>
            <w:tcW w:w="1038" w:type="pct"/>
            <w:vMerge w:val="continue"/>
            <w:noWrap/>
            <w:tcMar>
              <w:top w:w="15" w:type="dxa"/>
              <w:left w:w="15" w:type="dxa"/>
              <w:right w:w="15" w:type="dxa"/>
            </w:tcMar>
            <w:vAlign w:val="center"/>
          </w:tcPr>
          <w:p>
            <w:pPr>
              <w:jc w:val="center"/>
              <w:textAlignment w:val="center"/>
              <w:rPr>
                <w:rFonts w:cs="宋体" w:asciiTheme="minorEastAsia" w:hAnsiTheme="minorEastAsia" w:eastAsiaTheme="minorEastAsia"/>
                <w:sz w:val="18"/>
                <w:szCs w:val="18"/>
                <w:lang w:bidi="ar"/>
              </w:rPr>
            </w:pPr>
          </w:p>
        </w:tc>
        <w:tc>
          <w:tcPr>
            <w:tcW w:w="1152" w:type="pct"/>
            <w:noWrap/>
            <w:tcMar>
              <w:top w:w="15" w:type="dxa"/>
              <w:left w:w="15" w:type="dxa"/>
              <w:right w:w="15" w:type="dxa"/>
            </w:tcMar>
            <w:vAlign w:val="center"/>
          </w:tcPr>
          <w:p>
            <w:pPr>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淹溺、中毒、坍塌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70" w:type="pct"/>
            <w:noWrap/>
            <w:tcMar>
              <w:top w:w="15" w:type="dxa"/>
              <w:left w:w="15" w:type="dxa"/>
              <w:right w:w="15" w:type="dxa"/>
            </w:tcMar>
            <w:vAlign w:val="center"/>
          </w:tcPr>
          <w:p>
            <w:pPr>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8</w:t>
            </w:r>
          </w:p>
        </w:tc>
        <w:tc>
          <w:tcPr>
            <w:tcW w:w="614" w:type="pct"/>
            <w:vMerge w:val="continue"/>
            <w:noWrap/>
            <w:tcMar>
              <w:top w:w="15" w:type="dxa"/>
              <w:left w:w="15" w:type="dxa"/>
              <w:right w:w="15" w:type="dxa"/>
            </w:tcMar>
            <w:vAlign w:val="center"/>
          </w:tcPr>
          <w:p>
            <w:pPr>
              <w:jc w:val="center"/>
              <w:rPr>
                <w:rFonts w:cs="宋体" w:asciiTheme="minorEastAsia" w:hAnsiTheme="minorEastAsia" w:eastAsiaTheme="minorEastAsia"/>
                <w:sz w:val="18"/>
                <w:szCs w:val="18"/>
              </w:rPr>
            </w:pPr>
          </w:p>
        </w:tc>
        <w:tc>
          <w:tcPr>
            <w:tcW w:w="754" w:type="pct"/>
            <w:vMerge w:val="continue"/>
            <w:noWrap/>
            <w:tcMar>
              <w:top w:w="15" w:type="dxa"/>
              <w:left w:w="15" w:type="dxa"/>
              <w:right w:w="15" w:type="dxa"/>
            </w:tcMar>
            <w:vAlign w:val="center"/>
          </w:tcPr>
          <w:p>
            <w:pPr>
              <w:jc w:val="center"/>
              <w:rPr>
                <w:rFonts w:cs="宋体" w:asciiTheme="minorEastAsia" w:hAnsiTheme="minorEastAsia" w:eastAsiaTheme="minorEastAsia"/>
                <w:sz w:val="18"/>
                <w:szCs w:val="18"/>
              </w:rPr>
            </w:pPr>
          </w:p>
        </w:tc>
        <w:tc>
          <w:tcPr>
            <w:tcW w:w="1170" w:type="pct"/>
            <w:noWrap/>
            <w:tcMar>
              <w:top w:w="15" w:type="dxa"/>
              <w:left w:w="15" w:type="dxa"/>
              <w:right w:w="15" w:type="dxa"/>
            </w:tcMar>
            <w:vAlign w:val="center"/>
          </w:tcPr>
          <w:p>
            <w:pPr>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水下观测与检查作业</w:t>
            </w:r>
          </w:p>
        </w:tc>
        <w:tc>
          <w:tcPr>
            <w:tcW w:w="1038" w:type="pct"/>
            <w:vMerge w:val="continue"/>
            <w:noWrap/>
            <w:tcMar>
              <w:top w:w="15" w:type="dxa"/>
              <w:left w:w="15" w:type="dxa"/>
              <w:right w:w="15" w:type="dxa"/>
            </w:tcMar>
            <w:vAlign w:val="center"/>
          </w:tcPr>
          <w:p>
            <w:pPr>
              <w:jc w:val="center"/>
              <w:textAlignment w:val="center"/>
              <w:rPr>
                <w:rFonts w:cs="宋体" w:asciiTheme="minorEastAsia" w:hAnsiTheme="minorEastAsia" w:eastAsiaTheme="minorEastAsia"/>
                <w:sz w:val="18"/>
                <w:szCs w:val="18"/>
                <w:lang w:bidi="ar"/>
              </w:rPr>
            </w:pPr>
          </w:p>
        </w:tc>
        <w:tc>
          <w:tcPr>
            <w:tcW w:w="1152" w:type="pct"/>
            <w:noWrap/>
            <w:tcMar>
              <w:top w:w="15" w:type="dxa"/>
              <w:left w:w="15" w:type="dxa"/>
              <w:right w:w="15" w:type="dxa"/>
            </w:tcMar>
            <w:vAlign w:val="center"/>
          </w:tcPr>
          <w:p>
            <w:pPr>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淹溺、人身伤害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70" w:type="pct"/>
            <w:noWrap/>
            <w:tcMar>
              <w:top w:w="15" w:type="dxa"/>
              <w:left w:w="15" w:type="dxa"/>
              <w:right w:w="15" w:type="dxa"/>
            </w:tcMar>
            <w:vAlign w:val="center"/>
          </w:tcPr>
          <w:p>
            <w:pPr>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9</w:t>
            </w:r>
          </w:p>
        </w:tc>
        <w:tc>
          <w:tcPr>
            <w:tcW w:w="614" w:type="pct"/>
            <w:vMerge w:val="continue"/>
            <w:noWrap/>
            <w:tcMar>
              <w:top w:w="15" w:type="dxa"/>
              <w:left w:w="15" w:type="dxa"/>
              <w:right w:w="15" w:type="dxa"/>
            </w:tcMar>
            <w:vAlign w:val="center"/>
          </w:tcPr>
          <w:p>
            <w:pPr>
              <w:jc w:val="center"/>
              <w:rPr>
                <w:rFonts w:cs="宋体" w:asciiTheme="minorEastAsia" w:hAnsiTheme="minorEastAsia" w:eastAsiaTheme="minorEastAsia"/>
                <w:sz w:val="18"/>
                <w:szCs w:val="18"/>
              </w:rPr>
            </w:pPr>
          </w:p>
        </w:tc>
        <w:tc>
          <w:tcPr>
            <w:tcW w:w="754" w:type="pct"/>
            <w:vMerge w:val="continue"/>
            <w:noWrap/>
            <w:tcMar>
              <w:top w:w="15" w:type="dxa"/>
              <w:left w:w="15" w:type="dxa"/>
              <w:right w:w="15" w:type="dxa"/>
            </w:tcMar>
            <w:vAlign w:val="center"/>
          </w:tcPr>
          <w:p>
            <w:pPr>
              <w:jc w:val="center"/>
              <w:rPr>
                <w:rFonts w:cs="宋体" w:asciiTheme="minorEastAsia" w:hAnsiTheme="minorEastAsia" w:eastAsiaTheme="minorEastAsia"/>
                <w:sz w:val="18"/>
                <w:szCs w:val="18"/>
              </w:rPr>
            </w:pPr>
          </w:p>
        </w:tc>
        <w:tc>
          <w:tcPr>
            <w:tcW w:w="1170" w:type="pct"/>
            <w:noWrap/>
            <w:tcMar>
              <w:top w:w="15" w:type="dxa"/>
              <w:left w:w="15" w:type="dxa"/>
              <w:right w:w="15" w:type="dxa"/>
            </w:tcMar>
            <w:vAlign w:val="center"/>
          </w:tcPr>
          <w:p>
            <w:pPr>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带电作业</w:t>
            </w:r>
          </w:p>
        </w:tc>
        <w:tc>
          <w:tcPr>
            <w:tcW w:w="1038" w:type="pct"/>
            <w:vMerge w:val="continue"/>
            <w:noWrap/>
            <w:tcMar>
              <w:top w:w="15" w:type="dxa"/>
              <w:left w:w="15" w:type="dxa"/>
              <w:right w:w="15" w:type="dxa"/>
            </w:tcMar>
            <w:vAlign w:val="center"/>
          </w:tcPr>
          <w:p>
            <w:pPr>
              <w:jc w:val="center"/>
              <w:textAlignment w:val="center"/>
              <w:rPr>
                <w:rFonts w:cs="宋体" w:asciiTheme="minorEastAsia" w:hAnsiTheme="minorEastAsia" w:eastAsiaTheme="minorEastAsia"/>
                <w:sz w:val="18"/>
                <w:szCs w:val="18"/>
                <w:lang w:bidi="ar"/>
              </w:rPr>
            </w:pPr>
          </w:p>
        </w:tc>
        <w:tc>
          <w:tcPr>
            <w:tcW w:w="1152" w:type="pct"/>
            <w:noWrap/>
            <w:tcMar>
              <w:top w:w="15" w:type="dxa"/>
              <w:left w:w="15" w:type="dxa"/>
              <w:right w:w="15" w:type="dxa"/>
            </w:tcMar>
            <w:vAlign w:val="center"/>
          </w:tcPr>
          <w:p>
            <w:pPr>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触电、人员伤亡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70" w:type="pct"/>
            <w:noWrap/>
            <w:tcMar>
              <w:top w:w="15" w:type="dxa"/>
              <w:left w:w="15" w:type="dxa"/>
              <w:right w:w="15" w:type="dxa"/>
            </w:tcMar>
            <w:vAlign w:val="center"/>
          </w:tcPr>
          <w:p>
            <w:pPr>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10</w:t>
            </w:r>
          </w:p>
        </w:tc>
        <w:tc>
          <w:tcPr>
            <w:tcW w:w="614" w:type="pct"/>
            <w:noWrap/>
            <w:tcMar>
              <w:top w:w="15" w:type="dxa"/>
              <w:left w:w="15" w:type="dxa"/>
              <w:right w:w="15" w:type="dxa"/>
            </w:tcMar>
            <w:vAlign w:val="center"/>
          </w:tcPr>
          <w:p>
            <w:pPr>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管理类</w:t>
            </w:r>
          </w:p>
        </w:tc>
        <w:tc>
          <w:tcPr>
            <w:tcW w:w="754" w:type="pct"/>
            <w:noWrap/>
            <w:tcMar>
              <w:top w:w="15" w:type="dxa"/>
              <w:left w:w="15" w:type="dxa"/>
              <w:right w:w="15" w:type="dxa"/>
            </w:tcMar>
            <w:vAlign w:val="center"/>
          </w:tcPr>
          <w:p>
            <w:pPr>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运行管理</w:t>
            </w:r>
          </w:p>
        </w:tc>
        <w:tc>
          <w:tcPr>
            <w:tcW w:w="1170" w:type="pct"/>
            <w:tcMar>
              <w:top w:w="15" w:type="dxa"/>
              <w:left w:w="15" w:type="dxa"/>
              <w:right w:w="15" w:type="dxa"/>
            </w:tcMar>
            <w:vAlign w:val="center"/>
          </w:tcPr>
          <w:p>
            <w:pPr>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操作票、工作票，交接班、巡回检查、设备定期试验制度执行</w:t>
            </w:r>
          </w:p>
        </w:tc>
        <w:tc>
          <w:tcPr>
            <w:tcW w:w="1038" w:type="pct"/>
            <w:tcMar>
              <w:top w:w="15" w:type="dxa"/>
              <w:left w:w="15" w:type="dxa"/>
              <w:right w:w="15" w:type="dxa"/>
            </w:tcMar>
            <w:vAlign w:val="center"/>
          </w:tcPr>
          <w:p>
            <w:pPr>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未严格执行</w:t>
            </w:r>
          </w:p>
        </w:tc>
        <w:tc>
          <w:tcPr>
            <w:tcW w:w="1152" w:type="pct"/>
            <w:tcMar>
              <w:top w:w="15" w:type="dxa"/>
              <w:left w:w="15" w:type="dxa"/>
              <w:right w:w="15" w:type="dxa"/>
            </w:tcMar>
            <w:vAlign w:val="center"/>
          </w:tcPr>
          <w:p>
            <w:pPr>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工程及设备严重损（破）坏、人员重大伤亡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70" w:type="pct"/>
            <w:noWrap/>
            <w:tcMar>
              <w:top w:w="15" w:type="dxa"/>
              <w:left w:w="15" w:type="dxa"/>
              <w:right w:w="15" w:type="dxa"/>
            </w:tcMar>
            <w:vAlign w:val="center"/>
          </w:tcPr>
          <w:p>
            <w:pPr>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11</w:t>
            </w:r>
          </w:p>
        </w:tc>
        <w:tc>
          <w:tcPr>
            <w:tcW w:w="614" w:type="pct"/>
            <w:vMerge w:val="restart"/>
            <w:noWrap/>
            <w:tcMar>
              <w:top w:w="15" w:type="dxa"/>
              <w:left w:w="15" w:type="dxa"/>
              <w:right w:w="15" w:type="dxa"/>
            </w:tcMar>
            <w:vAlign w:val="center"/>
          </w:tcPr>
          <w:p>
            <w:pPr>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环境类</w:t>
            </w:r>
          </w:p>
        </w:tc>
        <w:tc>
          <w:tcPr>
            <w:tcW w:w="754" w:type="pct"/>
            <w:vMerge w:val="restart"/>
            <w:noWrap/>
            <w:tcMar>
              <w:top w:w="15" w:type="dxa"/>
              <w:left w:w="15" w:type="dxa"/>
              <w:right w:w="15" w:type="dxa"/>
            </w:tcMar>
            <w:vAlign w:val="center"/>
          </w:tcPr>
          <w:p>
            <w:pPr>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自然环境</w:t>
            </w:r>
          </w:p>
        </w:tc>
        <w:tc>
          <w:tcPr>
            <w:tcW w:w="1170" w:type="pct"/>
            <w:noWrap/>
            <w:tcMar>
              <w:top w:w="15" w:type="dxa"/>
              <w:left w:w="15" w:type="dxa"/>
              <w:right w:w="15" w:type="dxa"/>
            </w:tcMar>
            <w:vAlign w:val="center"/>
          </w:tcPr>
          <w:p>
            <w:pPr>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自然灾害</w:t>
            </w:r>
          </w:p>
        </w:tc>
        <w:tc>
          <w:tcPr>
            <w:tcW w:w="1038" w:type="pct"/>
            <w:tcMar>
              <w:top w:w="15" w:type="dxa"/>
              <w:left w:w="15" w:type="dxa"/>
              <w:right w:w="15" w:type="dxa"/>
            </w:tcMar>
            <w:vAlign w:val="center"/>
          </w:tcPr>
          <w:p>
            <w:pPr>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山洪、泥石流、山体滑坡等</w:t>
            </w:r>
          </w:p>
        </w:tc>
        <w:tc>
          <w:tcPr>
            <w:tcW w:w="1152" w:type="pct"/>
            <w:tcMar>
              <w:top w:w="15" w:type="dxa"/>
              <w:left w:w="15" w:type="dxa"/>
              <w:right w:w="15" w:type="dxa"/>
            </w:tcMar>
            <w:vAlign w:val="center"/>
          </w:tcPr>
          <w:p>
            <w:pPr>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工程及设备严重损（破）坏，人员重大伤亡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70" w:type="pct"/>
            <w:noWrap/>
            <w:tcMar>
              <w:top w:w="15" w:type="dxa"/>
              <w:left w:w="15" w:type="dxa"/>
              <w:right w:w="15" w:type="dxa"/>
            </w:tcMar>
            <w:vAlign w:val="center"/>
          </w:tcPr>
          <w:p>
            <w:pPr>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12</w:t>
            </w:r>
          </w:p>
        </w:tc>
        <w:tc>
          <w:tcPr>
            <w:tcW w:w="614" w:type="pct"/>
            <w:vMerge w:val="continue"/>
            <w:noWrap/>
            <w:tcMar>
              <w:top w:w="15" w:type="dxa"/>
              <w:left w:w="15" w:type="dxa"/>
              <w:right w:w="15" w:type="dxa"/>
            </w:tcMar>
            <w:vAlign w:val="center"/>
          </w:tcPr>
          <w:p>
            <w:pPr>
              <w:jc w:val="center"/>
              <w:textAlignment w:val="center"/>
              <w:rPr>
                <w:rFonts w:cs="宋体" w:asciiTheme="minorEastAsia" w:hAnsiTheme="minorEastAsia" w:eastAsiaTheme="minorEastAsia"/>
                <w:sz w:val="18"/>
                <w:szCs w:val="18"/>
                <w:lang w:bidi="ar"/>
              </w:rPr>
            </w:pPr>
          </w:p>
        </w:tc>
        <w:tc>
          <w:tcPr>
            <w:tcW w:w="754" w:type="pct"/>
            <w:vMerge w:val="continue"/>
            <w:noWrap/>
            <w:tcMar>
              <w:top w:w="15" w:type="dxa"/>
              <w:left w:w="15" w:type="dxa"/>
              <w:right w:w="15" w:type="dxa"/>
            </w:tcMar>
            <w:vAlign w:val="center"/>
          </w:tcPr>
          <w:p>
            <w:pPr>
              <w:jc w:val="center"/>
              <w:textAlignment w:val="center"/>
              <w:rPr>
                <w:rFonts w:cs="宋体" w:asciiTheme="minorEastAsia" w:hAnsiTheme="minorEastAsia" w:eastAsiaTheme="minorEastAsia"/>
                <w:sz w:val="18"/>
                <w:szCs w:val="18"/>
                <w:lang w:bidi="ar"/>
              </w:rPr>
            </w:pPr>
          </w:p>
        </w:tc>
        <w:tc>
          <w:tcPr>
            <w:tcW w:w="1170" w:type="pct"/>
            <w:noWrap/>
            <w:tcMar>
              <w:top w:w="15" w:type="dxa"/>
              <w:left w:w="15" w:type="dxa"/>
              <w:right w:w="15" w:type="dxa"/>
            </w:tcMar>
            <w:vAlign w:val="center"/>
          </w:tcPr>
          <w:p>
            <w:pPr>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洪水位超防洪标准</w:t>
            </w:r>
          </w:p>
        </w:tc>
        <w:tc>
          <w:tcPr>
            <w:tcW w:w="1038" w:type="pct"/>
            <w:tcMar>
              <w:top w:w="15" w:type="dxa"/>
              <w:left w:w="15" w:type="dxa"/>
              <w:right w:w="15" w:type="dxa"/>
            </w:tcMar>
            <w:vAlign w:val="center"/>
          </w:tcPr>
          <w:p>
            <w:pPr>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超保证水位运行</w:t>
            </w:r>
          </w:p>
        </w:tc>
        <w:tc>
          <w:tcPr>
            <w:tcW w:w="1152" w:type="pct"/>
            <w:tcMar>
              <w:top w:w="15" w:type="dxa"/>
              <w:left w:w="15" w:type="dxa"/>
              <w:right w:w="15" w:type="dxa"/>
            </w:tcMar>
            <w:vAlign w:val="center"/>
          </w:tcPr>
          <w:p>
            <w:pPr>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水淹厂房和周边设施等、人员伤亡</w:t>
            </w:r>
          </w:p>
        </w:tc>
      </w:tr>
    </w:tbl>
    <w:p>
      <w:pPr>
        <w:widowControl w:val="0"/>
        <w:adjustRightInd w:val="0"/>
        <w:snapToGrid w:val="0"/>
        <w:spacing w:line="360" w:lineRule="auto"/>
        <w:ind w:firstLine="400" w:firstLineChars="200"/>
        <w:jc w:val="center"/>
        <w:rPr>
          <w:rFonts w:ascii="Times New Roman" w:eastAsia="黑体"/>
          <w:bCs/>
          <w:sz w:val="20"/>
          <w:szCs w:val="20"/>
        </w:rPr>
      </w:pPr>
    </w:p>
    <w:p>
      <w:pPr>
        <w:rPr>
          <w:rFonts w:asciiTheme="minorEastAsia" w:hAnsiTheme="minorEastAsia" w:eastAsiaTheme="minorEastAsia"/>
          <w:strike/>
          <w:sz w:val="21"/>
          <w:szCs w:val="21"/>
        </w:rPr>
        <w:sectPr>
          <w:pgSz w:w="11906" w:h="16838"/>
          <w:pgMar w:top="1440" w:right="1797" w:bottom="1440" w:left="1797" w:header="851" w:footer="992" w:gutter="0"/>
          <w:cols w:space="425" w:num="1"/>
          <w:docGrid w:type="lines" w:linePitch="435" w:charSpace="0"/>
        </w:sectPr>
      </w:pPr>
    </w:p>
    <w:p>
      <w:pPr>
        <w:jc w:val="center"/>
        <w:outlineLvl w:val="0"/>
        <w:rPr>
          <w:rFonts w:ascii="方正小标宋_GBK" w:hAnsi="黑体" w:eastAsia="方正小标宋_GBK"/>
          <w:b/>
          <w:bCs/>
          <w:sz w:val="28"/>
          <w:szCs w:val="28"/>
        </w:rPr>
      </w:pPr>
      <w:bookmarkStart w:id="108" w:name="_Hlk117455891"/>
      <w:bookmarkStart w:id="109" w:name="_Toc117541307"/>
      <w:bookmarkStart w:id="110" w:name="_Toc119336588"/>
      <w:r>
        <w:rPr>
          <w:rFonts w:hint="eastAsia" w:ascii="方正小标宋_GBK" w:hAnsi="黑体" w:eastAsia="方正小标宋_GBK"/>
          <w:b/>
          <w:bCs/>
          <w:sz w:val="28"/>
          <w:szCs w:val="28"/>
        </w:rPr>
        <w:t>附录A.8</w:t>
      </w:r>
      <w:bookmarkEnd w:id="108"/>
      <w:bookmarkEnd w:id="109"/>
      <w:bookmarkEnd w:id="110"/>
    </w:p>
    <w:p>
      <w:pPr>
        <w:jc w:val="center"/>
        <w:rPr>
          <w:rFonts w:ascii="方正小标宋_GBK" w:hAnsi="黑体" w:eastAsia="方正小标宋_GBK"/>
          <w:b/>
          <w:bCs/>
          <w:sz w:val="28"/>
          <w:szCs w:val="28"/>
        </w:rPr>
      </w:pPr>
      <w:r>
        <w:rPr>
          <w:rFonts w:hint="eastAsia" w:ascii="方正小标宋_GBK" w:hAnsi="黑体" w:eastAsia="方正小标宋_GBK"/>
          <w:b/>
          <w:bCs/>
          <w:sz w:val="28"/>
          <w:szCs w:val="28"/>
        </w:rPr>
        <w:t>（资料性附录）</w:t>
      </w:r>
    </w:p>
    <w:p>
      <w:pPr>
        <w:jc w:val="center"/>
        <w:rPr>
          <w:rFonts w:ascii="方正小标宋_GBK" w:hAnsi="黑体" w:eastAsia="方正小标宋_GBK"/>
          <w:b/>
          <w:bCs/>
          <w:sz w:val="28"/>
          <w:szCs w:val="28"/>
        </w:rPr>
      </w:pPr>
    </w:p>
    <w:p>
      <w:pPr>
        <w:jc w:val="center"/>
        <w:outlineLvl w:val="1"/>
        <w:rPr>
          <w:rFonts w:ascii="方正小标宋_GBK" w:hAnsi="黑体" w:eastAsia="方正小标宋_GBK"/>
          <w:b/>
          <w:bCs/>
          <w:sz w:val="28"/>
          <w:szCs w:val="28"/>
        </w:rPr>
      </w:pPr>
      <w:bookmarkStart w:id="111" w:name="_Toc119336589"/>
      <w:bookmarkStart w:id="112" w:name="_Toc117541308"/>
      <w:r>
        <w:rPr>
          <w:rFonts w:hint="eastAsia" w:ascii="方正小标宋_GBK" w:hAnsi="黑体" w:eastAsia="方正小标宋_GBK"/>
          <w:b/>
          <w:bCs/>
          <w:sz w:val="28"/>
          <w:szCs w:val="28"/>
        </w:rPr>
        <w:t>泵站工程运行重大危险源清单</w:t>
      </w:r>
      <w:bookmarkEnd w:id="111"/>
      <w:bookmarkEnd w:id="112"/>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
        <w:gridCol w:w="981"/>
        <w:gridCol w:w="1196"/>
        <w:gridCol w:w="1604"/>
        <w:gridCol w:w="1908"/>
        <w:gridCol w:w="23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324" w:type="dxa"/>
            <w:noWrap/>
            <w:tcMar>
              <w:top w:w="15" w:type="dxa"/>
              <w:left w:w="15" w:type="dxa"/>
              <w:right w:w="15" w:type="dxa"/>
            </w:tcMar>
            <w:vAlign w:val="center"/>
          </w:tcPr>
          <w:p>
            <w:pPr>
              <w:jc w:val="center"/>
              <w:textAlignment w:val="center"/>
              <w:rPr>
                <w:rFonts w:cs="黑体" w:asciiTheme="minorEastAsia" w:hAnsiTheme="minorEastAsia" w:eastAsiaTheme="minorEastAsia"/>
                <w:b/>
                <w:bCs/>
                <w:sz w:val="21"/>
                <w:szCs w:val="21"/>
              </w:rPr>
            </w:pPr>
            <w:r>
              <w:rPr>
                <w:rFonts w:hint="eastAsia" w:cs="黑体" w:asciiTheme="minorEastAsia" w:hAnsiTheme="minorEastAsia" w:eastAsiaTheme="minorEastAsia"/>
                <w:b/>
                <w:bCs/>
                <w:sz w:val="21"/>
                <w:szCs w:val="21"/>
                <w:lang w:bidi="ar"/>
              </w:rPr>
              <w:t>序号</w:t>
            </w:r>
          </w:p>
        </w:tc>
        <w:tc>
          <w:tcPr>
            <w:tcW w:w="981" w:type="dxa"/>
            <w:tcMar>
              <w:top w:w="15" w:type="dxa"/>
              <w:left w:w="15" w:type="dxa"/>
              <w:right w:w="15" w:type="dxa"/>
            </w:tcMar>
            <w:vAlign w:val="center"/>
          </w:tcPr>
          <w:p>
            <w:pPr>
              <w:jc w:val="center"/>
              <w:textAlignment w:val="center"/>
              <w:rPr>
                <w:rFonts w:cs="黑体" w:asciiTheme="minorEastAsia" w:hAnsiTheme="minorEastAsia" w:eastAsiaTheme="minorEastAsia"/>
                <w:b/>
                <w:bCs/>
                <w:sz w:val="21"/>
                <w:szCs w:val="21"/>
              </w:rPr>
            </w:pPr>
            <w:r>
              <w:rPr>
                <w:rFonts w:hint="eastAsia" w:cs="黑体" w:asciiTheme="minorEastAsia" w:hAnsiTheme="minorEastAsia" w:eastAsiaTheme="minorEastAsia"/>
                <w:b/>
                <w:bCs/>
                <w:sz w:val="21"/>
                <w:szCs w:val="21"/>
                <w:lang w:bidi="ar"/>
              </w:rPr>
              <w:t>类别</w:t>
            </w:r>
          </w:p>
        </w:tc>
        <w:tc>
          <w:tcPr>
            <w:tcW w:w="1196" w:type="dxa"/>
            <w:tcMar>
              <w:top w:w="15" w:type="dxa"/>
              <w:left w:w="15" w:type="dxa"/>
              <w:right w:w="15" w:type="dxa"/>
            </w:tcMar>
            <w:vAlign w:val="center"/>
          </w:tcPr>
          <w:p>
            <w:pPr>
              <w:jc w:val="center"/>
              <w:textAlignment w:val="center"/>
              <w:rPr>
                <w:rFonts w:cs="黑体" w:asciiTheme="minorEastAsia" w:hAnsiTheme="minorEastAsia" w:eastAsiaTheme="minorEastAsia"/>
                <w:b/>
                <w:bCs/>
                <w:sz w:val="21"/>
                <w:szCs w:val="21"/>
              </w:rPr>
            </w:pPr>
            <w:r>
              <w:rPr>
                <w:rFonts w:hint="eastAsia" w:cs="黑体" w:asciiTheme="minorEastAsia" w:hAnsiTheme="minorEastAsia" w:eastAsiaTheme="minorEastAsia"/>
                <w:b/>
                <w:bCs/>
                <w:sz w:val="21"/>
                <w:szCs w:val="21"/>
                <w:lang w:bidi="ar"/>
              </w:rPr>
              <w:t>项目</w:t>
            </w:r>
          </w:p>
        </w:tc>
        <w:tc>
          <w:tcPr>
            <w:tcW w:w="1604" w:type="dxa"/>
            <w:tcMar>
              <w:top w:w="15" w:type="dxa"/>
              <w:left w:w="15" w:type="dxa"/>
              <w:right w:w="15" w:type="dxa"/>
            </w:tcMar>
            <w:vAlign w:val="center"/>
          </w:tcPr>
          <w:p>
            <w:pPr>
              <w:jc w:val="center"/>
              <w:textAlignment w:val="center"/>
              <w:rPr>
                <w:rFonts w:cs="黑体" w:asciiTheme="minorEastAsia" w:hAnsiTheme="minorEastAsia" w:eastAsiaTheme="minorEastAsia"/>
                <w:b/>
                <w:bCs/>
                <w:sz w:val="21"/>
                <w:szCs w:val="21"/>
              </w:rPr>
            </w:pPr>
            <w:r>
              <w:rPr>
                <w:rFonts w:hint="eastAsia" w:cs="黑体" w:asciiTheme="minorEastAsia" w:hAnsiTheme="minorEastAsia" w:eastAsiaTheme="minorEastAsia"/>
                <w:b/>
                <w:bCs/>
                <w:sz w:val="21"/>
                <w:szCs w:val="21"/>
                <w:lang w:bidi="ar"/>
              </w:rPr>
              <w:t>重大危险源</w:t>
            </w:r>
          </w:p>
        </w:tc>
        <w:tc>
          <w:tcPr>
            <w:tcW w:w="1908" w:type="dxa"/>
            <w:noWrap/>
            <w:tcMar>
              <w:top w:w="15" w:type="dxa"/>
              <w:left w:w="15" w:type="dxa"/>
              <w:right w:w="15" w:type="dxa"/>
            </w:tcMar>
            <w:vAlign w:val="center"/>
          </w:tcPr>
          <w:p>
            <w:pPr>
              <w:jc w:val="center"/>
              <w:textAlignment w:val="center"/>
              <w:rPr>
                <w:rFonts w:cs="黑体" w:asciiTheme="minorEastAsia" w:hAnsiTheme="minorEastAsia" w:eastAsiaTheme="minorEastAsia"/>
                <w:b/>
                <w:bCs/>
                <w:sz w:val="21"/>
                <w:szCs w:val="21"/>
                <w:lang w:bidi="ar"/>
              </w:rPr>
            </w:pPr>
            <w:r>
              <w:rPr>
                <w:rFonts w:hint="eastAsia" w:cs="黑体" w:asciiTheme="minorEastAsia" w:hAnsiTheme="minorEastAsia" w:eastAsiaTheme="minorEastAsia"/>
                <w:b/>
                <w:bCs/>
                <w:sz w:val="21"/>
                <w:szCs w:val="21"/>
                <w:lang w:bidi="ar"/>
              </w:rPr>
              <w:t>事故诱因</w:t>
            </w:r>
          </w:p>
        </w:tc>
        <w:tc>
          <w:tcPr>
            <w:tcW w:w="2320" w:type="dxa"/>
            <w:noWrap/>
            <w:tcMar>
              <w:top w:w="15" w:type="dxa"/>
              <w:left w:w="15" w:type="dxa"/>
              <w:right w:w="15" w:type="dxa"/>
            </w:tcMar>
            <w:vAlign w:val="center"/>
          </w:tcPr>
          <w:p>
            <w:pPr>
              <w:jc w:val="center"/>
              <w:textAlignment w:val="center"/>
              <w:rPr>
                <w:rFonts w:cs="黑体" w:asciiTheme="minorEastAsia" w:hAnsiTheme="minorEastAsia" w:eastAsiaTheme="minorEastAsia"/>
                <w:b/>
                <w:bCs/>
                <w:sz w:val="21"/>
                <w:szCs w:val="21"/>
              </w:rPr>
            </w:pPr>
            <w:r>
              <w:rPr>
                <w:rFonts w:hint="eastAsia" w:cs="黑体" w:asciiTheme="minorEastAsia" w:hAnsiTheme="minorEastAsia" w:eastAsiaTheme="minorEastAsia"/>
                <w:b/>
                <w:bCs/>
                <w:sz w:val="21"/>
                <w:szCs w:val="21"/>
                <w:lang w:bidi="ar"/>
              </w:rPr>
              <w:t>可能导致的后果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324" w:type="dxa"/>
            <w:noWrap/>
            <w:tcMar>
              <w:top w:w="15" w:type="dxa"/>
              <w:left w:w="15" w:type="dxa"/>
              <w:right w:w="15" w:type="dxa"/>
            </w:tcMar>
            <w:vAlign w:val="center"/>
          </w:tcPr>
          <w:p>
            <w:pPr>
              <w:jc w:val="center"/>
              <w:textAlignment w:val="center"/>
              <w:rPr>
                <w:rFonts w:asciiTheme="minorEastAsia" w:hAnsiTheme="minorEastAsia" w:eastAsiaTheme="minorEastAsia"/>
                <w:sz w:val="18"/>
                <w:szCs w:val="18"/>
              </w:rPr>
            </w:pPr>
            <w:r>
              <w:rPr>
                <w:rFonts w:asciiTheme="minorEastAsia" w:hAnsiTheme="minorEastAsia" w:eastAsiaTheme="minorEastAsia"/>
                <w:sz w:val="18"/>
                <w:szCs w:val="18"/>
                <w:lang w:bidi="ar"/>
              </w:rPr>
              <w:t>1</w:t>
            </w:r>
          </w:p>
        </w:tc>
        <w:tc>
          <w:tcPr>
            <w:tcW w:w="981" w:type="dxa"/>
            <w:tcMar>
              <w:top w:w="15" w:type="dxa"/>
              <w:left w:w="15" w:type="dxa"/>
              <w:right w:w="15" w:type="dxa"/>
            </w:tcMar>
            <w:vAlign w:val="center"/>
          </w:tcPr>
          <w:p>
            <w:pPr>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构（建）筑物类</w:t>
            </w:r>
          </w:p>
        </w:tc>
        <w:tc>
          <w:tcPr>
            <w:tcW w:w="1196" w:type="dxa"/>
            <w:tcMar>
              <w:top w:w="15" w:type="dxa"/>
              <w:left w:w="15" w:type="dxa"/>
              <w:right w:w="15" w:type="dxa"/>
            </w:tcMar>
            <w:vAlign w:val="center"/>
          </w:tcPr>
          <w:p>
            <w:pPr>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进、出水建筑物</w:t>
            </w:r>
          </w:p>
        </w:tc>
        <w:tc>
          <w:tcPr>
            <w:tcW w:w="1604" w:type="dxa"/>
            <w:tcMar>
              <w:top w:w="15" w:type="dxa"/>
              <w:left w:w="15" w:type="dxa"/>
              <w:right w:w="15" w:type="dxa"/>
            </w:tcMar>
            <w:vAlign w:val="center"/>
          </w:tcPr>
          <w:p>
            <w:pPr>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穿堤涵洞</w:t>
            </w:r>
          </w:p>
        </w:tc>
        <w:tc>
          <w:tcPr>
            <w:tcW w:w="1908" w:type="dxa"/>
            <w:tcMar>
              <w:top w:w="15" w:type="dxa"/>
              <w:left w:w="15" w:type="dxa"/>
              <w:right w:w="15" w:type="dxa"/>
            </w:tcMar>
            <w:vAlign w:val="center"/>
          </w:tcPr>
          <w:p>
            <w:pPr>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变形、开裂、止水失效</w:t>
            </w:r>
          </w:p>
        </w:tc>
        <w:tc>
          <w:tcPr>
            <w:tcW w:w="2320" w:type="dxa"/>
            <w:tcMar>
              <w:top w:w="15" w:type="dxa"/>
              <w:left w:w="15" w:type="dxa"/>
              <w:right w:w="15" w:type="dxa"/>
            </w:tcMar>
            <w:vAlign w:val="center"/>
          </w:tcPr>
          <w:p>
            <w:pPr>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堤防渗漏、破坏、水淹站区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324" w:type="dxa"/>
            <w:noWrap/>
            <w:tcMar>
              <w:top w:w="15" w:type="dxa"/>
              <w:left w:w="15" w:type="dxa"/>
              <w:right w:w="15" w:type="dxa"/>
            </w:tcMar>
            <w:vAlign w:val="center"/>
          </w:tcPr>
          <w:p>
            <w:pPr>
              <w:jc w:val="center"/>
              <w:textAlignment w:val="center"/>
              <w:rPr>
                <w:rFonts w:asciiTheme="minorEastAsia" w:hAnsiTheme="minorEastAsia" w:eastAsiaTheme="minorEastAsia"/>
                <w:sz w:val="18"/>
                <w:szCs w:val="18"/>
                <w:lang w:bidi="ar"/>
              </w:rPr>
            </w:pPr>
            <w:r>
              <w:rPr>
                <w:rFonts w:hint="eastAsia" w:asciiTheme="minorEastAsia" w:hAnsiTheme="minorEastAsia" w:eastAsiaTheme="minorEastAsia"/>
                <w:sz w:val="18"/>
                <w:szCs w:val="18"/>
                <w:lang w:bidi="ar"/>
              </w:rPr>
              <w:t>2</w:t>
            </w:r>
          </w:p>
        </w:tc>
        <w:tc>
          <w:tcPr>
            <w:tcW w:w="981" w:type="dxa"/>
            <w:tcMar>
              <w:top w:w="15" w:type="dxa"/>
              <w:left w:w="15" w:type="dxa"/>
              <w:right w:w="15" w:type="dxa"/>
            </w:tcMar>
            <w:vAlign w:val="center"/>
          </w:tcPr>
          <w:p>
            <w:pPr>
              <w:jc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rPr>
              <w:t>金属结构类</w:t>
            </w:r>
          </w:p>
        </w:tc>
        <w:tc>
          <w:tcPr>
            <w:tcW w:w="1196" w:type="dxa"/>
            <w:tcMar>
              <w:top w:w="15" w:type="dxa"/>
              <w:left w:w="15" w:type="dxa"/>
              <w:right w:w="15" w:type="dxa"/>
            </w:tcMar>
            <w:vAlign w:val="center"/>
          </w:tcPr>
          <w:p>
            <w:pPr>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压力钢管</w:t>
            </w:r>
          </w:p>
        </w:tc>
        <w:tc>
          <w:tcPr>
            <w:tcW w:w="1604" w:type="dxa"/>
            <w:tcMar>
              <w:top w:w="15" w:type="dxa"/>
              <w:left w:w="15" w:type="dxa"/>
              <w:right w:w="15" w:type="dxa"/>
            </w:tcMar>
            <w:vAlign w:val="center"/>
          </w:tcPr>
          <w:p>
            <w:pPr>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压力钢管、阀组、伸缩节</w:t>
            </w:r>
          </w:p>
        </w:tc>
        <w:tc>
          <w:tcPr>
            <w:tcW w:w="1908" w:type="dxa"/>
            <w:tcMar>
              <w:top w:w="15" w:type="dxa"/>
              <w:left w:w="15" w:type="dxa"/>
              <w:right w:w="15" w:type="dxa"/>
            </w:tcMar>
            <w:vAlign w:val="center"/>
          </w:tcPr>
          <w:p>
            <w:pPr>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变形、锈蚀、未定期检验、紧急关阀、水锤防护设施失效</w:t>
            </w:r>
          </w:p>
        </w:tc>
        <w:tc>
          <w:tcPr>
            <w:tcW w:w="2320" w:type="dxa"/>
            <w:tcMar>
              <w:top w:w="15" w:type="dxa"/>
              <w:left w:w="15" w:type="dxa"/>
              <w:right w:w="15" w:type="dxa"/>
            </w:tcMar>
            <w:vAlign w:val="center"/>
          </w:tcPr>
          <w:p>
            <w:pPr>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爆管、顶部溢水、塌陷、漏水、水淹厂房及周边设施等、人员伤亡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324" w:type="dxa"/>
            <w:noWrap/>
            <w:tcMar>
              <w:top w:w="15" w:type="dxa"/>
              <w:left w:w="15" w:type="dxa"/>
              <w:right w:w="15" w:type="dxa"/>
            </w:tcMar>
            <w:vAlign w:val="center"/>
          </w:tcPr>
          <w:p>
            <w:pPr>
              <w:jc w:val="center"/>
              <w:textAlignment w:val="center"/>
              <w:rPr>
                <w:rFonts w:asciiTheme="minorEastAsia" w:hAnsiTheme="minorEastAsia" w:eastAsiaTheme="minorEastAsia"/>
                <w:sz w:val="18"/>
                <w:szCs w:val="18"/>
              </w:rPr>
            </w:pPr>
            <w:r>
              <w:rPr>
                <w:rFonts w:hint="eastAsia" w:asciiTheme="minorEastAsia" w:hAnsiTheme="minorEastAsia" w:eastAsiaTheme="minorEastAsia"/>
                <w:sz w:val="18"/>
                <w:szCs w:val="18"/>
                <w:lang w:bidi="ar"/>
              </w:rPr>
              <w:t>3</w:t>
            </w:r>
          </w:p>
        </w:tc>
        <w:tc>
          <w:tcPr>
            <w:tcW w:w="981" w:type="dxa"/>
            <w:vMerge w:val="restart"/>
            <w:tcMar>
              <w:top w:w="15" w:type="dxa"/>
              <w:left w:w="15" w:type="dxa"/>
              <w:right w:w="15" w:type="dxa"/>
            </w:tcMar>
            <w:vAlign w:val="center"/>
          </w:tcPr>
          <w:p>
            <w:pPr>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设备设施类</w:t>
            </w:r>
          </w:p>
        </w:tc>
        <w:tc>
          <w:tcPr>
            <w:tcW w:w="1196" w:type="dxa"/>
            <w:tcMar>
              <w:top w:w="15" w:type="dxa"/>
              <w:left w:w="15" w:type="dxa"/>
              <w:right w:w="15" w:type="dxa"/>
            </w:tcMar>
            <w:vAlign w:val="center"/>
          </w:tcPr>
          <w:p>
            <w:pPr>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电气设备</w:t>
            </w:r>
          </w:p>
        </w:tc>
        <w:tc>
          <w:tcPr>
            <w:tcW w:w="1604" w:type="dxa"/>
            <w:tcMar>
              <w:top w:w="15" w:type="dxa"/>
              <w:left w:w="15" w:type="dxa"/>
              <w:right w:w="15" w:type="dxa"/>
            </w:tcMar>
            <w:vAlign w:val="center"/>
          </w:tcPr>
          <w:p>
            <w:pPr>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配电设备</w:t>
            </w:r>
          </w:p>
        </w:tc>
        <w:tc>
          <w:tcPr>
            <w:tcW w:w="1908" w:type="dxa"/>
            <w:noWrap/>
            <w:tcMar>
              <w:top w:w="15" w:type="dxa"/>
              <w:left w:w="15" w:type="dxa"/>
              <w:right w:w="15" w:type="dxa"/>
            </w:tcMar>
            <w:vAlign w:val="center"/>
          </w:tcPr>
          <w:p>
            <w:pPr>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设备失效</w:t>
            </w:r>
          </w:p>
        </w:tc>
        <w:tc>
          <w:tcPr>
            <w:tcW w:w="2320" w:type="dxa"/>
            <w:noWrap/>
            <w:tcMar>
              <w:top w:w="15" w:type="dxa"/>
              <w:left w:w="15" w:type="dxa"/>
              <w:right w:w="15" w:type="dxa"/>
            </w:tcMar>
            <w:vAlign w:val="center"/>
          </w:tcPr>
          <w:p>
            <w:pPr>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触电、短路、火灾、人员重大伤亡、设备损坏、影响泵站运行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324" w:type="dxa"/>
            <w:noWrap/>
            <w:tcMar>
              <w:top w:w="15" w:type="dxa"/>
              <w:left w:w="15" w:type="dxa"/>
              <w:right w:w="15" w:type="dxa"/>
            </w:tcMar>
            <w:vAlign w:val="center"/>
          </w:tcPr>
          <w:p>
            <w:pPr>
              <w:jc w:val="center"/>
              <w:textAlignment w:val="center"/>
              <w:rPr>
                <w:rFonts w:asciiTheme="minorEastAsia" w:hAnsiTheme="minorEastAsia" w:eastAsiaTheme="minorEastAsia"/>
                <w:sz w:val="18"/>
                <w:szCs w:val="18"/>
              </w:rPr>
            </w:pPr>
            <w:r>
              <w:rPr>
                <w:rFonts w:hint="eastAsia" w:asciiTheme="minorEastAsia" w:hAnsiTheme="minorEastAsia" w:eastAsiaTheme="minorEastAsia"/>
                <w:sz w:val="18"/>
                <w:szCs w:val="18"/>
                <w:lang w:bidi="ar"/>
              </w:rPr>
              <w:t>4</w:t>
            </w:r>
          </w:p>
        </w:tc>
        <w:tc>
          <w:tcPr>
            <w:tcW w:w="981" w:type="dxa"/>
            <w:vMerge w:val="continue"/>
            <w:tcMar>
              <w:top w:w="15" w:type="dxa"/>
              <w:left w:w="15" w:type="dxa"/>
              <w:right w:w="15" w:type="dxa"/>
            </w:tcMar>
            <w:vAlign w:val="center"/>
          </w:tcPr>
          <w:p>
            <w:pPr>
              <w:jc w:val="center"/>
              <w:rPr>
                <w:rFonts w:cs="宋体" w:asciiTheme="minorEastAsia" w:hAnsiTheme="minorEastAsia" w:eastAsiaTheme="minorEastAsia"/>
                <w:sz w:val="18"/>
                <w:szCs w:val="18"/>
              </w:rPr>
            </w:pPr>
          </w:p>
        </w:tc>
        <w:tc>
          <w:tcPr>
            <w:tcW w:w="1196" w:type="dxa"/>
            <w:tcMar>
              <w:top w:w="15" w:type="dxa"/>
              <w:left w:w="15" w:type="dxa"/>
              <w:right w:w="15" w:type="dxa"/>
            </w:tcMar>
            <w:vAlign w:val="center"/>
          </w:tcPr>
          <w:p>
            <w:pPr>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特种设备类</w:t>
            </w:r>
          </w:p>
        </w:tc>
        <w:tc>
          <w:tcPr>
            <w:tcW w:w="1604" w:type="dxa"/>
            <w:tcMar>
              <w:top w:w="15" w:type="dxa"/>
              <w:left w:w="15" w:type="dxa"/>
              <w:right w:w="15" w:type="dxa"/>
            </w:tcMar>
            <w:vAlign w:val="center"/>
          </w:tcPr>
          <w:p>
            <w:pPr>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起重设备</w:t>
            </w:r>
          </w:p>
        </w:tc>
        <w:tc>
          <w:tcPr>
            <w:tcW w:w="1908" w:type="dxa"/>
            <w:noWrap/>
            <w:tcMar>
              <w:top w:w="15" w:type="dxa"/>
              <w:left w:w="15" w:type="dxa"/>
              <w:right w:w="15" w:type="dxa"/>
            </w:tcMar>
            <w:vAlign w:val="center"/>
          </w:tcPr>
          <w:p>
            <w:pPr>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未经常性维护保养、自行检查和定期检验</w:t>
            </w:r>
          </w:p>
        </w:tc>
        <w:tc>
          <w:tcPr>
            <w:tcW w:w="2320" w:type="dxa"/>
            <w:noWrap/>
            <w:tcMar>
              <w:top w:w="15" w:type="dxa"/>
              <w:left w:w="15" w:type="dxa"/>
              <w:right w:w="15" w:type="dxa"/>
            </w:tcMar>
            <w:vAlign w:val="center"/>
          </w:tcPr>
          <w:p>
            <w:pPr>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设备严重损坏、人员伤亡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324" w:type="dxa"/>
            <w:noWrap/>
            <w:tcMar>
              <w:top w:w="15" w:type="dxa"/>
              <w:left w:w="15" w:type="dxa"/>
              <w:right w:w="15" w:type="dxa"/>
            </w:tcMar>
            <w:vAlign w:val="center"/>
          </w:tcPr>
          <w:p>
            <w:pPr>
              <w:jc w:val="center"/>
              <w:textAlignment w:val="center"/>
              <w:rPr>
                <w:rFonts w:asciiTheme="minorEastAsia" w:hAnsiTheme="minorEastAsia" w:eastAsiaTheme="minorEastAsia"/>
                <w:sz w:val="18"/>
                <w:szCs w:val="18"/>
              </w:rPr>
            </w:pPr>
            <w:r>
              <w:rPr>
                <w:rFonts w:hint="eastAsia" w:asciiTheme="minorEastAsia" w:hAnsiTheme="minorEastAsia" w:eastAsiaTheme="minorEastAsia"/>
                <w:sz w:val="18"/>
                <w:szCs w:val="18"/>
                <w:lang w:bidi="ar"/>
              </w:rPr>
              <w:t>5</w:t>
            </w:r>
          </w:p>
        </w:tc>
        <w:tc>
          <w:tcPr>
            <w:tcW w:w="981" w:type="dxa"/>
            <w:vMerge w:val="restart"/>
            <w:noWrap/>
            <w:tcMar>
              <w:top w:w="15" w:type="dxa"/>
              <w:left w:w="15" w:type="dxa"/>
              <w:right w:w="15" w:type="dxa"/>
            </w:tcMar>
            <w:vAlign w:val="center"/>
          </w:tcPr>
          <w:p>
            <w:pPr>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作业活动类</w:t>
            </w:r>
          </w:p>
        </w:tc>
        <w:tc>
          <w:tcPr>
            <w:tcW w:w="1196" w:type="dxa"/>
            <w:vMerge w:val="restart"/>
            <w:noWrap/>
            <w:tcMar>
              <w:top w:w="15" w:type="dxa"/>
              <w:left w:w="15" w:type="dxa"/>
              <w:right w:w="15" w:type="dxa"/>
            </w:tcMar>
            <w:vAlign w:val="center"/>
          </w:tcPr>
          <w:p>
            <w:pPr>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作业活动</w:t>
            </w:r>
          </w:p>
        </w:tc>
        <w:tc>
          <w:tcPr>
            <w:tcW w:w="1604" w:type="dxa"/>
            <w:noWrap/>
            <w:tcMar>
              <w:top w:w="15" w:type="dxa"/>
              <w:left w:w="15" w:type="dxa"/>
              <w:right w:w="15" w:type="dxa"/>
            </w:tcMar>
            <w:vAlign w:val="center"/>
          </w:tcPr>
          <w:p>
            <w:pPr>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高处作业</w:t>
            </w:r>
          </w:p>
        </w:tc>
        <w:tc>
          <w:tcPr>
            <w:tcW w:w="1908" w:type="dxa"/>
            <w:vMerge w:val="restart"/>
            <w:noWrap/>
            <w:tcMar>
              <w:top w:w="15" w:type="dxa"/>
              <w:left w:w="15" w:type="dxa"/>
              <w:right w:w="15" w:type="dxa"/>
            </w:tcMar>
            <w:vAlign w:val="center"/>
          </w:tcPr>
          <w:p>
            <w:pPr>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违章指挥、违章操作、违反劳动纪律、未正确使用防护用品</w:t>
            </w:r>
          </w:p>
        </w:tc>
        <w:tc>
          <w:tcPr>
            <w:tcW w:w="2320" w:type="dxa"/>
            <w:noWrap/>
            <w:tcMar>
              <w:top w:w="15" w:type="dxa"/>
              <w:left w:w="15" w:type="dxa"/>
              <w:right w:w="15" w:type="dxa"/>
            </w:tcMar>
            <w:vAlign w:val="center"/>
          </w:tcPr>
          <w:p>
            <w:pPr>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高处坠落、物体打击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324" w:type="dxa"/>
            <w:noWrap/>
            <w:tcMar>
              <w:top w:w="15" w:type="dxa"/>
              <w:left w:w="15" w:type="dxa"/>
              <w:right w:w="15" w:type="dxa"/>
            </w:tcMar>
            <w:vAlign w:val="center"/>
          </w:tcPr>
          <w:p>
            <w:pPr>
              <w:jc w:val="center"/>
              <w:textAlignment w:val="center"/>
              <w:rPr>
                <w:rFonts w:asciiTheme="minorEastAsia" w:hAnsiTheme="minorEastAsia" w:eastAsiaTheme="minorEastAsia"/>
                <w:sz w:val="18"/>
                <w:szCs w:val="18"/>
              </w:rPr>
            </w:pPr>
            <w:r>
              <w:rPr>
                <w:rFonts w:hint="eastAsia" w:asciiTheme="minorEastAsia" w:hAnsiTheme="minorEastAsia" w:eastAsiaTheme="minorEastAsia"/>
                <w:sz w:val="18"/>
                <w:szCs w:val="18"/>
                <w:lang w:bidi="ar"/>
              </w:rPr>
              <w:t>6</w:t>
            </w:r>
          </w:p>
        </w:tc>
        <w:tc>
          <w:tcPr>
            <w:tcW w:w="981" w:type="dxa"/>
            <w:vMerge w:val="continue"/>
            <w:noWrap/>
            <w:tcMar>
              <w:top w:w="15" w:type="dxa"/>
              <w:left w:w="15" w:type="dxa"/>
              <w:right w:w="15" w:type="dxa"/>
            </w:tcMar>
            <w:vAlign w:val="center"/>
          </w:tcPr>
          <w:p>
            <w:pPr>
              <w:jc w:val="center"/>
              <w:rPr>
                <w:rFonts w:cs="宋体" w:asciiTheme="minorEastAsia" w:hAnsiTheme="minorEastAsia" w:eastAsiaTheme="minorEastAsia"/>
                <w:sz w:val="18"/>
                <w:szCs w:val="18"/>
              </w:rPr>
            </w:pPr>
          </w:p>
        </w:tc>
        <w:tc>
          <w:tcPr>
            <w:tcW w:w="1196" w:type="dxa"/>
            <w:vMerge w:val="continue"/>
            <w:noWrap/>
            <w:tcMar>
              <w:top w:w="15" w:type="dxa"/>
              <w:left w:w="15" w:type="dxa"/>
              <w:right w:w="15" w:type="dxa"/>
            </w:tcMar>
            <w:vAlign w:val="center"/>
          </w:tcPr>
          <w:p>
            <w:pPr>
              <w:jc w:val="center"/>
              <w:rPr>
                <w:rFonts w:cs="宋体" w:asciiTheme="minorEastAsia" w:hAnsiTheme="minorEastAsia" w:eastAsiaTheme="minorEastAsia"/>
                <w:sz w:val="18"/>
                <w:szCs w:val="18"/>
              </w:rPr>
            </w:pPr>
          </w:p>
        </w:tc>
        <w:tc>
          <w:tcPr>
            <w:tcW w:w="1604" w:type="dxa"/>
            <w:noWrap/>
            <w:tcMar>
              <w:top w:w="15" w:type="dxa"/>
              <w:left w:w="15" w:type="dxa"/>
              <w:right w:w="15" w:type="dxa"/>
            </w:tcMar>
            <w:vAlign w:val="center"/>
          </w:tcPr>
          <w:p>
            <w:pPr>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有限空间作业</w:t>
            </w:r>
          </w:p>
        </w:tc>
        <w:tc>
          <w:tcPr>
            <w:tcW w:w="1908" w:type="dxa"/>
            <w:vMerge w:val="continue"/>
            <w:noWrap/>
            <w:tcMar>
              <w:top w:w="15" w:type="dxa"/>
              <w:left w:w="15" w:type="dxa"/>
              <w:right w:w="15" w:type="dxa"/>
            </w:tcMar>
            <w:vAlign w:val="center"/>
          </w:tcPr>
          <w:p>
            <w:pPr>
              <w:jc w:val="center"/>
              <w:textAlignment w:val="center"/>
              <w:rPr>
                <w:rFonts w:cs="宋体" w:asciiTheme="minorEastAsia" w:hAnsiTheme="minorEastAsia" w:eastAsiaTheme="minorEastAsia"/>
                <w:sz w:val="18"/>
                <w:szCs w:val="18"/>
                <w:lang w:bidi="ar"/>
              </w:rPr>
            </w:pPr>
          </w:p>
        </w:tc>
        <w:tc>
          <w:tcPr>
            <w:tcW w:w="2320" w:type="dxa"/>
            <w:noWrap/>
            <w:tcMar>
              <w:top w:w="15" w:type="dxa"/>
              <w:left w:w="15" w:type="dxa"/>
              <w:right w:w="15" w:type="dxa"/>
            </w:tcMar>
            <w:vAlign w:val="center"/>
          </w:tcPr>
          <w:p>
            <w:pPr>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淹溺、中毒、坍塌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324" w:type="dxa"/>
            <w:noWrap/>
            <w:tcMar>
              <w:top w:w="15" w:type="dxa"/>
              <w:left w:w="15" w:type="dxa"/>
              <w:right w:w="15" w:type="dxa"/>
            </w:tcMar>
            <w:vAlign w:val="center"/>
          </w:tcPr>
          <w:p>
            <w:pPr>
              <w:jc w:val="center"/>
              <w:textAlignment w:val="center"/>
              <w:rPr>
                <w:rFonts w:asciiTheme="minorEastAsia" w:hAnsiTheme="minorEastAsia" w:eastAsiaTheme="minorEastAsia"/>
                <w:sz w:val="18"/>
                <w:szCs w:val="18"/>
              </w:rPr>
            </w:pPr>
            <w:r>
              <w:rPr>
                <w:rFonts w:hint="eastAsia" w:asciiTheme="minorEastAsia" w:hAnsiTheme="minorEastAsia" w:eastAsiaTheme="minorEastAsia"/>
                <w:sz w:val="18"/>
                <w:szCs w:val="18"/>
                <w:lang w:bidi="ar"/>
              </w:rPr>
              <w:t>7</w:t>
            </w:r>
          </w:p>
        </w:tc>
        <w:tc>
          <w:tcPr>
            <w:tcW w:w="981" w:type="dxa"/>
            <w:vMerge w:val="continue"/>
            <w:noWrap/>
            <w:tcMar>
              <w:top w:w="15" w:type="dxa"/>
              <w:left w:w="15" w:type="dxa"/>
              <w:right w:w="15" w:type="dxa"/>
            </w:tcMar>
            <w:vAlign w:val="center"/>
          </w:tcPr>
          <w:p>
            <w:pPr>
              <w:jc w:val="center"/>
              <w:rPr>
                <w:rFonts w:cs="宋体" w:asciiTheme="minorEastAsia" w:hAnsiTheme="minorEastAsia" w:eastAsiaTheme="minorEastAsia"/>
                <w:sz w:val="18"/>
                <w:szCs w:val="18"/>
              </w:rPr>
            </w:pPr>
          </w:p>
        </w:tc>
        <w:tc>
          <w:tcPr>
            <w:tcW w:w="1196" w:type="dxa"/>
            <w:vMerge w:val="continue"/>
            <w:noWrap/>
            <w:tcMar>
              <w:top w:w="15" w:type="dxa"/>
              <w:left w:w="15" w:type="dxa"/>
              <w:right w:w="15" w:type="dxa"/>
            </w:tcMar>
            <w:vAlign w:val="center"/>
          </w:tcPr>
          <w:p>
            <w:pPr>
              <w:jc w:val="center"/>
              <w:rPr>
                <w:rFonts w:cs="宋体" w:asciiTheme="minorEastAsia" w:hAnsiTheme="minorEastAsia" w:eastAsiaTheme="minorEastAsia"/>
                <w:sz w:val="18"/>
                <w:szCs w:val="18"/>
              </w:rPr>
            </w:pPr>
          </w:p>
        </w:tc>
        <w:tc>
          <w:tcPr>
            <w:tcW w:w="1604" w:type="dxa"/>
            <w:noWrap/>
            <w:tcMar>
              <w:top w:w="15" w:type="dxa"/>
              <w:left w:w="15" w:type="dxa"/>
              <w:right w:w="15" w:type="dxa"/>
            </w:tcMar>
            <w:vAlign w:val="center"/>
          </w:tcPr>
          <w:p>
            <w:pPr>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水下观测与检查作业</w:t>
            </w:r>
          </w:p>
        </w:tc>
        <w:tc>
          <w:tcPr>
            <w:tcW w:w="1908" w:type="dxa"/>
            <w:vMerge w:val="continue"/>
            <w:noWrap/>
            <w:tcMar>
              <w:top w:w="15" w:type="dxa"/>
              <w:left w:w="15" w:type="dxa"/>
              <w:right w:w="15" w:type="dxa"/>
            </w:tcMar>
            <w:vAlign w:val="center"/>
          </w:tcPr>
          <w:p>
            <w:pPr>
              <w:jc w:val="center"/>
              <w:textAlignment w:val="center"/>
              <w:rPr>
                <w:rFonts w:cs="宋体" w:asciiTheme="minorEastAsia" w:hAnsiTheme="minorEastAsia" w:eastAsiaTheme="minorEastAsia"/>
                <w:sz w:val="18"/>
                <w:szCs w:val="18"/>
                <w:lang w:bidi="ar"/>
              </w:rPr>
            </w:pPr>
          </w:p>
        </w:tc>
        <w:tc>
          <w:tcPr>
            <w:tcW w:w="2320" w:type="dxa"/>
            <w:noWrap/>
            <w:tcMar>
              <w:top w:w="15" w:type="dxa"/>
              <w:left w:w="15" w:type="dxa"/>
              <w:right w:w="15" w:type="dxa"/>
            </w:tcMar>
            <w:vAlign w:val="center"/>
          </w:tcPr>
          <w:p>
            <w:pPr>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淹溺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324" w:type="dxa"/>
            <w:noWrap/>
            <w:tcMar>
              <w:top w:w="15" w:type="dxa"/>
              <w:left w:w="15" w:type="dxa"/>
              <w:right w:w="15" w:type="dxa"/>
            </w:tcMar>
            <w:vAlign w:val="center"/>
          </w:tcPr>
          <w:p>
            <w:pPr>
              <w:jc w:val="center"/>
              <w:textAlignment w:val="center"/>
              <w:rPr>
                <w:rFonts w:asciiTheme="minorEastAsia" w:hAnsiTheme="minorEastAsia" w:eastAsiaTheme="minorEastAsia"/>
                <w:sz w:val="18"/>
                <w:szCs w:val="18"/>
                <w:lang w:bidi="ar"/>
              </w:rPr>
            </w:pPr>
            <w:r>
              <w:rPr>
                <w:rFonts w:hint="eastAsia" w:asciiTheme="minorEastAsia" w:hAnsiTheme="minorEastAsia" w:eastAsiaTheme="minorEastAsia"/>
                <w:sz w:val="18"/>
                <w:szCs w:val="18"/>
                <w:lang w:bidi="ar"/>
              </w:rPr>
              <w:t>8</w:t>
            </w:r>
          </w:p>
        </w:tc>
        <w:tc>
          <w:tcPr>
            <w:tcW w:w="981" w:type="dxa"/>
            <w:vMerge w:val="continue"/>
            <w:noWrap/>
            <w:tcMar>
              <w:top w:w="15" w:type="dxa"/>
              <w:left w:w="15" w:type="dxa"/>
              <w:right w:w="15" w:type="dxa"/>
            </w:tcMar>
            <w:vAlign w:val="center"/>
          </w:tcPr>
          <w:p>
            <w:pPr>
              <w:jc w:val="center"/>
              <w:rPr>
                <w:rFonts w:cs="宋体" w:asciiTheme="minorEastAsia" w:hAnsiTheme="minorEastAsia" w:eastAsiaTheme="minorEastAsia"/>
                <w:sz w:val="18"/>
                <w:szCs w:val="18"/>
              </w:rPr>
            </w:pPr>
          </w:p>
        </w:tc>
        <w:tc>
          <w:tcPr>
            <w:tcW w:w="1196" w:type="dxa"/>
            <w:vMerge w:val="continue"/>
            <w:noWrap/>
            <w:tcMar>
              <w:top w:w="15" w:type="dxa"/>
              <w:left w:w="15" w:type="dxa"/>
              <w:right w:w="15" w:type="dxa"/>
            </w:tcMar>
            <w:vAlign w:val="center"/>
          </w:tcPr>
          <w:p>
            <w:pPr>
              <w:jc w:val="center"/>
              <w:rPr>
                <w:rFonts w:cs="宋体" w:asciiTheme="minorEastAsia" w:hAnsiTheme="minorEastAsia" w:eastAsiaTheme="minorEastAsia"/>
                <w:sz w:val="18"/>
                <w:szCs w:val="18"/>
              </w:rPr>
            </w:pPr>
          </w:p>
        </w:tc>
        <w:tc>
          <w:tcPr>
            <w:tcW w:w="1604" w:type="dxa"/>
            <w:noWrap/>
            <w:tcMar>
              <w:top w:w="15" w:type="dxa"/>
              <w:left w:w="15" w:type="dxa"/>
              <w:right w:w="15" w:type="dxa"/>
            </w:tcMar>
            <w:vAlign w:val="center"/>
          </w:tcPr>
          <w:p>
            <w:pPr>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带电作业</w:t>
            </w:r>
          </w:p>
        </w:tc>
        <w:tc>
          <w:tcPr>
            <w:tcW w:w="1908" w:type="dxa"/>
            <w:vMerge w:val="continue"/>
            <w:noWrap/>
            <w:tcMar>
              <w:top w:w="15" w:type="dxa"/>
              <w:left w:w="15" w:type="dxa"/>
              <w:right w:w="15" w:type="dxa"/>
            </w:tcMar>
            <w:vAlign w:val="center"/>
          </w:tcPr>
          <w:p>
            <w:pPr>
              <w:jc w:val="center"/>
              <w:textAlignment w:val="center"/>
              <w:rPr>
                <w:rFonts w:cs="宋体" w:asciiTheme="minorEastAsia" w:hAnsiTheme="minorEastAsia" w:eastAsiaTheme="minorEastAsia"/>
                <w:sz w:val="18"/>
                <w:szCs w:val="18"/>
                <w:lang w:bidi="ar"/>
              </w:rPr>
            </w:pPr>
          </w:p>
        </w:tc>
        <w:tc>
          <w:tcPr>
            <w:tcW w:w="2320" w:type="dxa"/>
            <w:noWrap/>
            <w:tcMar>
              <w:top w:w="15" w:type="dxa"/>
              <w:left w:w="15" w:type="dxa"/>
              <w:right w:w="15" w:type="dxa"/>
            </w:tcMar>
            <w:vAlign w:val="center"/>
          </w:tcPr>
          <w:p>
            <w:pPr>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触电、人员伤亡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324" w:type="dxa"/>
            <w:noWrap/>
            <w:tcMar>
              <w:top w:w="15" w:type="dxa"/>
              <w:left w:w="15" w:type="dxa"/>
              <w:right w:w="15" w:type="dxa"/>
            </w:tcMar>
            <w:vAlign w:val="center"/>
          </w:tcPr>
          <w:p>
            <w:pPr>
              <w:jc w:val="center"/>
              <w:textAlignment w:val="center"/>
              <w:rPr>
                <w:rFonts w:asciiTheme="minorEastAsia" w:hAnsiTheme="minorEastAsia" w:eastAsiaTheme="minorEastAsia"/>
                <w:sz w:val="18"/>
                <w:szCs w:val="18"/>
              </w:rPr>
            </w:pPr>
            <w:r>
              <w:rPr>
                <w:rFonts w:hint="eastAsia" w:asciiTheme="minorEastAsia" w:hAnsiTheme="minorEastAsia" w:eastAsiaTheme="minorEastAsia"/>
                <w:sz w:val="18"/>
                <w:szCs w:val="18"/>
                <w:lang w:bidi="ar"/>
              </w:rPr>
              <w:t>9</w:t>
            </w:r>
          </w:p>
        </w:tc>
        <w:tc>
          <w:tcPr>
            <w:tcW w:w="981" w:type="dxa"/>
            <w:noWrap/>
            <w:tcMar>
              <w:top w:w="15" w:type="dxa"/>
              <w:left w:w="15" w:type="dxa"/>
              <w:right w:w="15" w:type="dxa"/>
            </w:tcMar>
            <w:vAlign w:val="center"/>
          </w:tcPr>
          <w:p>
            <w:pPr>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管理类</w:t>
            </w:r>
          </w:p>
        </w:tc>
        <w:tc>
          <w:tcPr>
            <w:tcW w:w="1196" w:type="dxa"/>
            <w:noWrap/>
            <w:tcMar>
              <w:top w:w="15" w:type="dxa"/>
              <w:left w:w="15" w:type="dxa"/>
              <w:right w:w="15" w:type="dxa"/>
            </w:tcMar>
            <w:vAlign w:val="center"/>
          </w:tcPr>
          <w:p>
            <w:pPr>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运行管理</w:t>
            </w:r>
          </w:p>
        </w:tc>
        <w:tc>
          <w:tcPr>
            <w:tcW w:w="1604" w:type="dxa"/>
            <w:tcMar>
              <w:top w:w="15" w:type="dxa"/>
              <w:left w:w="15" w:type="dxa"/>
              <w:right w:w="15" w:type="dxa"/>
            </w:tcMar>
            <w:vAlign w:val="center"/>
          </w:tcPr>
          <w:p>
            <w:pPr>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操作票、工作票，交接班、巡回检查、设备定期试验制度执行</w:t>
            </w:r>
          </w:p>
        </w:tc>
        <w:tc>
          <w:tcPr>
            <w:tcW w:w="1908" w:type="dxa"/>
            <w:tcMar>
              <w:top w:w="15" w:type="dxa"/>
              <w:left w:w="15" w:type="dxa"/>
              <w:right w:w="15" w:type="dxa"/>
            </w:tcMar>
            <w:vAlign w:val="center"/>
          </w:tcPr>
          <w:p>
            <w:pPr>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未严格执行</w:t>
            </w:r>
          </w:p>
        </w:tc>
        <w:tc>
          <w:tcPr>
            <w:tcW w:w="2320" w:type="dxa"/>
            <w:tcMar>
              <w:top w:w="15" w:type="dxa"/>
              <w:left w:w="15" w:type="dxa"/>
              <w:right w:w="15" w:type="dxa"/>
            </w:tcMar>
            <w:vAlign w:val="center"/>
          </w:tcPr>
          <w:p>
            <w:pPr>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工程及设备严重损（破）坏、人员重大伤亡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324" w:type="dxa"/>
            <w:noWrap/>
            <w:tcMar>
              <w:top w:w="15" w:type="dxa"/>
              <w:left w:w="15" w:type="dxa"/>
              <w:right w:w="15" w:type="dxa"/>
            </w:tcMar>
            <w:vAlign w:val="center"/>
          </w:tcPr>
          <w:p>
            <w:pPr>
              <w:jc w:val="center"/>
              <w:textAlignment w:val="center"/>
              <w:rPr>
                <w:rFonts w:asciiTheme="minorEastAsia" w:hAnsiTheme="minorEastAsia" w:eastAsiaTheme="minorEastAsia"/>
                <w:sz w:val="18"/>
                <w:szCs w:val="18"/>
                <w:lang w:bidi="ar"/>
              </w:rPr>
            </w:pPr>
            <w:r>
              <w:rPr>
                <w:rFonts w:hint="eastAsia" w:asciiTheme="minorEastAsia" w:hAnsiTheme="minorEastAsia" w:eastAsiaTheme="minorEastAsia"/>
                <w:sz w:val="18"/>
                <w:szCs w:val="18"/>
                <w:lang w:bidi="ar"/>
              </w:rPr>
              <w:t>10</w:t>
            </w:r>
          </w:p>
        </w:tc>
        <w:tc>
          <w:tcPr>
            <w:tcW w:w="981" w:type="dxa"/>
            <w:vMerge w:val="restart"/>
            <w:noWrap/>
            <w:tcMar>
              <w:top w:w="15" w:type="dxa"/>
              <w:left w:w="15" w:type="dxa"/>
              <w:right w:w="15" w:type="dxa"/>
            </w:tcMar>
            <w:vAlign w:val="center"/>
          </w:tcPr>
          <w:p>
            <w:pPr>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环境类</w:t>
            </w:r>
          </w:p>
        </w:tc>
        <w:tc>
          <w:tcPr>
            <w:tcW w:w="1196" w:type="dxa"/>
            <w:vMerge w:val="restart"/>
            <w:noWrap/>
            <w:tcMar>
              <w:top w:w="15" w:type="dxa"/>
              <w:left w:w="15" w:type="dxa"/>
              <w:right w:w="15" w:type="dxa"/>
            </w:tcMar>
            <w:vAlign w:val="center"/>
          </w:tcPr>
          <w:p>
            <w:pPr>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自然环境</w:t>
            </w:r>
          </w:p>
        </w:tc>
        <w:tc>
          <w:tcPr>
            <w:tcW w:w="1604" w:type="dxa"/>
            <w:tcMar>
              <w:top w:w="15" w:type="dxa"/>
              <w:left w:w="15" w:type="dxa"/>
              <w:right w:w="15" w:type="dxa"/>
            </w:tcMar>
            <w:vAlign w:val="center"/>
          </w:tcPr>
          <w:p>
            <w:pPr>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自然灾害</w:t>
            </w:r>
          </w:p>
        </w:tc>
        <w:tc>
          <w:tcPr>
            <w:tcW w:w="1908" w:type="dxa"/>
            <w:tcMar>
              <w:top w:w="15" w:type="dxa"/>
              <w:left w:w="15" w:type="dxa"/>
              <w:right w:w="15" w:type="dxa"/>
            </w:tcMar>
            <w:vAlign w:val="center"/>
          </w:tcPr>
          <w:p>
            <w:pPr>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山洪、泥石流、山体滑坡等</w:t>
            </w:r>
          </w:p>
        </w:tc>
        <w:tc>
          <w:tcPr>
            <w:tcW w:w="2320" w:type="dxa"/>
            <w:tcMar>
              <w:top w:w="15" w:type="dxa"/>
              <w:left w:w="15" w:type="dxa"/>
              <w:right w:w="15" w:type="dxa"/>
            </w:tcMar>
            <w:vAlign w:val="center"/>
          </w:tcPr>
          <w:p>
            <w:pPr>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工程及设备严重损（破）坏、人员重大伤亡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324" w:type="dxa"/>
            <w:noWrap/>
            <w:tcMar>
              <w:top w:w="15" w:type="dxa"/>
              <w:left w:w="15" w:type="dxa"/>
              <w:right w:w="15" w:type="dxa"/>
            </w:tcMar>
            <w:vAlign w:val="center"/>
          </w:tcPr>
          <w:p>
            <w:pPr>
              <w:jc w:val="center"/>
              <w:textAlignment w:val="center"/>
              <w:rPr>
                <w:rFonts w:asciiTheme="minorEastAsia" w:hAnsiTheme="minorEastAsia" w:eastAsiaTheme="minorEastAsia"/>
                <w:sz w:val="18"/>
                <w:szCs w:val="18"/>
              </w:rPr>
            </w:pPr>
            <w:r>
              <w:rPr>
                <w:rFonts w:hint="eastAsia" w:asciiTheme="minorEastAsia" w:hAnsiTheme="minorEastAsia" w:eastAsiaTheme="minorEastAsia"/>
                <w:sz w:val="18"/>
                <w:szCs w:val="18"/>
              </w:rPr>
              <w:t>11</w:t>
            </w:r>
          </w:p>
        </w:tc>
        <w:tc>
          <w:tcPr>
            <w:tcW w:w="981" w:type="dxa"/>
            <w:vMerge w:val="continue"/>
            <w:tcMar>
              <w:top w:w="15" w:type="dxa"/>
              <w:left w:w="15" w:type="dxa"/>
              <w:right w:w="15" w:type="dxa"/>
            </w:tcMar>
            <w:vAlign w:val="center"/>
          </w:tcPr>
          <w:p>
            <w:pPr>
              <w:jc w:val="center"/>
              <w:textAlignment w:val="center"/>
              <w:rPr>
                <w:rFonts w:cs="宋体" w:asciiTheme="minorEastAsia" w:hAnsiTheme="minorEastAsia" w:eastAsiaTheme="minorEastAsia"/>
                <w:sz w:val="18"/>
                <w:szCs w:val="18"/>
              </w:rPr>
            </w:pPr>
          </w:p>
        </w:tc>
        <w:tc>
          <w:tcPr>
            <w:tcW w:w="1196" w:type="dxa"/>
            <w:vMerge w:val="continue"/>
            <w:tcMar>
              <w:top w:w="15" w:type="dxa"/>
              <w:left w:w="15" w:type="dxa"/>
              <w:right w:w="15" w:type="dxa"/>
            </w:tcMar>
            <w:vAlign w:val="center"/>
          </w:tcPr>
          <w:p>
            <w:pPr>
              <w:jc w:val="center"/>
              <w:textAlignment w:val="center"/>
              <w:rPr>
                <w:rFonts w:cs="宋体" w:asciiTheme="minorEastAsia" w:hAnsiTheme="minorEastAsia" w:eastAsiaTheme="minorEastAsia"/>
                <w:sz w:val="18"/>
                <w:szCs w:val="18"/>
              </w:rPr>
            </w:pPr>
          </w:p>
        </w:tc>
        <w:tc>
          <w:tcPr>
            <w:tcW w:w="1604" w:type="dxa"/>
            <w:tcMar>
              <w:top w:w="15" w:type="dxa"/>
              <w:left w:w="15" w:type="dxa"/>
              <w:right w:w="15" w:type="dxa"/>
            </w:tcMar>
            <w:vAlign w:val="center"/>
          </w:tcPr>
          <w:p>
            <w:pPr>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洪水位超防洪标准</w:t>
            </w:r>
          </w:p>
        </w:tc>
        <w:tc>
          <w:tcPr>
            <w:tcW w:w="1908" w:type="dxa"/>
            <w:noWrap/>
            <w:tcMar>
              <w:top w:w="15" w:type="dxa"/>
              <w:left w:w="15" w:type="dxa"/>
              <w:right w:w="15" w:type="dxa"/>
            </w:tcMar>
            <w:vAlign w:val="center"/>
          </w:tcPr>
          <w:p>
            <w:pPr>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超保证水位运行</w:t>
            </w:r>
          </w:p>
        </w:tc>
        <w:tc>
          <w:tcPr>
            <w:tcW w:w="2320" w:type="dxa"/>
            <w:noWrap/>
            <w:tcMar>
              <w:top w:w="15" w:type="dxa"/>
              <w:left w:w="15" w:type="dxa"/>
              <w:right w:w="15" w:type="dxa"/>
            </w:tcMar>
            <w:vAlign w:val="center"/>
          </w:tcPr>
          <w:p>
            <w:pPr>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水淹泵房等、设备受损、人员伤亡</w:t>
            </w:r>
          </w:p>
        </w:tc>
      </w:tr>
    </w:tbl>
    <w:p>
      <w:pPr>
        <w:widowControl w:val="0"/>
        <w:adjustRightInd w:val="0"/>
        <w:snapToGrid w:val="0"/>
        <w:spacing w:line="360" w:lineRule="auto"/>
        <w:ind w:firstLine="400" w:firstLineChars="200"/>
        <w:jc w:val="center"/>
        <w:rPr>
          <w:rFonts w:ascii="Times New Roman" w:eastAsia="黑体"/>
          <w:bCs/>
          <w:sz w:val="20"/>
          <w:szCs w:val="20"/>
        </w:rPr>
      </w:pPr>
    </w:p>
    <w:p>
      <w:pPr>
        <w:rPr>
          <w:rFonts w:asciiTheme="minorEastAsia" w:hAnsiTheme="minorEastAsia" w:eastAsiaTheme="minorEastAsia"/>
          <w:strike/>
          <w:sz w:val="21"/>
          <w:szCs w:val="21"/>
        </w:rPr>
        <w:sectPr>
          <w:pgSz w:w="11906" w:h="16838"/>
          <w:pgMar w:top="1440" w:right="1797" w:bottom="1440" w:left="1797" w:header="851" w:footer="992" w:gutter="0"/>
          <w:cols w:space="425" w:num="1"/>
          <w:docGrid w:type="lines" w:linePitch="435" w:charSpace="0"/>
        </w:sectPr>
      </w:pPr>
    </w:p>
    <w:p>
      <w:pPr>
        <w:jc w:val="center"/>
        <w:outlineLvl w:val="0"/>
        <w:rPr>
          <w:rFonts w:ascii="方正小标宋_GBK" w:hAnsi="黑体" w:eastAsia="方正小标宋_GBK"/>
          <w:b/>
          <w:bCs/>
          <w:sz w:val="28"/>
          <w:szCs w:val="28"/>
        </w:rPr>
      </w:pPr>
      <w:bookmarkStart w:id="113" w:name="_Toc119336590"/>
      <w:bookmarkStart w:id="114" w:name="_Toc117541309"/>
      <w:bookmarkStart w:id="115" w:name="_Hlk117455942"/>
      <w:r>
        <w:rPr>
          <w:rFonts w:hint="eastAsia" w:ascii="方正小标宋_GBK" w:hAnsi="黑体" w:eastAsia="方正小标宋_GBK"/>
          <w:b/>
          <w:bCs/>
          <w:sz w:val="28"/>
          <w:szCs w:val="28"/>
        </w:rPr>
        <w:t>附录A.9</w:t>
      </w:r>
      <w:bookmarkEnd w:id="113"/>
      <w:bookmarkEnd w:id="114"/>
      <w:bookmarkEnd w:id="115"/>
    </w:p>
    <w:p>
      <w:pPr>
        <w:jc w:val="center"/>
        <w:rPr>
          <w:rFonts w:ascii="方正小标宋_GBK" w:hAnsi="黑体" w:eastAsia="方正小标宋_GBK"/>
          <w:b/>
          <w:bCs/>
          <w:sz w:val="28"/>
          <w:szCs w:val="28"/>
        </w:rPr>
      </w:pPr>
      <w:r>
        <w:rPr>
          <w:rFonts w:hint="eastAsia" w:ascii="方正小标宋_GBK" w:hAnsi="黑体" w:eastAsia="方正小标宋_GBK"/>
          <w:b/>
          <w:bCs/>
          <w:sz w:val="28"/>
          <w:szCs w:val="28"/>
        </w:rPr>
        <w:t>（资料性附录）</w:t>
      </w:r>
    </w:p>
    <w:p>
      <w:pPr>
        <w:jc w:val="center"/>
        <w:rPr>
          <w:rFonts w:ascii="方正小标宋_GBK" w:hAnsi="黑体" w:eastAsia="方正小标宋_GBK"/>
          <w:b/>
          <w:bCs/>
          <w:sz w:val="28"/>
          <w:szCs w:val="28"/>
        </w:rPr>
      </w:pPr>
    </w:p>
    <w:p>
      <w:pPr>
        <w:jc w:val="center"/>
        <w:outlineLvl w:val="1"/>
        <w:rPr>
          <w:rFonts w:ascii="方正小标宋_GBK" w:hAnsi="黑体" w:eastAsia="方正小标宋_GBK"/>
          <w:b/>
          <w:bCs/>
          <w:sz w:val="28"/>
          <w:szCs w:val="28"/>
        </w:rPr>
      </w:pPr>
      <w:bookmarkStart w:id="116" w:name="_Toc119336591"/>
      <w:bookmarkStart w:id="117" w:name="_Toc117541310"/>
      <w:r>
        <w:rPr>
          <w:rFonts w:hint="eastAsia" w:ascii="方正小标宋_GBK" w:hAnsi="黑体" w:eastAsia="方正小标宋_GBK"/>
          <w:b/>
          <w:bCs/>
          <w:sz w:val="28"/>
          <w:szCs w:val="28"/>
        </w:rPr>
        <w:t>水电站工程运行一般危险源风险评价赋分表（指南）</w:t>
      </w:r>
      <w:bookmarkEnd w:id="116"/>
      <w:bookmarkEnd w:id="117"/>
    </w:p>
    <w:tbl>
      <w:tblPr>
        <w:tblStyle w:val="34"/>
        <w:tblW w:w="1432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83"/>
        <w:gridCol w:w="828"/>
        <w:gridCol w:w="1157"/>
        <w:gridCol w:w="1562"/>
        <w:gridCol w:w="2121"/>
        <w:gridCol w:w="22"/>
        <w:gridCol w:w="2757"/>
        <w:gridCol w:w="895"/>
        <w:gridCol w:w="895"/>
        <w:gridCol w:w="716"/>
        <w:gridCol w:w="776"/>
        <w:gridCol w:w="1015"/>
        <w:gridCol w:w="8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20" w:hRule="atLeast"/>
          <w:tblHeader/>
        </w:trPr>
        <w:tc>
          <w:tcPr>
            <w:tcW w:w="683" w:type="dxa"/>
            <w:tcBorders>
              <w:tl2br w:val="nil"/>
              <w:tr2bl w:val="nil"/>
            </w:tcBorders>
            <w:noWrap/>
            <w:tcMar>
              <w:top w:w="15" w:type="dxa"/>
              <w:left w:w="15" w:type="dxa"/>
              <w:right w:w="15" w:type="dxa"/>
            </w:tcMar>
            <w:vAlign w:val="center"/>
          </w:tcPr>
          <w:p>
            <w:pPr>
              <w:snapToGrid w:val="0"/>
              <w:jc w:val="center"/>
              <w:textAlignment w:val="center"/>
              <w:rPr>
                <w:rFonts w:cs="黑体" w:asciiTheme="minorEastAsia" w:hAnsiTheme="minorEastAsia" w:eastAsiaTheme="minorEastAsia"/>
                <w:b/>
                <w:sz w:val="18"/>
                <w:szCs w:val="18"/>
              </w:rPr>
            </w:pPr>
            <w:r>
              <w:rPr>
                <w:rFonts w:hint="eastAsia" w:cs="黑体" w:asciiTheme="minorEastAsia" w:hAnsiTheme="minorEastAsia" w:eastAsiaTheme="minorEastAsia"/>
                <w:b/>
                <w:sz w:val="18"/>
                <w:szCs w:val="18"/>
                <w:lang w:bidi="ar"/>
              </w:rPr>
              <w:t>序号</w:t>
            </w:r>
          </w:p>
        </w:tc>
        <w:tc>
          <w:tcPr>
            <w:tcW w:w="828" w:type="dxa"/>
            <w:tcBorders>
              <w:tl2br w:val="nil"/>
              <w:tr2bl w:val="nil"/>
            </w:tcBorders>
            <w:noWrap/>
            <w:tcMar>
              <w:top w:w="15" w:type="dxa"/>
              <w:left w:w="15" w:type="dxa"/>
              <w:right w:w="15" w:type="dxa"/>
            </w:tcMar>
            <w:vAlign w:val="center"/>
          </w:tcPr>
          <w:p>
            <w:pPr>
              <w:snapToGrid w:val="0"/>
              <w:jc w:val="center"/>
              <w:textAlignment w:val="center"/>
              <w:rPr>
                <w:rFonts w:cs="黑体" w:asciiTheme="minorEastAsia" w:hAnsiTheme="minorEastAsia" w:eastAsiaTheme="minorEastAsia"/>
                <w:b/>
                <w:sz w:val="18"/>
                <w:szCs w:val="18"/>
              </w:rPr>
            </w:pPr>
            <w:r>
              <w:rPr>
                <w:rFonts w:hint="eastAsia" w:cs="黑体" w:asciiTheme="minorEastAsia" w:hAnsiTheme="minorEastAsia" w:eastAsiaTheme="minorEastAsia"/>
                <w:b/>
                <w:sz w:val="18"/>
                <w:szCs w:val="18"/>
                <w:lang w:bidi="ar"/>
              </w:rPr>
              <w:t>类别</w:t>
            </w:r>
          </w:p>
        </w:tc>
        <w:tc>
          <w:tcPr>
            <w:tcW w:w="1157" w:type="dxa"/>
            <w:tcBorders>
              <w:tl2br w:val="nil"/>
              <w:tr2bl w:val="nil"/>
            </w:tcBorders>
            <w:noWrap/>
            <w:tcMar>
              <w:top w:w="15" w:type="dxa"/>
              <w:left w:w="15" w:type="dxa"/>
              <w:right w:w="15" w:type="dxa"/>
            </w:tcMar>
            <w:vAlign w:val="center"/>
          </w:tcPr>
          <w:p>
            <w:pPr>
              <w:snapToGrid w:val="0"/>
              <w:jc w:val="center"/>
              <w:textAlignment w:val="center"/>
              <w:rPr>
                <w:rFonts w:cs="黑体" w:asciiTheme="minorEastAsia" w:hAnsiTheme="minorEastAsia" w:eastAsiaTheme="minorEastAsia"/>
                <w:b/>
                <w:sz w:val="18"/>
                <w:szCs w:val="18"/>
              </w:rPr>
            </w:pPr>
            <w:r>
              <w:rPr>
                <w:rFonts w:hint="eastAsia" w:cs="黑体" w:asciiTheme="minorEastAsia" w:hAnsiTheme="minorEastAsia" w:eastAsiaTheme="minorEastAsia"/>
                <w:b/>
                <w:sz w:val="18"/>
                <w:szCs w:val="18"/>
                <w:lang w:bidi="ar"/>
              </w:rPr>
              <w:t>项  目</w:t>
            </w:r>
          </w:p>
        </w:tc>
        <w:tc>
          <w:tcPr>
            <w:tcW w:w="1562" w:type="dxa"/>
            <w:tcBorders>
              <w:tl2br w:val="nil"/>
              <w:tr2bl w:val="nil"/>
            </w:tcBorders>
            <w:noWrap/>
            <w:tcMar>
              <w:top w:w="15" w:type="dxa"/>
              <w:left w:w="15" w:type="dxa"/>
              <w:right w:w="15" w:type="dxa"/>
            </w:tcMar>
            <w:vAlign w:val="center"/>
          </w:tcPr>
          <w:p>
            <w:pPr>
              <w:snapToGrid w:val="0"/>
              <w:jc w:val="center"/>
              <w:textAlignment w:val="center"/>
              <w:rPr>
                <w:rFonts w:cs="黑体" w:asciiTheme="minorEastAsia" w:hAnsiTheme="minorEastAsia" w:eastAsiaTheme="minorEastAsia"/>
                <w:b/>
                <w:sz w:val="18"/>
                <w:szCs w:val="18"/>
              </w:rPr>
            </w:pPr>
            <w:r>
              <w:rPr>
                <w:rFonts w:hint="eastAsia" w:cs="黑体" w:asciiTheme="minorEastAsia" w:hAnsiTheme="minorEastAsia" w:eastAsiaTheme="minorEastAsia"/>
                <w:b/>
                <w:sz w:val="18"/>
                <w:szCs w:val="18"/>
                <w:lang w:bidi="ar"/>
              </w:rPr>
              <w:t>一般危险源</w:t>
            </w:r>
          </w:p>
        </w:tc>
        <w:tc>
          <w:tcPr>
            <w:tcW w:w="2121" w:type="dxa"/>
            <w:tcBorders>
              <w:tl2br w:val="nil"/>
              <w:tr2bl w:val="nil"/>
            </w:tcBorders>
            <w:noWrap/>
            <w:tcMar>
              <w:top w:w="15" w:type="dxa"/>
              <w:left w:w="15" w:type="dxa"/>
              <w:right w:w="15" w:type="dxa"/>
            </w:tcMar>
            <w:vAlign w:val="center"/>
          </w:tcPr>
          <w:p>
            <w:pPr>
              <w:snapToGrid w:val="0"/>
              <w:jc w:val="center"/>
              <w:textAlignment w:val="center"/>
              <w:rPr>
                <w:rFonts w:cs="黑体" w:asciiTheme="minorEastAsia" w:hAnsiTheme="minorEastAsia" w:eastAsiaTheme="minorEastAsia"/>
                <w:b/>
                <w:sz w:val="18"/>
                <w:szCs w:val="18"/>
              </w:rPr>
            </w:pPr>
            <w:r>
              <w:rPr>
                <w:rFonts w:hint="eastAsia" w:cs="黑体" w:asciiTheme="minorEastAsia" w:hAnsiTheme="minorEastAsia" w:eastAsiaTheme="minorEastAsia"/>
                <w:b/>
                <w:sz w:val="18"/>
                <w:szCs w:val="18"/>
                <w:lang w:bidi="ar"/>
              </w:rPr>
              <w:t>事故诱因</w:t>
            </w:r>
          </w:p>
        </w:tc>
        <w:tc>
          <w:tcPr>
            <w:tcW w:w="2779" w:type="dxa"/>
            <w:gridSpan w:val="2"/>
            <w:tcBorders>
              <w:tl2br w:val="nil"/>
              <w:tr2bl w:val="nil"/>
            </w:tcBorders>
            <w:noWrap/>
            <w:tcMar>
              <w:top w:w="15" w:type="dxa"/>
              <w:left w:w="15" w:type="dxa"/>
              <w:right w:w="15" w:type="dxa"/>
            </w:tcMar>
            <w:vAlign w:val="center"/>
          </w:tcPr>
          <w:p>
            <w:pPr>
              <w:snapToGrid w:val="0"/>
              <w:jc w:val="center"/>
              <w:textAlignment w:val="center"/>
              <w:rPr>
                <w:rFonts w:cs="黑体" w:asciiTheme="minorEastAsia" w:hAnsiTheme="minorEastAsia" w:eastAsiaTheme="minorEastAsia"/>
                <w:b/>
                <w:sz w:val="18"/>
                <w:szCs w:val="18"/>
              </w:rPr>
            </w:pPr>
            <w:r>
              <w:rPr>
                <w:rFonts w:hint="eastAsia" w:cs="黑体" w:asciiTheme="minorEastAsia" w:hAnsiTheme="minorEastAsia" w:eastAsiaTheme="minorEastAsia"/>
                <w:b/>
                <w:sz w:val="18"/>
                <w:szCs w:val="18"/>
                <w:lang w:bidi="ar"/>
              </w:rPr>
              <w:t>可能导致的后果</w:t>
            </w:r>
          </w:p>
        </w:tc>
        <w:tc>
          <w:tcPr>
            <w:tcW w:w="895" w:type="dxa"/>
            <w:tcBorders>
              <w:tl2br w:val="nil"/>
              <w:tr2bl w:val="nil"/>
            </w:tcBorders>
            <w:tcMar>
              <w:top w:w="15" w:type="dxa"/>
              <w:left w:w="15" w:type="dxa"/>
              <w:right w:w="15" w:type="dxa"/>
            </w:tcMar>
            <w:vAlign w:val="center"/>
          </w:tcPr>
          <w:p>
            <w:pPr>
              <w:snapToGrid w:val="0"/>
              <w:jc w:val="center"/>
              <w:textAlignment w:val="center"/>
              <w:rPr>
                <w:rFonts w:cs="黑体" w:asciiTheme="minorEastAsia" w:hAnsiTheme="minorEastAsia" w:eastAsiaTheme="minorEastAsia"/>
                <w:b/>
                <w:sz w:val="18"/>
                <w:szCs w:val="18"/>
              </w:rPr>
            </w:pPr>
            <w:r>
              <w:rPr>
                <w:rFonts w:hint="eastAsia" w:cs="黑体" w:asciiTheme="minorEastAsia" w:hAnsiTheme="minorEastAsia" w:eastAsiaTheme="minorEastAsia"/>
                <w:b/>
                <w:sz w:val="18"/>
                <w:szCs w:val="18"/>
                <w:lang w:bidi="ar"/>
              </w:rPr>
              <w:t>风险评价方法</w:t>
            </w:r>
          </w:p>
        </w:tc>
        <w:tc>
          <w:tcPr>
            <w:tcW w:w="895" w:type="dxa"/>
            <w:tcBorders>
              <w:tl2br w:val="nil"/>
              <w:tr2bl w:val="nil"/>
            </w:tcBorders>
            <w:tcMar>
              <w:top w:w="15" w:type="dxa"/>
              <w:left w:w="15" w:type="dxa"/>
              <w:right w:w="15" w:type="dxa"/>
            </w:tcMar>
            <w:vAlign w:val="center"/>
          </w:tcPr>
          <w:p>
            <w:pPr>
              <w:snapToGrid w:val="0"/>
              <w:jc w:val="center"/>
              <w:textAlignment w:val="center"/>
              <w:rPr>
                <w:rFonts w:cs="黑体" w:asciiTheme="minorEastAsia" w:hAnsiTheme="minorEastAsia" w:eastAsiaTheme="minorEastAsia"/>
                <w:b/>
                <w:sz w:val="18"/>
                <w:szCs w:val="18"/>
              </w:rPr>
            </w:pPr>
            <w:r>
              <w:rPr>
                <w:rFonts w:hint="eastAsia" w:cs="黑体" w:asciiTheme="minorEastAsia" w:hAnsiTheme="minorEastAsia" w:eastAsiaTheme="minorEastAsia"/>
                <w:b/>
                <w:sz w:val="18"/>
                <w:szCs w:val="18"/>
                <w:lang w:bidi="ar"/>
              </w:rPr>
              <w:t>L值范围</w:t>
            </w:r>
          </w:p>
        </w:tc>
        <w:tc>
          <w:tcPr>
            <w:tcW w:w="716" w:type="dxa"/>
            <w:tcBorders>
              <w:tl2br w:val="nil"/>
              <w:tr2bl w:val="nil"/>
            </w:tcBorders>
            <w:tcMar>
              <w:top w:w="15" w:type="dxa"/>
              <w:left w:w="15" w:type="dxa"/>
              <w:right w:w="15" w:type="dxa"/>
            </w:tcMar>
            <w:vAlign w:val="center"/>
          </w:tcPr>
          <w:p>
            <w:pPr>
              <w:snapToGrid w:val="0"/>
              <w:jc w:val="center"/>
              <w:textAlignment w:val="center"/>
              <w:rPr>
                <w:rFonts w:cs="黑体" w:asciiTheme="minorEastAsia" w:hAnsiTheme="minorEastAsia" w:eastAsiaTheme="minorEastAsia"/>
                <w:b/>
                <w:sz w:val="18"/>
                <w:szCs w:val="18"/>
              </w:rPr>
            </w:pPr>
            <w:r>
              <w:rPr>
                <w:rFonts w:hint="eastAsia" w:cs="黑体" w:asciiTheme="minorEastAsia" w:hAnsiTheme="minorEastAsia" w:eastAsiaTheme="minorEastAsia"/>
                <w:b/>
                <w:sz w:val="18"/>
                <w:szCs w:val="18"/>
                <w:lang w:bidi="ar"/>
              </w:rPr>
              <w:t>E值范围</w:t>
            </w:r>
          </w:p>
        </w:tc>
        <w:tc>
          <w:tcPr>
            <w:tcW w:w="776" w:type="dxa"/>
            <w:tcBorders>
              <w:tl2br w:val="nil"/>
              <w:tr2bl w:val="nil"/>
            </w:tcBorders>
            <w:tcMar>
              <w:top w:w="15" w:type="dxa"/>
              <w:left w:w="15" w:type="dxa"/>
              <w:right w:w="15" w:type="dxa"/>
            </w:tcMar>
            <w:vAlign w:val="center"/>
          </w:tcPr>
          <w:p>
            <w:pPr>
              <w:snapToGrid w:val="0"/>
              <w:jc w:val="center"/>
              <w:textAlignment w:val="center"/>
              <w:rPr>
                <w:rFonts w:cs="黑体" w:asciiTheme="minorEastAsia" w:hAnsiTheme="minorEastAsia" w:eastAsiaTheme="minorEastAsia"/>
                <w:b/>
                <w:sz w:val="18"/>
                <w:szCs w:val="18"/>
                <w:lang w:bidi="ar"/>
              </w:rPr>
            </w:pPr>
            <w:r>
              <w:rPr>
                <w:rFonts w:hint="eastAsia" w:cs="黑体" w:asciiTheme="minorEastAsia" w:hAnsiTheme="minorEastAsia" w:eastAsiaTheme="minorEastAsia"/>
                <w:b/>
                <w:sz w:val="18"/>
                <w:szCs w:val="18"/>
                <w:lang w:bidi="ar"/>
              </w:rPr>
              <w:t>S值或</w:t>
            </w:r>
          </w:p>
          <w:p>
            <w:pPr>
              <w:snapToGrid w:val="0"/>
              <w:jc w:val="center"/>
              <w:textAlignment w:val="center"/>
              <w:rPr>
                <w:rFonts w:cs="黑体" w:asciiTheme="minorEastAsia" w:hAnsiTheme="minorEastAsia" w:eastAsiaTheme="minorEastAsia"/>
                <w:b/>
                <w:sz w:val="18"/>
                <w:szCs w:val="18"/>
              </w:rPr>
            </w:pPr>
            <w:r>
              <w:rPr>
                <w:rFonts w:hint="eastAsia" w:cs="黑体" w:asciiTheme="minorEastAsia" w:hAnsiTheme="minorEastAsia" w:eastAsiaTheme="minorEastAsia"/>
                <w:b/>
                <w:sz w:val="18"/>
                <w:szCs w:val="18"/>
                <w:lang w:bidi="ar"/>
              </w:rPr>
              <w:t>C值范围</w:t>
            </w:r>
          </w:p>
        </w:tc>
        <w:tc>
          <w:tcPr>
            <w:tcW w:w="1015" w:type="dxa"/>
            <w:tcBorders>
              <w:tl2br w:val="nil"/>
              <w:tr2bl w:val="nil"/>
            </w:tcBorders>
            <w:tcMar>
              <w:top w:w="15" w:type="dxa"/>
              <w:left w:w="15" w:type="dxa"/>
              <w:right w:w="15" w:type="dxa"/>
            </w:tcMar>
            <w:vAlign w:val="center"/>
          </w:tcPr>
          <w:p>
            <w:pPr>
              <w:snapToGrid w:val="0"/>
              <w:jc w:val="center"/>
              <w:textAlignment w:val="center"/>
              <w:rPr>
                <w:rFonts w:cs="黑体" w:asciiTheme="minorEastAsia" w:hAnsiTheme="minorEastAsia" w:eastAsiaTheme="minorEastAsia"/>
                <w:b/>
                <w:sz w:val="18"/>
                <w:szCs w:val="18"/>
                <w:lang w:bidi="ar"/>
              </w:rPr>
            </w:pPr>
            <w:r>
              <w:rPr>
                <w:rFonts w:hint="eastAsia" w:cs="黑体" w:asciiTheme="minorEastAsia" w:hAnsiTheme="minorEastAsia" w:eastAsiaTheme="minorEastAsia"/>
                <w:b/>
                <w:sz w:val="18"/>
                <w:szCs w:val="18"/>
                <w:lang w:bidi="ar"/>
              </w:rPr>
              <w:t>R值或</w:t>
            </w:r>
          </w:p>
          <w:p>
            <w:pPr>
              <w:snapToGrid w:val="0"/>
              <w:jc w:val="center"/>
              <w:textAlignment w:val="center"/>
              <w:rPr>
                <w:rFonts w:cs="黑体" w:asciiTheme="minorEastAsia" w:hAnsiTheme="minorEastAsia" w:eastAsiaTheme="minorEastAsia"/>
                <w:b/>
                <w:sz w:val="18"/>
                <w:szCs w:val="18"/>
              </w:rPr>
            </w:pPr>
            <w:r>
              <w:rPr>
                <w:rFonts w:hint="eastAsia" w:cs="黑体" w:asciiTheme="minorEastAsia" w:hAnsiTheme="minorEastAsia" w:eastAsiaTheme="minorEastAsia"/>
                <w:b/>
                <w:sz w:val="18"/>
                <w:szCs w:val="18"/>
                <w:lang w:bidi="ar"/>
              </w:rPr>
              <w:t>D值范围</w:t>
            </w:r>
          </w:p>
        </w:tc>
        <w:tc>
          <w:tcPr>
            <w:tcW w:w="895" w:type="dxa"/>
            <w:tcBorders>
              <w:tl2br w:val="nil"/>
              <w:tr2bl w:val="nil"/>
            </w:tcBorders>
            <w:tcMar>
              <w:top w:w="15" w:type="dxa"/>
              <w:left w:w="15" w:type="dxa"/>
              <w:right w:w="15" w:type="dxa"/>
            </w:tcMar>
            <w:vAlign w:val="center"/>
          </w:tcPr>
          <w:p>
            <w:pPr>
              <w:snapToGrid w:val="0"/>
              <w:jc w:val="center"/>
              <w:textAlignment w:val="center"/>
              <w:rPr>
                <w:rFonts w:cs="黑体" w:asciiTheme="minorEastAsia" w:hAnsiTheme="minorEastAsia" w:eastAsiaTheme="minorEastAsia"/>
                <w:b/>
                <w:sz w:val="18"/>
                <w:szCs w:val="18"/>
              </w:rPr>
            </w:pPr>
            <w:r>
              <w:rPr>
                <w:rFonts w:hint="eastAsia" w:cs="黑体" w:asciiTheme="minorEastAsia" w:hAnsiTheme="minorEastAsia" w:eastAsiaTheme="minorEastAsia"/>
                <w:b/>
                <w:sz w:val="18"/>
                <w:szCs w:val="18"/>
                <w:lang w:bidi="ar"/>
              </w:rPr>
              <w:t>风险等级范围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683"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1</w:t>
            </w:r>
          </w:p>
        </w:tc>
        <w:tc>
          <w:tcPr>
            <w:tcW w:w="828" w:type="dxa"/>
            <w:vMerge w:val="restart"/>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构（建）筑物类</w:t>
            </w:r>
          </w:p>
        </w:tc>
        <w:tc>
          <w:tcPr>
            <w:tcW w:w="1157"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挡水建筑物</w:t>
            </w:r>
          </w:p>
        </w:tc>
        <w:tc>
          <w:tcPr>
            <w:tcW w:w="11654" w:type="dxa"/>
            <w:gridSpan w:val="10"/>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按《水利水电工程（水库、水闸）运行危险源辨识与风险评价导则》执行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683"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2</w:t>
            </w:r>
          </w:p>
        </w:tc>
        <w:tc>
          <w:tcPr>
            <w:tcW w:w="828" w:type="dxa"/>
            <w:vMerge w:val="continue"/>
            <w:tcBorders>
              <w:tl2br w:val="nil"/>
              <w:tr2bl w:val="nil"/>
            </w:tcBorders>
            <w:tcMar>
              <w:top w:w="15" w:type="dxa"/>
              <w:left w:w="15" w:type="dxa"/>
              <w:right w:w="15" w:type="dxa"/>
            </w:tcMar>
            <w:vAlign w:val="center"/>
          </w:tcPr>
          <w:p>
            <w:pPr>
              <w:snapToGrid w:val="0"/>
              <w:jc w:val="center"/>
              <w:rPr>
                <w:rFonts w:cs="宋体" w:asciiTheme="minorEastAsia" w:hAnsiTheme="minorEastAsia" w:eastAsiaTheme="minorEastAsia"/>
                <w:sz w:val="18"/>
                <w:szCs w:val="18"/>
              </w:rPr>
            </w:pPr>
          </w:p>
        </w:tc>
        <w:tc>
          <w:tcPr>
            <w:tcW w:w="1157" w:type="dxa"/>
            <w:vMerge w:val="restart"/>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引（输）水建筑物</w:t>
            </w:r>
          </w:p>
        </w:tc>
        <w:tc>
          <w:tcPr>
            <w:tcW w:w="1562"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进水口</w:t>
            </w:r>
          </w:p>
        </w:tc>
        <w:tc>
          <w:tcPr>
            <w:tcW w:w="2121"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不良地质</w:t>
            </w:r>
          </w:p>
        </w:tc>
        <w:tc>
          <w:tcPr>
            <w:tcW w:w="2779" w:type="dxa"/>
            <w:gridSpan w:val="2"/>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变形、结构破坏、失稳、围岩坍塌</w:t>
            </w:r>
          </w:p>
        </w:tc>
        <w:tc>
          <w:tcPr>
            <w:tcW w:w="89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LS法</w:t>
            </w:r>
          </w:p>
        </w:tc>
        <w:tc>
          <w:tcPr>
            <w:tcW w:w="89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5～30</w:t>
            </w:r>
          </w:p>
        </w:tc>
        <w:tc>
          <w:tcPr>
            <w:tcW w:w="716" w:type="dxa"/>
            <w:tcBorders>
              <w:tl2br w:val="nil"/>
              <w:tr2bl w:val="nil"/>
            </w:tcBorders>
            <w:tcMar>
              <w:top w:w="15" w:type="dxa"/>
              <w:left w:w="15" w:type="dxa"/>
              <w:right w:w="15" w:type="dxa"/>
            </w:tcMar>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w:t>
            </w:r>
          </w:p>
        </w:tc>
        <w:tc>
          <w:tcPr>
            <w:tcW w:w="776"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3～15</w:t>
            </w:r>
          </w:p>
        </w:tc>
        <w:tc>
          <w:tcPr>
            <w:tcW w:w="101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15～450</w:t>
            </w:r>
          </w:p>
        </w:tc>
        <w:tc>
          <w:tcPr>
            <w:tcW w:w="89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低～重大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683"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3</w:t>
            </w:r>
          </w:p>
        </w:tc>
        <w:tc>
          <w:tcPr>
            <w:tcW w:w="828" w:type="dxa"/>
            <w:vMerge w:val="continue"/>
            <w:tcBorders>
              <w:tl2br w:val="nil"/>
              <w:tr2bl w:val="nil"/>
            </w:tcBorders>
            <w:tcMar>
              <w:top w:w="15" w:type="dxa"/>
              <w:left w:w="15" w:type="dxa"/>
              <w:right w:w="15" w:type="dxa"/>
            </w:tcMar>
            <w:vAlign w:val="center"/>
          </w:tcPr>
          <w:p>
            <w:pPr>
              <w:snapToGrid w:val="0"/>
              <w:jc w:val="center"/>
              <w:rPr>
                <w:rFonts w:cs="宋体" w:asciiTheme="minorEastAsia" w:hAnsiTheme="minorEastAsia" w:eastAsiaTheme="minorEastAsia"/>
                <w:sz w:val="18"/>
                <w:szCs w:val="18"/>
              </w:rPr>
            </w:pPr>
          </w:p>
        </w:tc>
        <w:tc>
          <w:tcPr>
            <w:tcW w:w="1157" w:type="dxa"/>
            <w:vMerge w:val="continue"/>
            <w:tcBorders>
              <w:tl2br w:val="nil"/>
              <w:tr2bl w:val="nil"/>
            </w:tcBorders>
            <w:tcMar>
              <w:top w:w="15" w:type="dxa"/>
              <w:left w:w="15" w:type="dxa"/>
              <w:right w:w="15" w:type="dxa"/>
            </w:tcMar>
            <w:vAlign w:val="center"/>
          </w:tcPr>
          <w:p>
            <w:pPr>
              <w:snapToGrid w:val="0"/>
              <w:jc w:val="center"/>
              <w:rPr>
                <w:rFonts w:cs="宋体" w:asciiTheme="minorEastAsia" w:hAnsiTheme="minorEastAsia" w:eastAsiaTheme="minorEastAsia"/>
                <w:sz w:val="18"/>
                <w:szCs w:val="18"/>
              </w:rPr>
            </w:pPr>
          </w:p>
        </w:tc>
        <w:tc>
          <w:tcPr>
            <w:tcW w:w="1562"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引水渠</w:t>
            </w:r>
          </w:p>
        </w:tc>
        <w:tc>
          <w:tcPr>
            <w:tcW w:w="2121"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水流冲刷、淤积物</w:t>
            </w:r>
          </w:p>
        </w:tc>
        <w:tc>
          <w:tcPr>
            <w:tcW w:w="2779" w:type="dxa"/>
            <w:gridSpan w:val="2"/>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漫溢、淤积、凹陷、滑坡、堵塞</w:t>
            </w:r>
          </w:p>
        </w:tc>
        <w:tc>
          <w:tcPr>
            <w:tcW w:w="89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LS法</w:t>
            </w:r>
          </w:p>
        </w:tc>
        <w:tc>
          <w:tcPr>
            <w:tcW w:w="89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5～10</w:t>
            </w:r>
          </w:p>
        </w:tc>
        <w:tc>
          <w:tcPr>
            <w:tcW w:w="716" w:type="dxa"/>
            <w:tcBorders>
              <w:tl2br w:val="nil"/>
              <w:tr2bl w:val="nil"/>
            </w:tcBorders>
            <w:tcMar>
              <w:top w:w="15" w:type="dxa"/>
              <w:left w:w="15" w:type="dxa"/>
              <w:right w:w="15" w:type="dxa"/>
            </w:tcMar>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w:t>
            </w:r>
          </w:p>
        </w:tc>
        <w:tc>
          <w:tcPr>
            <w:tcW w:w="776"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3～15</w:t>
            </w:r>
          </w:p>
        </w:tc>
        <w:tc>
          <w:tcPr>
            <w:tcW w:w="101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15～150</w:t>
            </w:r>
          </w:p>
        </w:tc>
        <w:tc>
          <w:tcPr>
            <w:tcW w:w="89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低～一般</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683"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4</w:t>
            </w:r>
          </w:p>
        </w:tc>
        <w:tc>
          <w:tcPr>
            <w:tcW w:w="828" w:type="dxa"/>
            <w:vMerge w:val="continue"/>
            <w:tcBorders>
              <w:tl2br w:val="nil"/>
              <w:tr2bl w:val="nil"/>
            </w:tcBorders>
            <w:tcMar>
              <w:top w:w="15" w:type="dxa"/>
              <w:left w:w="15" w:type="dxa"/>
              <w:right w:w="15" w:type="dxa"/>
            </w:tcMar>
            <w:vAlign w:val="center"/>
          </w:tcPr>
          <w:p>
            <w:pPr>
              <w:snapToGrid w:val="0"/>
              <w:jc w:val="center"/>
              <w:rPr>
                <w:rFonts w:cs="宋体" w:asciiTheme="minorEastAsia" w:hAnsiTheme="minorEastAsia" w:eastAsiaTheme="minorEastAsia"/>
                <w:sz w:val="18"/>
                <w:szCs w:val="18"/>
              </w:rPr>
            </w:pPr>
          </w:p>
        </w:tc>
        <w:tc>
          <w:tcPr>
            <w:tcW w:w="1157" w:type="dxa"/>
            <w:vMerge w:val="continue"/>
            <w:tcBorders>
              <w:tl2br w:val="nil"/>
              <w:tr2bl w:val="nil"/>
            </w:tcBorders>
            <w:tcMar>
              <w:top w:w="15" w:type="dxa"/>
              <w:left w:w="15" w:type="dxa"/>
              <w:right w:w="15" w:type="dxa"/>
            </w:tcMar>
            <w:vAlign w:val="center"/>
          </w:tcPr>
          <w:p>
            <w:pPr>
              <w:snapToGrid w:val="0"/>
              <w:jc w:val="center"/>
              <w:rPr>
                <w:rFonts w:cs="宋体" w:asciiTheme="minorEastAsia" w:hAnsiTheme="minorEastAsia" w:eastAsiaTheme="minorEastAsia"/>
                <w:sz w:val="18"/>
                <w:szCs w:val="18"/>
              </w:rPr>
            </w:pPr>
          </w:p>
        </w:tc>
        <w:tc>
          <w:tcPr>
            <w:tcW w:w="1562"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压力前池</w:t>
            </w:r>
          </w:p>
        </w:tc>
        <w:tc>
          <w:tcPr>
            <w:tcW w:w="2121"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渗漏、涌浪</w:t>
            </w:r>
          </w:p>
        </w:tc>
        <w:tc>
          <w:tcPr>
            <w:tcW w:w="2779" w:type="dxa"/>
            <w:gridSpan w:val="2"/>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漫溢、开裂破坏、水淹厂房</w:t>
            </w:r>
          </w:p>
        </w:tc>
        <w:tc>
          <w:tcPr>
            <w:tcW w:w="89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LS法</w:t>
            </w:r>
          </w:p>
        </w:tc>
        <w:tc>
          <w:tcPr>
            <w:tcW w:w="89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5～5</w:t>
            </w:r>
          </w:p>
        </w:tc>
        <w:tc>
          <w:tcPr>
            <w:tcW w:w="716" w:type="dxa"/>
            <w:tcBorders>
              <w:tl2br w:val="nil"/>
              <w:tr2bl w:val="nil"/>
            </w:tcBorders>
            <w:tcMar>
              <w:top w:w="15" w:type="dxa"/>
              <w:left w:w="15" w:type="dxa"/>
              <w:right w:w="15" w:type="dxa"/>
            </w:tcMar>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w:t>
            </w:r>
          </w:p>
        </w:tc>
        <w:tc>
          <w:tcPr>
            <w:tcW w:w="776"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3～15</w:t>
            </w:r>
          </w:p>
        </w:tc>
        <w:tc>
          <w:tcPr>
            <w:tcW w:w="101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15～75</w:t>
            </w:r>
          </w:p>
        </w:tc>
        <w:tc>
          <w:tcPr>
            <w:tcW w:w="89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低～一般</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683"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5</w:t>
            </w:r>
          </w:p>
        </w:tc>
        <w:tc>
          <w:tcPr>
            <w:tcW w:w="828" w:type="dxa"/>
            <w:vMerge w:val="continue"/>
            <w:tcBorders>
              <w:tl2br w:val="nil"/>
              <w:tr2bl w:val="nil"/>
            </w:tcBorders>
            <w:tcMar>
              <w:top w:w="15" w:type="dxa"/>
              <w:left w:w="15" w:type="dxa"/>
              <w:right w:w="15" w:type="dxa"/>
            </w:tcMar>
            <w:vAlign w:val="center"/>
          </w:tcPr>
          <w:p>
            <w:pPr>
              <w:snapToGrid w:val="0"/>
              <w:jc w:val="center"/>
              <w:rPr>
                <w:rFonts w:cs="宋体" w:asciiTheme="minorEastAsia" w:hAnsiTheme="minorEastAsia" w:eastAsiaTheme="minorEastAsia"/>
                <w:sz w:val="18"/>
                <w:szCs w:val="18"/>
              </w:rPr>
            </w:pPr>
          </w:p>
        </w:tc>
        <w:tc>
          <w:tcPr>
            <w:tcW w:w="1157" w:type="dxa"/>
            <w:vMerge w:val="continue"/>
            <w:tcBorders>
              <w:tl2br w:val="nil"/>
              <w:tr2bl w:val="nil"/>
            </w:tcBorders>
            <w:tcMar>
              <w:top w:w="15" w:type="dxa"/>
              <w:left w:w="15" w:type="dxa"/>
              <w:right w:w="15" w:type="dxa"/>
            </w:tcMar>
            <w:vAlign w:val="center"/>
          </w:tcPr>
          <w:p>
            <w:pPr>
              <w:snapToGrid w:val="0"/>
              <w:jc w:val="center"/>
              <w:rPr>
                <w:rFonts w:cs="宋体" w:asciiTheme="minorEastAsia" w:hAnsiTheme="minorEastAsia" w:eastAsiaTheme="minorEastAsia"/>
                <w:sz w:val="18"/>
                <w:szCs w:val="18"/>
              </w:rPr>
            </w:pPr>
          </w:p>
        </w:tc>
        <w:tc>
          <w:tcPr>
            <w:tcW w:w="1562"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引水渠翼墙</w:t>
            </w:r>
          </w:p>
        </w:tc>
        <w:tc>
          <w:tcPr>
            <w:tcW w:w="2121"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沉降变形、渗透破坏</w:t>
            </w:r>
          </w:p>
        </w:tc>
        <w:tc>
          <w:tcPr>
            <w:tcW w:w="2779" w:type="dxa"/>
            <w:gridSpan w:val="2"/>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滑移、裂缝、变形、倾覆、倒塌</w:t>
            </w:r>
          </w:p>
        </w:tc>
        <w:tc>
          <w:tcPr>
            <w:tcW w:w="895"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LS法</w:t>
            </w:r>
          </w:p>
        </w:tc>
        <w:tc>
          <w:tcPr>
            <w:tcW w:w="895"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5～30</w:t>
            </w:r>
          </w:p>
        </w:tc>
        <w:tc>
          <w:tcPr>
            <w:tcW w:w="716" w:type="dxa"/>
            <w:tcBorders>
              <w:tl2br w:val="nil"/>
              <w:tr2bl w:val="nil"/>
            </w:tcBorders>
            <w:tcMar>
              <w:top w:w="15" w:type="dxa"/>
              <w:left w:w="15" w:type="dxa"/>
              <w:right w:w="15" w:type="dxa"/>
            </w:tcMar>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w:t>
            </w:r>
          </w:p>
        </w:tc>
        <w:tc>
          <w:tcPr>
            <w:tcW w:w="776"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3～15</w:t>
            </w:r>
          </w:p>
        </w:tc>
        <w:tc>
          <w:tcPr>
            <w:tcW w:w="1015"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15～450</w:t>
            </w:r>
          </w:p>
        </w:tc>
        <w:tc>
          <w:tcPr>
            <w:tcW w:w="89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低～重大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683"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6</w:t>
            </w:r>
          </w:p>
        </w:tc>
        <w:tc>
          <w:tcPr>
            <w:tcW w:w="828" w:type="dxa"/>
            <w:vMerge w:val="continue"/>
            <w:tcBorders>
              <w:tl2br w:val="nil"/>
              <w:tr2bl w:val="nil"/>
            </w:tcBorders>
            <w:tcMar>
              <w:top w:w="15" w:type="dxa"/>
              <w:left w:w="15" w:type="dxa"/>
              <w:right w:w="15" w:type="dxa"/>
            </w:tcMar>
            <w:vAlign w:val="center"/>
          </w:tcPr>
          <w:p>
            <w:pPr>
              <w:snapToGrid w:val="0"/>
              <w:jc w:val="center"/>
              <w:rPr>
                <w:rFonts w:cs="宋体" w:asciiTheme="minorEastAsia" w:hAnsiTheme="minorEastAsia" w:eastAsiaTheme="minorEastAsia"/>
                <w:sz w:val="18"/>
                <w:szCs w:val="18"/>
              </w:rPr>
            </w:pPr>
          </w:p>
        </w:tc>
        <w:tc>
          <w:tcPr>
            <w:tcW w:w="1157" w:type="dxa"/>
            <w:vMerge w:val="continue"/>
            <w:tcBorders>
              <w:tl2br w:val="nil"/>
              <w:tr2bl w:val="nil"/>
            </w:tcBorders>
            <w:tcMar>
              <w:top w:w="15" w:type="dxa"/>
              <w:left w:w="15" w:type="dxa"/>
              <w:right w:w="15" w:type="dxa"/>
            </w:tcMar>
            <w:vAlign w:val="center"/>
          </w:tcPr>
          <w:p>
            <w:pPr>
              <w:snapToGrid w:val="0"/>
              <w:jc w:val="center"/>
              <w:rPr>
                <w:rFonts w:cs="宋体" w:asciiTheme="minorEastAsia" w:hAnsiTheme="minorEastAsia" w:eastAsiaTheme="minorEastAsia"/>
                <w:sz w:val="18"/>
                <w:szCs w:val="18"/>
              </w:rPr>
            </w:pPr>
          </w:p>
        </w:tc>
        <w:tc>
          <w:tcPr>
            <w:tcW w:w="1562"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引水隧洞</w:t>
            </w:r>
          </w:p>
        </w:tc>
        <w:tc>
          <w:tcPr>
            <w:tcW w:w="2121"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不良地质，接缝破损、止水失效、高速水流</w:t>
            </w:r>
          </w:p>
        </w:tc>
        <w:tc>
          <w:tcPr>
            <w:tcW w:w="2779" w:type="dxa"/>
            <w:gridSpan w:val="2"/>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变形，结构破坏、失稳、渗漏、气蚀</w:t>
            </w:r>
          </w:p>
        </w:tc>
        <w:tc>
          <w:tcPr>
            <w:tcW w:w="89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LS法</w:t>
            </w:r>
          </w:p>
        </w:tc>
        <w:tc>
          <w:tcPr>
            <w:tcW w:w="89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5～30</w:t>
            </w:r>
          </w:p>
        </w:tc>
        <w:tc>
          <w:tcPr>
            <w:tcW w:w="716" w:type="dxa"/>
            <w:tcBorders>
              <w:tl2br w:val="nil"/>
              <w:tr2bl w:val="nil"/>
            </w:tcBorders>
            <w:tcMar>
              <w:top w:w="15" w:type="dxa"/>
              <w:left w:w="15" w:type="dxa"/>
              <w:right w:w="15" w:type="dxa"/>
            </w:tcMar>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w:t>
            </w:r>
          </w:p>
        </w:tc>
        <w:tc>
          <w:tcPr>
            <w:tcW w:w="776"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3～15</w:t>
            </w:r>
          </w:p>
        </w:tc>
        <w:tc>
          <w:tcPr>
            <w:tcW w:w="101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15～450</w:t>
            </w:r>
          </w:p>
        </w:tc>
        <w:tc>
          <w:tcPr>
            <w:tcW w:w="89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低～重大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683"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7</w:t>
            </w:r>
          </w:p>
        </w:tc>
        <w:tc>
          <w:tcPr>
            <w:tcW w:w="828" w:type="dxa"/>
            <w:vMerge w:val="continue"/>
            <w:tcBorders>
              <w:tl2br w:val="nil"/>
              <w:tr2bl w:val="nil"/>
            </w:tcBorders>
            <w:tcMar>
              <w:top w:w="15" w:type="dxa"/>
              <w:left w:w="15" w:type="dxa"/>
              <w:right w:w="15" w:type="dxa"/>
            </w:tcMar>
            <w:vAlign w:val="center"/>
          </w:tcPr>
          <w:p>
            <w:pPr>
              <w:snapToGrid w:val="0"/>
              <w:jc w:val="center"/>
              <w:rPr>
                <w:rFonts w:cs="宋体" w:asciiTheme="minorEastAsia" w:hAnsiTheme="minorEastAsia" w:eastAsiaTheme="minorEastAsia"/>
                <w:sz w:val="18"/>
                <w:szCs w:val="18"/>
              </w:rPr>
            </w:pPr>
          </w:p>
        </w:tc>
        <w:tc>
          <w:tcPr>
            <w:tcW w:w="1157" w:type="dxa"/>
            <w:vMerge w:val="restart"/>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尾水建筑物</w:t>
            </w:r>
          </w:p>
        </w:tc>
        <w:tc>
          <w:tcPr>
            <w:tcW w:w="1562"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尾水洞</w:t>
            </w:r>
          </w:p>
        </w:tc>
        <w:tc>
          <w:tcPr>
            <w:tcW w:w="2121"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水流冲刷</w:t>
            </w:r>
          </w:p>
        </w:tc>
        <w:tc>
          <w:tcPr>
            <w:tcW w:w="2779" w:type="dxa"/>
            <w:gridSpan w:val="2"/>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结构破坏、气蚀</w:t>
            </w:r>
          </w:p>
        </w:tc>
        <w:tc>
          <w:tcPr>
            <w:tcW w:w="89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LS法</w:t>
            </w:r>
          </w:p>
        </w:tc>
        <w:tc>
          <w:tcPr>
            <w:tcW w:w="89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5～10</w:t>
            </w:r>
          </w:p>
        </w:tc>
        <w:tc>
          <w:tcPr>
            <w:tcW w:w="716" w:type="dxa"/>
            <w:tcBorders>
              <w:tl2br w:val="nil"/>
              <w:tr2bl w:val="nil"/>
            </w:tcBorders>
            <w:tcMar>
              <w:top w:w="15" w:type="dxa"/>
              <w:left w:w="15" w:type="dxa"/>
              <w:right w:w="15" w:type="dxa"/>
            </w:tcMar>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w:t>
            </w:r>
          </w:p>
        </w:tc>
        <w:tc>
          <w:tcPr>
            <w:tcW w:w="776"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3～15</w:t>
            </w:r>
          </w:p>
        </w:tc>
        <w:tc>
          <w:tcPr>
            <w:tcW w:w="101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15～150</w:t>
            </w:r>
          </w:p>
        </w:tc>
        <w:tc>
          <w:tcPr>
            <w:tcW w:w="89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低～一般</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683"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8</w:t>
            </w:r>
          </w:p>
        </w:tc>
        <w:tc>
          <w:tcPr>
            <w:tcW w:w="828" w:type="dxa"/>
            <w:vMerge w:val="continue"/>
            <w:tcBorders>
              <w:tl2br w:val="nil"/>
              <w:tr2bl w:val="nil"/>
            </w:tcBorders>
            <w:tcMar>
              <w:top w:w="15" w:type="dxa"/>
              <w:left w:w="15" w:type="dxa"/>
              <w:right w:w="15" w:type="dxa"/>
            </w:tcMar>
            <w:vAlign w:val="center"/>
          </w:tcPr>
          <w:p>
            <w:pPr>
              <w:snapToGrid w:val="0"/>
              <w:jc w:val="center"/>
              <w:rPr>
                <w:rFonts w:cs="宋体" w:asciiTheme="minorEastAsia" w:hAnsiTheme="minorEastAsia" w:eastAsiaTheme="minorEastAsia"/>
                <w:sz w:val="18"/>
                <w:szCs w:val="18"/>
              </w:rPr>
            </w:pPr>
          </w:p>
        </w:tc>
        <w:tc>
          <w:tcPr>
            <w:tcW w:w="1157" w:type="dxa"/>
            <w:vMerge w:val="continue"/>
            <w:tcBorders>
              <w:tl2br w:val="nil"/>
              <w:tr2bl w:val="nil"/>
            </w:tcBorders>
            <w:tcMar>
              <w:top w:w="15" w:type="dxa"/>
              <w:left w:w="15" w:type="dxa"/>
              <w:right w:w="15" w:type="dxa"/>
            </w:tcMar>
            <w:vAlign w:val="center"/>
          </w:tcPr>
          <w:p>
            <w:pPr>
              <w:snapToGrid w:val="0"/>
              <w:textAlignment w:val="center"/>
              <w:rPr>
                <w:rFonts w:cs="宋体" w:asciiTheme="minorEastAsia" w:hAnsiTheme="minorEastAsia" w:eastAsiaTheme="minorEastAsia"/>
                <w:sz w:val="18"/>
                <w:szCs w:val="18"/>
                <w:lang w:bidi="ar"/>
              </w:rPr>
            </w:pPr>
          </w:p>
        </w:tc>
        <w:tc>
          <w:tcPr>
            <w:tcW w:w="1562"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尾水渠</w:t>
            </w:r>
          </w:p>
        </w:tc>
        <w:tc>
          <w:tcPr>
            <w:tcW w:w="2121"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水流冲刷、淤积物</w:t>
            </w:r>
          </w:p>
        </w:tc>
        <w:tc>
          <w:tcPr>
            <w:tcW w:w="2779" w:type="dxa"/>
            <w:gridSpan w:val="2"/>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凹陷、滑坡、堵塞</w:t>
            </w:r>
          </w:p>
        </w:tc>
        <w:tc>
          <w:tcPr>
            <w:tcW w:w="89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LS法</w:t>
            </w:r>
          </w:p>
        </w:tc>
        <w:tc>
          <w:tcPr>
            <w:tcW w:w="89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5～5</w:t>
            </w:r>
          </w:p>
        </w:tc>
        <w:tc>
          <w:tcPr>
            <w:tcW w:w="716" w:type="dxa"/>
            <w:tcBorders>
              <w:tl2br w:val="nil"/>
              <w:tr2bl w:val="nil"/>
            </w:tcBorders>
            <w:tcMar>
              <w:top w:w="15" w:type="dxa"/>
              <w:left w:w="15" w:type="dxa"/>
              <w:right w:w="15" w:type="dxa"/>
            </w:tcMar>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w:t>
            </w:r>
          </w:p>
        </w:tc>
        <w:tc>
          <w:tcPr>
            <w:tcW w:w="776"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3～15</w:t>
            </w:r>
          </w:p>
        </w:tc>
        <w:tc>
          <w:tcPr>
            <w:tcW w:w="101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15～75</w:t>
            </w:r>
          </w:p>
        </w:tc>
        <w:tc>
          <w:tcPr>
            <w:tcW w:w="89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低～一般</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683"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9</w:t>
            </w:r>
          </w:p>
        </w:tc>
        <w:tc>
          <w:tcPr>
            <w:tcW w:w="828" w:type="dxa"/>
            <w:vMerge w:val="restart"/>
            <w:tcBorders>
              <w:tl2br w:val="nil"/>
              <w:tr2bl w:val="nil"/>
            </w:tcBorders>
            <w:tcMar>
              <w:top w:w="15" w:type="dxa"/>
              <w:left w:w="15" w:type="dxa"/>
              <w:right w:w="15" w:type="dxa"/>
            </w:tcMar>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构（建）筑物类</w:t>
            </w:r>
          </w:p>
        </w:tc>
        <w:tc>
          <w:tcPr>
            <w:tcW w:w="1157" w:type="dxa"/>
            <w:tcBorders>
              <w:tl2br w:val="nil"/>
              <w:tr2bl w:val="nil"/>
            </w:tcBorders>
            <w:tcMar>
              <w:top w:w="15" w:type="dxa"/>
              <w:left w:w="15" w:type="dxa"/>
              <w:right w:w="15" w:type="dxa"/>
            </w:tcMar>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尾水建筑物</w:t>
            </w:r>
          </w:p>
        </w:tc>
        <w:tc>
          <w:tcPr>
            <w:tcW w:w="1562"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尾水渠翼墙</w:t>
            </w:r>
          </w:p>
        </w:tc>
        <w:tc>
          <w:tcPr>
            <w:tcW w:w="2121"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沉降变形、渗透破坏</w:t>
            </w:r>
          </w:p>
        </w:tc>
        <w:tc>
          <w:tcPr>
            <w:tcW w:w="2779" w:type="dxa"/>
            <w:gridSpan w:val="2"/>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滑移、裂缝、变形、倾覆、倒塌</w:t>
            </w:r>
          </w:p>
        </w:tc>
        <w:tc>
          <w:tcPr>
            <w:tcW w:w="895"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LS法</w:t>
            </w:r>
          </w:p>
        </w:tc>
        <w:tc>
          <w:tcPr>
            <w:tcW w:w="895"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5～30</w:t>
            </w:r>
          </w:p>
        </w:tc>
        <w:tc>
          <w:tcPr>
            <w:tcW w:w="716" w:type="dxa"/>
            <w:tcBorders>
              <w:tl2br w:val="nil"/>
              <w:tr2bl w:val="nil"/>
            </w:tcBorders>
            <w:tcMar>
              <w:top w:w="15" w:type="dxa"/>
              <w:left w:w="15" w:type="dxa"/>
              <w:right w:w="15" w:type="dxa"/>
            </w:tcMar>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w:t>
            </w:r>
          </w:p>
        </w:tc>
        <w:tc>
          <w:tcPr>
            <w:tcW w:w="776"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3～15</w:t>
            </w:r>
          </w:p>
        </w:tc>
        <w:tc>
          <w:tcPr>
            <w:tcW w:w="1015"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15～450</w:t>
            </w:r>
          </w:p>
        </w:tc>
        <w:tc>
          <w:tcPr>
            <w:tcW w:w="89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低～重大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683"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10</w:t>
            </w:r>
          </w:p>
        </w:tc>
        <w:tc>
          <w:tcPr>
            <w:tcW w:w="828" w:type="dxa"/>
            <w:vMerge w:val="continue"/>
            <w:tcBorders>
              <w:tl2br w:val="nil"/>
              <w:tr2bl w:val="nil"/>
            </w:tcBorders>
            <w:tcMar>
              <w:top w:w="15" w:type="dxa"/>
              <w:left w:w="15" w:type="dxa"/>
              <w:right w:w="15" w:type="dxa"/>
            </w:tcMar>
            <w:vAlign w:val="center"/>
          </w:tcPr>
          <w:p>
            <w:pPr>
              <w:snapToGrid w:val="0"/>
              <w:jc w:val="center"/>
              <w:rPr>
                <w:rFonts w:cs="宋体" w:asciiTheme="minorEastAsia" w:hAnsiTheme="minorEastAsia" w:eastAsiaTheme="minorEastAsia"/>
                <w:sz w:val="18"/>
                <w:szCs w:val="18"/>
              </w:rPr>
            </w:pPr>
          </w:p>
        </w:tc>
        <w:tc>
          <w:tcPr>
            <w:tcW w:w="1157" w:type="dxa"/>
            <w:vMerge w:val="restart"/>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厂房</w:t>
            </w:r>
          </w:p>
        </w:tc>
        <w:tc>
          <w:tcPr>
            <w:tcW w:w="1562"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厂房结构</w:t>
            </w:r>
          </w:p>
        </w:tc>
        <w:tc>
          <w:tcPr>
            <w:tcW w:w="2121"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变形、裂缝、渗漏</w:t>
            </w:r>
          </w:p>
        </w:tc>
        <w:tc>
          <w:tcPr>
            <w:tcW w:w="2779" w:type="dxa"/>
            <w:gridSpan w:val="2"/>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结构破坏、渗漏</w:t>
            </w:r>
          </w:p>
        </w:tc>
        <w:tc>
          <w:tcPr>
            <w:tcW w:w="89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LS法</w:t>
            </w:r>
          </w:p>
        </w:tc>
        <w:tc>
          <w:tcPr>
            <w:tcW w:w="89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5～30</w:t>
            </w:r>
          </w:p>
        </w:tc>
        <w:tc>
          <w:tcPr>
            <w:tcW w:w="716" w:type="dxa"/>
            <w:tcBorders>
              <w:tl2br w:val="nil"/>
              <w:tr2bl w:val="nil"/>
            </w:tcBorders>
            <w:tcMar>
              <w:top w:w="15" w:type="dxa"/>
              <w:left w:w="15" w:type="dxa"/>
              <w:right w:w="15" w:type="dxa"/>
            </w:tcMar>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w:t>
            </w:r>
          </w:p>
        </w:tc>
        <w:tc>
          <w:tcPr>
            <w:tcW w:w="776"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3～15</w:t>
            </w:r>
          </w:p>
        </w:tc>
        <w:tc>
          <w:tcPr>
            <w:tcW w:w="101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15～450</w:t>
            </w:r>
          </w:p>
        </w:tc>
        <w:tc>
          <w:tcPr>
            <w:tcW w:w="89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低～重大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683"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11</w:t>
            </w:r>
          </w:p>
        </w:tc>
        <w:tc>
          <w:tcPr>
            <w:tcW w:w="828" w:type="dxa"/>
            <w:vMerge w:val="continue"/>
            <w:tcBorders>
              <w:tl2br w:val="nil"/>
              <w:tr2bl w:val="nil"/>
            </w:tcBorders>
            <w:tcMar>
              <w:top w:w="15" w:type="dxa"/>
              <w:left w:w="15" w:type="dxa"/>
              <w:right w:w="15" w:type="dxa"/>
            </w:tcMar>
            <w:vAlign w:val="center"/>
          </w:tcPr>
          <w:p>
            <w:pPr>
              <w:snapToGrid w:val="0"/>
              <w:jc w:val="center"/>
              <w:rPr>
                <w:rFonts w:cs="宋体" w:asciiTheme="minorEastAsia" w:hAnsiTheme="minorEastAsia" w:eastAsiaTheme="minorEastAsia"/>
                <w:sz w:val="18"/>
                <w:szCs w:val="18"/>
              </w:rPr>
            </w:pPr>
          </w:p>
        </w:tc>
        <w:tc>
          <w:tcPr>
            <w:tcW w:w="1157" w:type="dxa"/>
            <w:vMerge w:val="continue"/>
            <w:tcBorders>
              <w:tl2br w:val="nil"/>
              <w:tr2bl w:val="nil"/>
            </w:tcBorders>
            <w:noWrap/>
            <w:tcMar>
              <w:top w:w="15" w:type="dxa"/>
              <w:left w:w="15" w:type="dxa"/>
              <w:right w:w="15" w:type="dxa"/>
            </w:tcMar>
            <w:vAlign w:val="center"/>
          </w:tcPr>
          <w:p>
            <w:pPr>
              <w:snapToGrid w:val="0"/>
              <w:jc w:val="center"/>
              <w:rPr>
                <w:rFonts w:cs="宋体" w:asciiTheme="minorEastAsia" w:hAnsiTheme="minorEastAsia" w:eastAsiaTheme="minorEastAsia"/>
                <w:sz w:val="18"/>
                <w:szCs w:val="18"/>
              </w:rPr>
            </w:pPr>
          </w:p>
        </w:tc>
        <w:tc>
          <w:tcPr>
            <w:tcW w:w="1562"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屋面及外墙防水</w:t>
            </w:r>
          </w:p>
        </w:tc>
        <w:tc>
          <w:tcPr>
            <w:tcW w:w="2121"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防水失效、暴雨、雨水管堵塞</w:t>
            </w:r>
          </w:p>
        </w:tc>
        <w:tc>
          <w:tcPr>
            <w:tcW w:w="2779" w:type="dxa"/>
            <w:gridSpan w:val="2"/>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漏水、设备损坏</w:t>
            </w:r>
          </w:p>
        </w:tc>
        <w:tc>
          <w:tcPr>
            <w:tcW w:w="89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LS法</w:t>
            </w:r>
          </w:p>
        </w:tc>
        <w:tc>
          <w:tcPr>
            <w:tcW w:w="89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5～30</w:t>
            </w:r>
          </w:p>
        </w:tc>
        <w:tc>
          <w:tcPr>
            <w:tcW w:w="716" w:type="dxa"/>
            <w:tcBorders>
              <w:tl2br w:val="nil"/>
              <w:tr2bl w:val="nil"/>
            </w:tcBorders>
            <w:tcMar>
              <w:top w:w="15" w:type="dxa"/>
              <w:left w:w="15" w:type="dxa"/>
              <w:right w:w="15" w:type="dxa"/>
            </w:tcMar>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w:t>
            </w:r>
          </w:p>
        </w:tc>
        <w:tc>
          <w:tcPr>
            <w:tcW w:w="776"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3～15</w:t>
            </w:r>
          </w:p>
        </w:tc>
        <w:tc>
          <w:tcPr>
            <w:tcW w:w="101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15～450</w:t>
            </w:r>
          </w:p>
        </w:tc>
        <w:tc>
          <w:tcPr>
            <w:tcW w:w="89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低～重大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683"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12</w:t>
            </w:r>
          </w:p>
        </w:tc>
        <w:tc>
          <w:tcPr>
            <w:tcW w:w="828" w:type="dxa"/>
            <w:vMerge w:val="continue"/>
            <w:tcBorders>
              <w:tl2br w:val="nil"/>
              <w:tr2bl w:val="nil"/>
            </w:tcBorders>
            <w:tcMar>
              <w:top w:w="15" w:type="dxa"/>
              <w:left w:w="15" w:type="dxa"/>
              <w:right w:w="15" w:type="dxa"/>
            </w:tcMar>
            <w:vAlign w:val="center"/>
          </w:tcPr>
          <w:p>
            <w:pPr>
              <w:snapToGrid w:val="0"/>
              <w:jc w:val="center"/>
              <w:rPr>
                <w:rFonts w:cs="宋体" w:asciiTheme="minorEastAsia" w:hAnsiTheme="minorEastAsia" w:eastAsiaTheme="minorEastAsia"/>
                <w:sz w:val="18"/>
                <w:szCs w:val="18"/>
              </w:rPr>
            </w:pPr>
          </w:p>
        </w:tc>
        <w:tc>
          <w:tcPr>
            <w:tcW w:w="1157"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升压站、开关站</w:t>
            </w:r>
          </w:p>
        </w:tc>
        <w:tc>
          <w:tcPr>
            <w:tcW w:w="1562"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基础及支架</w:t>
            </w:r>
          </w:p>
        </w:tc>
        <w:tc>
          <w:tcPr>
            <w:tcW w:w="2121"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沉降、倾覆</w:t>
            </w:r>
          </w:p>
        </w:tc>
        <w:tc>
          <w:tcPr>
            <w:tcW w:w="2779" w:type="dxa"/>
            <w:gridSpan w:val="2"/>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设备损坏</w:t>
            </w:r>
          </w:p>
        </w:tc>
        <w:tc>
          <w:tcPr>
            <w:tcW w:w="89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LS法</w:t>
            </w:r>
          </w:p>
        </w:tc>
        <w:tc>
          <w:tcPr>
            <w:tcW w:w="89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5～30</w:t>
            </w:r>
          </w:p>
        </w:tc>
        <w:tc>
          <w:tcPr>
            <w:tcW w:w="716" w:type="dxa"/>
            <w:tcBorders>
              <w:tl2br w:val="nil"/>
              <w:tr2bl w:val="nil"/>
            </w:tcBorders>
            <w:tcMar>
              <w:top w:w="15" w:type="dxa"/>
              <w:left w:w="15" w:type="dxa"/>
              <w:right w:w="15" w:type="dxa"/>
            </w:tcMar>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w:t>
            </w:r>
          </w:p>
        </w:tc>
        <w:tc>
          <w:tcPr>
            <w:tcW w:w="776"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3～15</w:t>
            </w:r>
          </w:p>
        </w:tc>
        <w:tc>
          <w:tcPr>
            <w:tcW w:w="101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15～150</w:t>
            </w:r>
          </w:p>
        </w:tc>
        <w:tc>
          <w:tcPr>
            <w:tcW w:w="89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低～重大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683"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13</w:t>
            </w:r>
          </w:p>
        </w:tc>
        <w:tc>
          <w:tcPr>
            <w:tcW w:w="828" w:type="dxa"/>
            <w:vMerge w:val="continue"/>
            <w:tcBorders>
              <w:tl2br w:val="nil"/>
              <w:tr2bl w:val="nil"/>
            </w:tcBorders>
            <w:tcMar>
              <w:top w:w="15" w:type="dxa"/>
              <w:left w:w="15" w:type="dxa"/>
              <w:right w:w="15" w:type="dxa"/>
            </w:tcMar>
            <w:vAlign w:val="center"/>
          </w:tcPr>
          <w:p>
            <w:pPr>
              <w:snapToGrid w:val="0"/>
              <w:jc w:val="center"/>
              <w:rPr>
                <w:rFonts w:cs="宋体" w:asciiTheme="minorEastAsia" w:hAnsiTheme="minorEastAsia" w:eastAsiaTheme="minorEastAsia"/>
                <w:sz w:val="18"/>
                <w:szCs w:val="18"/>
              </w:rPr>
            </w:pPr>
          </w:p>
        </w:tc>
        <w:tc>
          <w:tcPr>
            <w:tcW w:w="1157"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管理房</w:t>
            </w:r>
          </w:p>
        </w:tc>
        <w:tc>
          <w:tcPr>
            <w:tcW w:w="1562"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结构、屋面及外墙防水</w:t>
            </w:r>
          </w:p>
        </w:tc>
        <w:tc>
          <w:tcPr>
            <w:tcW w:w="2121"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变形、裂缝、渗漏、防水失效</w:t>
            </w:r>
          </w:p>
        </w:tc>
        <w:tc>
          <w:tcPr>
            <w:tcW w:w="2779" w:type="dxa"/>
            <w:gridSpan w:val="2"/>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结构破坏、渗漏、影响使用</w:t>
            </w:r>
          </w:p>
        </w:tc>
        <w:tc>
          <w:tcPr>
            <w:tcW w:w="89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LS法</w:t>
            </w:r>
          </w:p>
        </w:tc>
        <w:tc>
          <w:tcPr>
            <w:tcW w:w="89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5～10</w:t>
            </w:r>
          </w:p>
        </w:tc>
        <w:tc>
          <w:tcPr>
            <w:tcW w:w="716" w:type="dxa"/>
            <w:tcBorders>
              <w:tl2br w:val="nil"/>
              <w:tr2bl w:val="nil"/>
            </w:tcBorders>
            <w:tcMar>
              <w:top w:w="15" w:type="dxa"/>
              <w:left w:w="15" w:type="dxa"/>
              <w:right w:w="15" w:type="dxa"/>
            </w:tcMar>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w:t>
            </w:r>
          </w:p>
        </w:tc>
        <w:tc>
          <w:tcPr>
            <w:tcW w:w="776"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3～15</w:t>
            </w:r>
          </w:p>
        </w:tc>
        <w:tc>
          <w:tcPr>
            <w:tcW w:w="101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15～150</w:t>
            </w:r>
          </w:p>
        </w:tc>
        <w:tc>
          <w:tcPr>
            <w:tcW w:w="89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低～一般</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683"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14</w:t>
            </w:r>
          </w:p>
        </w:tc>
        <w:tc>
          <w:tcPr>
            <w:tcW w:w="828" w:type="dxa"/>
            <w:vMerge w:val="continue"/>
            <w:tcBorders>
              <w:tl2br w:val="nil"/>
              <w:tr2bl w:val="nil"/>
            </w:tcBorders>
            <w:tcMar>
              <w:top w:w="15" w:type="dxa"/>
              <w:left w:w="15" w:type="dxa"/>
              <w:right w:w="15" w:type="dxa"/>
            </w:tcMar>
            <w:vAlign w:val="center"/>
          </w:tcPr>
          <w:p>
            <w:pPr>
              <w:snapToGrid w:val="0"/>
              <w:jc w:val="center"/>
              <w:rPr>
                <w:rFonts w:cs="宋体" w:asciiTheme="minorEastAsia" w:hAnsiTheme="minorEastAsia" w:eastAsiaTheme="minorEastAsia"/>
                <w:sz w:val="18"/>
                <w:szCs w:val="18"/>
              </w:rPr>
            </w:pPr>
          </w:p>
        </w:tc>
        <w:tc>
          <w:tcPr>
            <w:tcW w:w="1157"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岸坡</w:t>
            </w:r>
          </w:p>
        </w:tc>
        <w:tc>
          <w:tcPr>
            <w:tcW w:w="1562"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岸坡</w:t>
            </w:r>
          </w:p>
        </w:tc>
        <w:tc>
          <w:tcPr>
            <w:tcW w:w="2121"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不良地质、水流冲刷、浸润线涨高</w:t>
            </w:r>
          </w:p>
        </w:tc>
        <w:tc>
          <w:tcPr>
            <w:tcW w:w="2779" w:type="dxa"/>
            <w:gridSpan w:val="2"/>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滑坡、失稳、坍塌</w:t>
            </w:r>
          </w:p>
        </w:tc>
        <w:tc>
          <w:tcPr>
            <w:tcW w:w="895"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LS法</w:t>
            </w:r>
          </w:p>
        </w:tc>
        <w:tc>
          <w:tcPr>
            <w:tcW w:w="895"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5～30</w:t>
            </w:r>
          </w:p>
        </w:tc>
        <w:tc>
          <w:tcPr>
            <w:tcW w:w="716" w:type="dxa"/>
            <w:tcBorders>
              <w:tl2br w:val="nil"/>
              <w:tr2bl w:val="nil"/>
            </w:tcBorders>
            <w:tcMar>
              <w:top w:w="15" w:type="dxa"/>
              <w:left w:w="15" w:type="dxa"/>
              <w:right w:w="15" w:type="dxa"/>
            </w:tcMar>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w:t>
            </w:r>
          </w:p>
        </w:tc>
        <w:tc>
          <w:tcPr>
            <w:tcW w:w="776"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3～15</w:t>
            </w:r>
          </w:p>
        </w:tc>
        <w:tc>
          <w:tcPr>
            <w:tcW w:w="1015"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15～450</w:t>
            </w:r>
          </w:p>
        </w:tc>
        <w:tc>
          <w:tcPr>
            <w:tcW w:w="89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低～重大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683"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15</w:t>
            </w:r>
          </w:p>
        </w:tc>
        <w:tc>
          <w:tcPr>
            <w:tcW w:w="828" w:type="dxa"/>
            <w:vMerge w:val="restart"/>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金属结构类</w:t>
            </w:r>
          </w:p>
        </w:tc>
        <w:tc>
          <w:tcPr>
            <w:tcW w:w="1157" w:type="dxa"/>
            <w:vMerge w:val="restart"/>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闸门</w:t>
            </w:r>
          </w:p>
        </w:tc>
        <w:tc>
          <w:tcPr>
            <w:tcW w:w="1562"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工作闸门（进水口）</w:t>
            </w:r>
          </w:p>
        </w:tc>
        <w:tc>
          <w:tcPr>
            <w:tcW w:w="2121"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磨损、锈蚀、潜孔式闸通气不畅</w:t>
            </w:r>
          </w:p>
        </w:tc>
        <w:tc>
          <w:tcPr>
            <w:tcW w:w="2779" w:type="dxa"/>
            <w:gridSpan w:val="2"/>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止水失效、锈蚀损坏、振动、气蚀</w:t>
            </w:r>
          </w:p>
        </w:tc>
        <w:tc>
          <w:tcPr>
            <w:tcW w:w="89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LS法</w:t>
            </w:r>
          </w:p>
        </w:tc>
        <w:tc>
          <w:tcPr>
            <w:tcW w:w="89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5～30</w:t>
            </w:r>
          </w:p>
        </w:tc>
        <w:tc>
          <w:tcPr>
            <w:tcW w:w="716" w:type="dxa"/>
            <w:tcBorders>
              <w:tl2br w:val="nil"/>
              <w:tr2bl w:val="nil"/>
            </w:tcBorders>
            <w:tcMar>
              <w:top w:w="15" w:type="dxa"/>
              <w:left w:w="15" w:type="dxa"/>
              <w:right w:w="15" w:type="dxa"/>
            </w:tcMar>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w:t>
            </w:r>
          </w:p>
        </w:tc>
        <w:tc>
          <w:tcPr>
            <w:tcW w:w="776"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3～15</w:t>
            </w:r>
          </w:p>
        </w:tc>
        <w:tc>
          <w:tcPr>
            <w:tcW w:w="101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15～450</w:t>
            </w:r>
          </w:p>
        </w:tc>
        <w:tc>
          <w:tcPr>
            <w:tcW w:w="89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低～重大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683"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16</w:t>
            </w:r>
          </w:p>
        </w:tc>
        <w:tc>
          <w:tcPr>
            <w:tcW w:w="828" w:type="dxa"/>
            <w:vMerge w:val="continue"/>
            <w:tcBorders>
              <w:tl2br w:val="nil"/>
              <w:tr2bl w:val="nil"/>
            </w:tcBorders>
            <w:noWrap/>
            <w:tcMar>
              <w:top w:w="15" w:type="dxa"/>
              <w:left w:w="15" w:type="dxa"/>
              <w:right w:w="15" w:type="dxa"/>
            </w:tcMar>
            <w:vAlign w:val="center"/>
          </w:tcPr>
          <w:p>
            <w:pPr>
              <w:snapToGrid w:val="0"/>
              <w:jc w:val="center"/>
              <w:rPr>
                <w:rFonts w:cs="宋体" w:asciiTheme="minorEastAsia" w:hAnsiTheme="minorEastAsia" w:eastAsiaTheme="minorEastAsia"/>
                <w:sz w:val="18"/>
                <w:szCs w:val="18"/>
              </w:rPr>
            </w:pPr>
          </w:p>
        </w:tc>
        <w:tc>
          <w:tcPr>
            <w:tcW w:w="1157" w:type="dxa"/>
            <w:vMerge w:val="continue"/>
            <w:tcBorders>
              <w:tl2br w:val="nil"/>
              <w:tr2bl w:val="nil"/>
            </w:tcBorders>
            <w:noWrap/>
            <w:tcMar>
              <w:top w:w="15" w:type="dxa"/>
              <w:left w:w="15" w:type="dxa"/>
              <w:right w:w="15" w:type="dxa"/>
            </w:tcMar>
            <w:vAlign w:val="center"/>
          </w:tcPr>
          <w:p>
            <w:pPr>
              <w:snapToGrid w:val="0"/>
              <w:jc w:val="center"/>
              <w:rPr>
                <w:rFonts w:cs="宋体" w:asciiTheme="minorEastAsia" w:hAnsiTheme="minorEastAsia" w:eastAsiaTheme="minorEastAsia"/>
                <w:sz w:val="18"/>
                <w:szCs w:val="18"/>
              </w:rPr>
            </w:pPr>
          </w:p>
        </w:tc>
        <w:tc>
          <w:tcPr>
            <w:tcW w:w="1562"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检修闸门</w:t>
            </w:r>
          </w:p>
        </w:tc>
        <w:tc>
          <w:tcPr>
            <w:tcW w:w="2121"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磨损、锈蚀</w:t>
            </w:r>
          </w:p>
        </w:tc>
        <w:tc>
          <w:tcPr>
            <w:tcW w:w="2779" w:type="dxa"/>
            <w:gridSpan w:val="2"/>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止水失效、锈蚀损坏</w:t>
            </w:r>
          </w:p>
        </w:tc>
        <w:tc>
          <w:tcPr>
            <w:tcW w:w="89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LS法</w:t>
            </w:r>
          </w:p>
        </w:tc>
        <w:tc>
          <w:tcPr>
            <w:tcW w:w="89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5～5</w:t>
            </w:r>
          </w:p>
        </w:tc>
        <w:tc>
          <w:tcPr>
            <w:tcW w:w="716" w:type="dxa"/>
            <w:tcBorders>
              <w:tl2br w:val="nil"/>
              <w:tr2bl w:val="nil"/>
            </w:tcBorders>
            <w:tcMar>
              <w:top w:w="15" w:type="dxa"/>
              <w:left w:w="15" w:type="dxa"/>
              <w:right w:w="15" w:type="dxa"/>
            </w:tcMar>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w:t>
            </w:r>
          </w:p>
        </w:tc>
        <w:tc>
          <w:tcPr>
            <w:tcW w:w="776"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3～15</w:t>
            </w:r>
          </w:p>
        </w:tc>
        <w:tc>
          <w:tcPr>
            <w:tcW w:w="101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15～75</w:t>
            </w:r>
          </w:p>
        </w:tc>
        <w:tc>
          <w:tcPr>
            <w:tcW w:w="89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低～一般</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683"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17</w:t>
            </w:r>
          </w:p>
        </w:tc>
        <w:tc>
          <w:tcPr>
            <w:tcW w:w="828" w:type="dxa"/>
            <w:vMerge w:val="continue"/>
            <w:tcBorders>
              <w:tl2br w:val="nil"/>
              <w:tr2bl w:val="nil"/>
            </w:tcBorders>
            <w:noWrap/>
            <w:tcMar>
              <w:top w:w="15" w:type="dxa"/>
              <w:left w:w="15" w:type="dxa"/>
              <w:right w:w="15" w:type="dxa"/>
            </w:tcMar>
            <w:vAlign w:val="center"/>
          </w:tcPr>
          <w:p>
            <w:pPr>
              <w:snapToGrid w:val="0"/>
              <w:jc w:val="center"/>
              <w:rPr>
                <w:rFonts w:cs="宋体" w:asciiTheme="minorEastAsia" w:hAnsiTheme="minorEastAsia" w:eastAsiaTheme="minorEastAsia"/>
                <w:sz w:val="18"/>
                <w:szCs w:val="18"/>
              </w:rPr>
            </w:pPr>
          </w:p>
        </w:tc>
        <w:tc>
          <w:tcPr>
            <w:tcW w:w="1157" w:type="dxa"/>
            <w:vMerge w:val="continue"/>
            <w:tcBorders>
              <w:tl2br w:val="nil"/>
              <w:tr2bl w:val="nil"/>
            </w:tcBorders>
            <w:noWrap/>
            <w:tcMar>
              <w:top w:w="15" w:type="dxa"/>
              <w:left w:w="15" w:type="dxa"/>
              <w:right w:w="15" w:type="dxa"/>
            </w:tcMar>
            <w:vAlign w:val="center"/>
          </w:tcPr>
          <w:p>
            <w:pPr>
              <w:snapToGrid w:val="0"/>
              <w:jc w:val="center"/>
              <w:rPr>
                <w:rFonts w:cs="宋体" w:asciiTheme="minorEastAsia" w:hAnsiTheme="minorEastAsia" w:eastAsiaTheme="minorEastAsia"/>
                <w:sz w:val="18"/>
                <w:szCs w:val="18"/>
              </w:rPr>
            </w:pPr>
          </w:p>
        </w:tc>
        <w:tc>
          <w:tcPr>
            <w:tcW w:w="1562"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事故闸门/快速闸门</w:t>
            </w:r>
          </w:p>
        </w:tc>
        <w:tc>
          <w:tcPr>
            <w:tcW w:w="2121"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不能及时关闭、断流失效</w:t>
            </w:r>
          </w:p>
        </w:tc>
        <w:tc>
          <w:tcPr>
            <w:tcW w:w="2779" w:type="dxa"/>
            <w:gridSpan w:val="2"/>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倒流、机组飞逸</w:t>
            </w:r>
          </w:p>
        </w:tc>
        <w:tc>
          <w:tcPr>
            <w:tcW w:w="89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LS法</w:t>
            </w:r>
          </w:p>
        </w:tc>
        <w:tc>
          <w:tcPr>
            <w:tcW w:w="89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5～30</w:t>
            </w:r>
          </w:p>
        </w:tc>
        <w:tc>
          <w:tcPr>
            <w:tcW w:w="716" w:type="dxa"/>
            <w:tcBorders>
              <w:tl2br w:val="nil"/>
              <w:tr2bl w:val="nil"/>
            </w:tcBorders>
            <w:tcMar>
              <w:top w:w="15" w:type="dxa"/>
              <w:left w:w="15" w:type="dxa"/>
              <w:right w:w="15" w:type="dxa"/>
            </w:tcMar>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w:t>
            </w:r>
          </w:p>
        </w:tc>
        <w:tc>
          <w:tcPr>
            <w:tcW w:w="776"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3～15</w:t>
            </w:r>
          </w:p>
        </w:tc>
        <w:tc>
          <w:tcPr>
            <w:tcW w:w="101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15～450</w:t>
            </w:r>
          </w:p>
        </w:tc>
        <w:tc>
          <w:tcPr>
            <w:tcW w:w="89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低～重大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683"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18</w:t>
            </w:r>
          </w:p>
        </w:tc>
        <w:tc>
          <w:tcPr>
            <w:tcW w:w="828" w:type="dxa"/>
            <w:vMerge w:val="continue"/>
            <w:tcBorders>
              <w:tl2br w:val="nil"/>
              <w:tr2bl w:val="nil"/>
            </w:tcBorders>
            <w:noWrap/>
            <w:tcMar>
              <w:top w:w="15" w:type="dxa"/>
              <w:left w:w="15" w:type="dxa"/>
              <w:right w:w="15" w:type="dxa"/>
            </w:tcMar>
            <w:vAlign w:val="center"/>
          </w:tcPr>
          <w:p>
            <w:pPr>
              <w:snapToGrid w:val="0"/>
              <w:jc w:val="center"/>
              <w:rPr>
                <w:rFonts w:cs="宋体" w:asciiTheme="minorEastAsia" w:hAnsiTheme="minorEastAsia" w:eastAsiaTheme="minorEastAsia"/>
                <w:sz w:val="18"/>
                <w:szCs w:val="18"/>
              </w:rPr>
            </w:pPr>
          </w:p>
        </w:tc>
        <w:tc>
          <w:tcPr>
            <w:tcW w:w="1157" w:type="dxa"/>
            <w:vMerge w:val="continue"/>
            <w:tcBorders>
              <w:tl2br w:val="nil"/>
              <w:tr2bl w:val="nil"/>
            </w:tcBorders>
            <w:noWrap/>
            <w:tcMar>
              <w:top w:w="15" w:type="dxa"/>
              <w:left w:w="15" w:type="dxa"/>
              <w:right w:w="15" w:type="dxa"/>
            </w:tcMar>
            <w:vAlign w:val="center"/>
          </w:tcPr>
          <w:p>
            <w:pPr>
              <w:snapToGrid w:val="0"/>
              <w:jc w:val="center"/>
              <w:rPr>
                <w:rFonts w:cs="宋体" w:asciiTheme="minorEastAsia" w:hAnsiTheme="minorEastAsia" w:eastAsiaTheme="minorEastAsia"/>
                <w:sz w:val="18"/>
                <w:szCs w:val="18"/>
              </w:rPr>
            </w:pPr>
          </w:p>
        </w:tc>
        <w:tc>
          <w:tcPr>
            <w:tcW w:w="1562"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尾水闸门（出水口）</w:t>
            </w:r>
          </w:p>
        </w:tc>
        <w:tc>
          <w:tcPr>
            <w:tcW w:w="2121"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磨损、锈蚀</w:t>
            </w:r>
          </w:p>
        </w:tc>
        <w:tc>
          <w:tcPr>
            <w:tcW w:w="2779" w:type="dxa"/>
            <w:gridSpan w:val="2"/>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止水失效、锈蚀损坏</w:t>
            </w:r>
          </w:p>
        </w:tc>
        <w:tc>
          <w:tcPr>
            <w:tcW w:w="89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LS法</w:t>
            </w:r>
          </w:p>
        </w:tc>
        <w:tc>
          <w:tcPr>
            <w:tcW w:w="89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5～10</w:t>
            </w:r>
          </w:p>
        </w:tc>
        <w:tc>
          <w:tcPr>
            <w:tcW w:w="716" w:type="dxa"/>
            <w:tcBorders>
              <w:tl2br w:val="nil"/>
              <w:tr2bl w:val="nil"/>
            </w:tcBorders>
            <w:tcMar>
              <w:top w:w="15" w:type="dxa"/>
              <w:left w:w="15" w:type="dxa"/>
              <w:right w:w="15" w:type="dxa"/>
            </w:tcMar>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w:t>
            </w:r>
          </w:p>
        </w:tc>
        <w:tc>
          <w:tcPr>
            <w:tcW w:w="776"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3～15</w:t>
            </w:r>
          </w:p>
        </w:tc>
        <w:tc>
          <w:tcPr>
            <w:tcW w:w="101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15～150</w:t>
            </w:r>
          </w:p>
        </w:tc>
        <w:tc>
          <w:tcPr>
            <w:tcW w:w="89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低～一般</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683"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19</w:t>
            </w:r>
          </w:p>
        </w:tc>
        <w:tc>
          <w:tcPr>
            <w:tcW w:w="828" w:type="dxa"/>
            <w:vMerge w:val="restart"/>
            <w:tcBorders>
              <w:tl2br w:val="nil"/>
              <w:tr2bl w:val="nil"/>
            </w:tcBorders>
            <w:noWrap/>
            <w:tcMar>
              <w:top w:w="15" w:type="dxa"/>
              <w:left w:w="15" w:type="dxa"/>
              <w:right w:w="15" w:type="dxa"/>
            </w:tcMar>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金属结构类</w:t>
            </w:r>
          </w:p>
        </w:tc>
        <w:tc>
          <w:tcPr>
            <w:tcW w:w="1157"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阀组</w:t>
            </w:r>
          </w:p>
        </w:tc>
        <w:tc>
          <w:tcPr>
            <w:tcW w:w="1562"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蝶阀、闸阀等</w:t>
            </w:r>
          </w:p>
        </w:tc>
        <w:tc>
          <w:tcPr>
            <w:tcW w:w="2121"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杂物、密封关闭不严、功能失效</w:t>
            </w:r>
          </w:p>
        </w:tc>
        <w:tc>
          <w:tcPr>
            <w:tcW w:w="2779" w:type="dxa"/>
            <w:gridSpan w:val="2"/>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流量控制失效、设备受损</w:t>
            </w:r>
          </w:p>
        </w:tc>
        <w:tc>
          <w:tcPr>
            <w:tcW w:w="89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LS法</w:t>
            </w:r>
          </w:p>
        </w:tc>
        <w:tc>
          <w:tcPr>
            <w:tcW w:w="89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5～30</w:t>
            </w:r>
          </w:p>
        </w:tc>
        <w:tc>
          <w:tcPr>
            <w:tcW w:w="716" w:type="dxa"/>
            <w:tcBorders>
              <w:tl2br w:val="nil"/>
              <w:tr2bl w:val="nil"/>
            </w:tcBorders>
            <w:tcMar>
              <w:top w:w="15" w:type="dxa"/>
              <w:left w:w="15" w:type="dxa"/>
              <w:right w:w="15" w:type="dxa"/>
            </w:tcMar>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w:t>
            </w:r>
          </w:p>
        </w:tc>
        <w:tc>
          <w:tcPr>
            <w:tcW w:w="776"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3～15</w:t>
            </w:r>
          </w:p>
        </w:tc>
        <w:tc>
          <w:tcPr>
            <w:tcW w:w="101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15～450</w:t>
            </w:r>
          </w:p>
        </w:tc>
        <w:tc>
          <w:tcPr>
            <w:tcW w:w="89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低～重大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683"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20</w:t>
            </w:r>
          </w:p>
        </w:tc>
        <w:tc>
          <w:tcPr>
            <w:tcW w:w="828" w:type="dxa"/>
            <w:vMerge w:val="continue"/>
            <w:tcBorders>
              <w:tl2br w:val="nil"/>
              <w:tr2bl w:val="nil"/>
            </w:tcBorders>
            <w:noWrap/>
            <w:tcMar>
              <w:top w:w="15" w:type="dxa"/>
              <w:left w:w="15" w:type="dxa"/>
              <w:right w:w="15" w:type="dxa"/>
            </w:tcMar>
            <w:vAlign w:val="center"/>
          </w:tcPr>
          <w:p>
            <w:pPr>
              <w:snapToGrid w:val="0"/>
              <w:jc w:val="center"/>
              <w:rPr>
                <w:rFonts w:cs="宋体" w:asciiTheme="minorEastAsia" w:hAnsiTheme="minorEastAsia" w:eastAsiaTheme="minorEastAsia"/>
                <w:sz w:val="18"/>
                <w:szCs w:val="18"/>
              </w:rPr>
            </w:pPr>
          </w:p>
        </w:tc>
        <w:tc>
          <w:tcPr>
            <w:tcW w:w="1157" w:type="dxa"/>
            <w:vMerge w:val="restart"/>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拦污与清污设备</w:t>
            </w:r>
          </w:p>
        </w:tc>
        <w:tc>
          <w:tcPr>
            <w:tcW w:w="1562"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拦污栅/拦漂排</w:t>
            </w:r>
          </w:p>
        </w:tc>
        <w:tc>
          <w:tcPr>
            <w:tcW w:w="2121"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锈蚀、堵塞、撞击损坏</w:t>
            </w:r>
          </w:p>
        </w:tc>
        <w:tc>
          <w:tcPr>
            <w:tcW w:w="2779" w:type="dxa"/>
            <w:gridSpan w:val="2"/>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堵塞、严重锈蚀、扭曲变形</w:t>
            </w:r>
          </w:p>
        </w:tc>
        <w:tc>
          <w:tcPr>
            <w:tcW w:w="89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LS法</w:t>
            </w:r>
          </w:p>
        </w:tc>
        <w:tc>
          <w:tcPr>
            <w:tcW w:w="89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5～30</w:t>
            </w:r>
          </w:p>
        </w:tc>
        <w:tc>
          <w:tcPr>
            <w:tcW w:w="716" w:type="dxa"/>
            <w:tcBorders>
              <w:tl2br w:val="nil"/>
              <w:tr2bl w:val="nil"/>
            </w:tcBorders>
            <w:tcMar>
              <w:top w:w="15" w:type="dxa"/>
              <w:left w:w="15" w:type="dxa"/>
              <w:right w:w="15" w:type="dxa"/>
            </w:tcMar>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w:t>
            </w:r>
          </w:p>
        </w:tc>
        <w:tc>
          <w:tcPr>
            <w:tcW w:w="776"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3～15</w:t>
            </w:r>
          </w:p>
        </w:tc>
        <w:tc>
          <w:tcPr>
            <w:tcW w:w="101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15～450</w:t>
            </w:r>
          </w:p>
        </w:tc>
        <w:tc>
          <w:tcPr>
            <w:tcW w:w="89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低～重大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683"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21</w:t>
            </w:r>
          </w:p>
        </w:tc>
        <w:tc>
          <w:tcPr>
            <w:tcW w:w="828" w:type="dxa"/>
            <w:vMerge w:val="continue"/>
            <w:tcBorders>
              <w:tl2br w:val="nil"/>
              <w:tr2bl w:val="nil"/>
            </w:tcBorders>
            <w:noWrap/>
            <w:tcMar>
              <w:top w:w="15" w:type="dxa"/>
              <w:left w:w="15" w:type="dxa"/>
              <w:right w:w="15" w:type="dxa"/>
            </w:tcMar>
            <w:vAlign w:val="center"/>
          </w:tcPr>
          <w:p>
            <w:pPr>
              <w:snapToGrid w:val="0"/>
              <w:jc w:val="center"/>
              <w:rPr>
                <w:rFonts w:cs="宋体" w:asciiTheme="minorEastAsia" w:hAnsiTheme="minorEastAsia" w:eastAsiaTheme="minorEastAsia"/>
                <w:sz w:val="18"/>
                <w:szCs w:val="18"/>
              </w:rPr>
            </w:pPr>
          </w:p>
        </w:tc>
        <w:tc>
          <w:tcPr>
            <w:tcW w:w="1157" w:type="dxa"/>
            <w:vMerge w:val="continue"/>
            <w:tcBorders>
              <w:tl2br w:val="nil"/>
              <w:tr2bl w:val="nil"/>
            </w:tcBorders>
            <w:tcMar>
              <w:top w:w="15" w:type="dxa"/>
              <w:left w:w="15" w:type="dxa"/>
              <w:right w:w="15" w:type="dxa"/>
            </w:tcMar>
            <w:vAlign w:val="center"/>
          </w:tcPr>
          <w:p>
            <w:pPr>
              <w:snapToGrid w:val="0"/>
              <w:jc w:val="center"/>
              <w:rPr>
                <w:rFonts w:cs="宋体" w:asciiTheme="minorEastAsia" w:hAnsiTheme="minorEastAsia" w:eastAsiaTheme="minorEastAsia"/>
                <w:sz w:val="18"/>
                <w:szCs w:val="18"/>
              </w:rPr>
            </w:pPr>
          </w:p>
        </w:tc>
        <w:tc>
          <w:tcPr>
            <w:tcW w:w="1562"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清污机</w:t>
            </w:r>
          </w:p>
        </w:tc>
        <w:tc>
          <w:tcPr>
            <w:tcW w:w="2121"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磨损、锈蚀</w:t>
            </w:r>
          </w:p>
        </w:tc>
        <w:tc>
          <w:tcPr>
            <w:tcW w:w="2779" w:type="dxa"/>
            <w:gridSpan w:val="2"/>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影响设备运行</w:t>
            </w:r>
          </w:p>
        </w:tc>
        <w:tc>
          <w:tcPr>
            <w:tcW w:w="89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LS法</w:t>
            </w:r>
          </w:p>
        </w:tc>
        <w:tc>
          <w:tcPr>
            <w:tcW w:w="89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5～30</w:t>
            </w:r>
          </w:p>
        </w:tc>
        <w:tc>
          <w:tcPr>
            <w:tcW w:w="716" w:type="dxa"/>
            <w:tcBorders>
              <w:tl2br w:val="nil"/>
              <w:tr2bl w:val="nil"/>
            </w:tcBorders>
            <w:tcMar>
              <w:top w:w="15" w:type="dxa"/>
              <w:left w:w="15" w:type="dxa"/>
              <w:right w:w="15" w:type="dxa"/>
            </w:tcMar>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w:t>
            </w:r>
          </w:p>
        </w:tc>
        <w:tc>
          <w:tcPr>
            <w:tcW w:w="776"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3～15</w:t>
            </w:r>
          </w:p>
        </w:tc>
        <w:tc>
          <w:tcPr>
            <w:tcW w:w="101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15～450</w:t>
            </w:r>
          </w:p>
        </w:tc>
        <w:tc>
          <w:tcPr>
            <w:tcW w:w="89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低～重大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683"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22</w:t>
            </w:r>
          </w:p>
        </w:tc>
        <w:tc>
          <w:tcPr>
            <w:tcW w:w="828" w:type="dxa"/>
            <w:vMerge w:val="continue"/>
            <w:tcBorders>
              <w:tl2br w:val="nil"/>
              <w:tr2bl w:val="nil"/>
            </w:tcBorders>
            <w:noWrap/>
            <w:tcMar>
              <w:top w:w="15" w:type="dxa"/>
              <w:left w:w="15" w:type="dxa"/>
              <w:right w:w="15" w:type="dxa"/>
            </w:tcMar>
            <w:vAlign w:val="center"/>
          </w:tcPr>
          <w:p>
            <w:pPr>
              <w:snapToGrid w:val="0"/>
              <w:jc w:val="center"/>
              <w:rPr>
                <w:rFonts w:cs="宋体" w:asciiTheme="minorEastAsia" w:hAnsiTheme="minorEastAsia" w:eastAsiaTheme="minorEastAsia"/>
                <w:sz w:val="18"/>
                <w:szCs w:val="18"/>
              </w:rPr>
            </w:pPr>
          </w:p>
        </w:tc>
        <w:tc>
          <w:tcPr>
            <w:tcW w:w="1157"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启闭机械</w:t>
            </w:r>
          </w:p>
        </w:tc>
        <w:tc>
          <w:tcPr>
            <w:tcW w:w="11654" w:type="dxa"/>
            <w:gridSpan w:val="10"/>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按《水利水电工程（水库、水闸）运行危险源辨识与风险评价导则》执行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683"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23</w:t>
            </w:r>
          </w:p>
        </w:tc>
        <w:tc>
          <w:tcPr>
            <w:tcW w:w="828" w:type="dxa"/>
            <w:vMerge w:val="restart"/>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设备设施类</w:t>
            </w:r>
          </w:p>
        </w:tc>
        <w:tc>
          <w:tcPr>
            <w:tcW w:w="1157" w:type="dxa"/>
            <w:vMerge w:val="restart"/>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机组及附属设备</w:t>
            </w:r>
          </w:p>
        </w:tc>
        <w:tc>
          <w:tcPr>
            <w:tcW w:w="1562"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发电机</w:t>
            </w:r>
          </w:p>
        </w:tc>
        <w:tc>
          <w:tcPr>
            <w:tcW w:w="2121"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发电机部件制造缺陷或安装缺陷，冷却系统故障，传感器故障，绝缘受潮、老化、损坏</w:t>
            </w:r>
          </w:p>
        </w:tc>
        <w:tc>
          <w:tcPr>
            <w:tcW w:w="2779" w:type="dxa"/>
            <w:gridSpan w:val="2"/>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设备损坏、机组解列停机、触电、火灾</w:t>
            </w:r>
          </w:p>
        </w:tc>
        <w:tc>
          <w:tcPr>
            <w:tcW w:w="895"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LS法</w:t>
            </w:r>
          </w:p>
        </w:tc>
        <w:tc>
          <w:tcPr>
            <w:tcW w:w="895"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5～30</w:t>
            </w:r>
          </w:p>
        </w:tc>
        <w:tc>
          <w:tcPr>
            <w:tcW w:w="716" w:type="dxa"/>
            <w:tcBorders>
              <w:tl2br w:val="nil"/>
              <w:tr2bl w:val="nil"/>
            </w:tcBorders>
            <w:tcMar>
              <w:top w:w="15" w:type="dxa"/>
              <w:left w:w="15" w:type="dxa"/>
              <w:right w:w="15" w:type="dxa"/>
            </w:tcMar>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w:t>
            </w:r>
          </w:p>
        </w:tc>
        <w:tc>
          <w:tcPr>
            <w:tcW w:w="776"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3～15</w:t>
            </w:r>
          </w:p>
        </w:tc>
        <w:tc>
          <w:tcPr>
            <w:tcW w:w="1015"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15～450</w:t>
            </w:r>
          </w:p>
        </w:tc>
        <w:tc>
          <w:tcPr>
            <w:tcW w:w="89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低～重大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683"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24</w:t>
            </w:r>
          </w:p>
        </w:tc>
        <w:tc>
          <w:tcPr>
            <w:tcW w:w="828" w:type="dxa"/>
            <w:vMerge w:val="continue"/>
            <w:tcBorders>
              <w:tl2br w:val="nil"/>
              <w:tr2bl w:val="nil"/>
            </w:tcBorders>
            <w:tcMar>
              <w:top w:w="15" w:type="dxa"/>
              <w:left w:w="15" w:type="dxa"/>
              <w:right w:w="15" w:type="dxa"/>
            </w:tcMar>
            <w:vAlign w:val="center"/>
          </w:tcPr>
          <w:p>
            <w:pPr>
              <w:snapToGrid w:val="0"/>
              <w:jc w:val="center"/>
              <w:rPr>
                <w:rFonts w:cs="宋体" w:asciiTheme="minorEastAsia" w:hAnsiTheme="minorEastAsia" w:eastAsiaTheme="minorEastAsia"/>
                <w:sz w:val="18"/>
                <w:szCs w:val="18"/>
              </w:rPr>
            </w:pPr>
          </w:p>
        </w:tc>
        <w:tc>
          <w:tcPr>
            <w:tcW w:w="1157" w:type="dxa"/>
            <w:vMerge w:val="continue"/>
            <w:tcBorders>
              <w:tl2br w:val="nil"/>
              <w:tr2bl w:val="nil"/>
            </w:tcBorders>
            <w:tcMar>
              <w:top w:w="15" w:type="dxa"/>
              <w:left w:w="15" w:type="dxa"/>
              <w:right w:w="15" w:type="dxa"/>
            </w:tcMar>
            <w:vAlign w:val="center"/>
          </w:tcPr>
          <w:p>
            <w:pPr>
              <w:snapToGrid w:val="0"/>
              <w:jc w:val="center"/>
              <w:rPr>
                <w:rFonts w:cs="宋体" w:asciiTheme="minorEastAsia" w:hAnsiTheme="minorEastAsia" w:eastAsiaTheme="minorEastAsia"/>
                <w:sz w:val="18"/>
                <w:szCs w:val="18"/>
              </w:rPr>
            </w:pPr>
          </w:p>
        </w:tc>
        <w:tc>
          <w:tcPr>
            <w:tcW w:w="1562"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水轮机</w:t>
            </w:r>
          </w:p>
        </w:tc>
        <w:tc>
          <w:tcPr>
            <w:tcW w:w="2121"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检修安装不正确，冷却系统故障，油质劣化，机械、水力、电磁原因引起的故障，违规操作等</w:t>
            </w:r>
          </w:p>
        </w:tc>
        <w:tc>
          <w:tcPr>
            <w:tcW w:w="2779" w:type="dxa"/>
            <w:gridSpan w:val="2"/>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机组设备损坏、触电、甩负荷、火灾、人员伤害</w:t>
            </w:r>
          </w:p>
        </w:tc>
        <w:tc>
          <w:tcPr>
            <w:tcW w:w="895"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LS法</w:t>
            </w:r>
          </w:p>
        </w:tc>
        <w:tc>
          <w:tcPr>
            <w:tcW w:w="895"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5～30</w:t>
            </w:r>
          </w:p>
        </w:tc>
        <w:tc>
          <w:tcPr>
            <w:tcW w:w="716" w:type="dxa"/>
            <w:tcBorders>
              <w:tl2br w:val="nil"/>
              <w:tr2bl w:val="nil"/>
            </w:tcBorders>
            <w:tcMar>
              <w:top w:w="15" w:type="dxa"/>
              <w:left w:w="15" w:type="dxa"/>
              <w:right w:w="15" w:type="dxa"/>
            </w:tcMar>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w:t>
            </w:r>
          </w:p>
        </w:tc>
        <w:tc>
          <w:tcPr>
            <w:tcW w:w="776"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3～15</w:t>
            </w:r>
          </w:p>
        </w:tc>
        <w:tc>
          <w:tcPr>
            <w:tcW w:w="101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15～450</w:t>
            </w:r>
          </w:p>
        </w:tc>
        <w:tc>
          <w:tcPr>
            <w:tcW w:w="89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低～重大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683"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25</w:t>
            </w:r>
          </w:p>
        </w:tc>
        <w:tc>
          <w:tcPr>
            <w:tcW w:w="828" w:type="dxa"/>
            <w:vMerge w:val="continue"/>
            <w:tcBorders>
              <w:tl2br w:val="nil"/>
              <w:tr2bl w:val="nil"/>
            </w:tcBorders>
            <w:tcMar>
              <w:top w:w="15" w:type="dxa"/>
              <w:left w:w="15" w:type="dxa"/>
              <w:right w:w="15" w:type="dxa"/>
            </w:tcMar>
            <w:vAlign w:val="center"/>
          </w:tcPr>
          <w:p>
            <w:pPr>
              <w:snapToGrid w:val="0"/>
              <w:jc w:val="center"/>
              <w:rPr>
                <w:rFonts w:cs="宋体" w:asciiTheme="minorEastAsia" w:hAnsiTheme="minorEastAsia" w:eastAsiaTheme="minorEastAsia"/>
                <w:sz w:val="18"/>
                <w:szCs w:val="18"/>
              </w:rPr>
            </w:pPr>
          </w:p>
        </w:tc>
        <w:tc>
          <w:tcPr>
            <w:tcW w:w="1157" w:type="dxa"/>
            <w:vMerge w:val="continue"/>
            <w:tcBorders>
              <w:tl2br w:val="nil"/>
              <w:tr2bl w:val="nil"/>
            </w:tcBorders>
            <w:tcMar>
              <w:top w:w="15" w:type="dxa"/>
              <w:left w:w="15" w:type="dxa"/>
              <w:right w:w="15" w:type="dxa"/>
            </w:tcMar>
            <w:vAlign w:val="center"/>
          </w:tcPr>
          <w:p>
            <w:pPr>
              <w:snapToGrid w:val="0"/>
              <w:jc w:val="center"/>
              <w:rPr>
                <w:rFonts w:cs="宋体" w:asciiTheme="minorEastAsia" w:hAnsiTheme="minorEastAsia" w:eastAsiaTheme="minorEastAsia"/>
                <w:sz w:val="18"/>
                <w:szCs w:val="18"/>
              </w:rPr>
            </w:pPr>
          </w:p>
        </w:tc>
        <w:tc>
          <w:tcPr>
            <w:tcW w:w="1562"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调速器</w:t>
            </w:r>
          </w:p>
        </w:tc>
        <w:tc>
          <w:tcPr>
            <w:tcW w:w="2121"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部件产品质量问题、机构松脱变位、参数设置改变等</w:t>
            </w:r>
          </w:p>
        </w:tc>
        <w:tc>
          <w:tcPr>
            <w:tcW w:w="2779" w:type="dxa"/>
            <w:gridSpan w:val="2"/>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失压失控、溜负荷等</w:t>
            </w:r>
          </w:p>
        </w:tc>
        <w:tc>
          <w:tcPr>
            <w:tcW w:w="895"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LS法</w:t>
            </w:r>
          </w:p>
        </w:tc>
        <w:tc>
          <w:tcPr>
            <w:tcW w:w="895"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5～30</w:t>
            </w:r>
          </w:p>
        </w:tc>
        <w:tc>
          <w:tcPr>
            <w:tcW w:w="716" w:type="dxa"/>
            <w:tcBorders>
              <w:tl2br w:val="nil"/>
              <w:tr2bl w:val="nil"/>
            </w:tcBorders>
            <w:tcMar>
              <w:top w:w="15" w:type="dxa"/>
              <w:left w:w="15" w:type="dxa"/>
              <w:right w:w="15" w:type="dxa"/>
            </w:tcMar>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w:t>
            </w:r>
          </w:p>
        </w:tc>
        <w:tc>
          <w:tcPr>
            <w:tcW w:w="776"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3～15</w:t>
            </w:r>
          </w:p>
        </w:tc>
        <w:tc>
          <w:tcPr>
            <w:tcW w:w="101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15～450</w:t>
            </w:r>
          </w:p>
        </w:tc>
        <w:tc>
          <w:tcPr>
            <w:tcW w:w="89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低～重大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683"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26</w:t>
            </w:r>
          </w:p>
        </w:tc>
        <w:tc>
          <w:tcPr>
            <w:tcW w:w="828" w:type="dxa"/>
            <w:vMerge w:val="restart"/>
            <w:tcBorders>
              <w:tl2br w:val="nil"/>
              <w:tr2bl w:val="nil"/>
            </w:tcBorders>
            <w:tcMar>
              <w:top w:w="15" w:type="dxa"/>
              <w:left w:w="15" w:type="dxa"/>
              <w:right w:w="15" w:type="dxa"/>
            </w:tcMar>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设备设施类</w:t>
            </w:r>
          </w:p>
        </w:tc>
        <w:tc>
          <w:tcPr>
            <w:tcW w:w="1157" w:type="dxa"/>
            <w:tcBorders>
              <w:tl2br w:val="nil"/>
              <w:tr2bl w:val="nil"/>
            </w:tcBorders>
            <w:tcMar>
              <w:top w:w="15" w:type="dxa"/>
              <w:left w:w="15" w:type="dxa"/>
              <w:right w:w="15" w:type="dxa"/>
            </w:tcMar>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机组及附属设备</w:t>
            </w:r>
          </w:p>
        </w:tc>
        <w:tc>
          <w:tcPr>
            <w:tcW w:w="1562"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转桨式水轮机桨叶密封</w:t>
            </w:r>
          </w:p>
        </w:tc>
        <w:tc>
          <w:tcPr>
            <w:tcW w:w="2121"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密封安装质量不符合要求、密封损坏</w:t>
            </w:r>
          </w:p>
        </w:tc>
        <w:tc>
          <w:tcPr>
            <w:tcW w:w="2779" w:type="dxa"/>
            <w:gridSpan w:val="2"/>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污染下游水质</w:t>
            </w:r>
          </w:p>
        </w:tc>
        <w:tc>
          <w:tcPr>
            <w:tcW w:w="895"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LS法</w:t>
            </w:r>
          </w:p>
        </w:tc>
        <w:tc>
          <w:tcPr>
            <w:tcW w:w="895"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5～30</w:t>
            </w:r>
          </w:p>
        </w:tc>
        <w:tc>
          <w:tcPr>
            <w:tcW w:w="716" w:type="dxa"/>
            <w:tcBorders>
              <w:tl2br w:val="nil"/>
              <w:tr2bl w:val="nil"/>
            </w:tcBorders>
            <w:tcMar>
              <w:top w:w="15" w:type="dxa"/>
              <w:left w:w="15" w:type="dxa"/>
              <w:right w:w="15" w:type="dxa"/>
            </w:tcMar>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w:t>
            </w:r>
          </w:p>
        </w:tc>
        <w:tc>
          <w:tcPr>
            <w:tcW w:w="776"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3～15</w:t>
            </w:r>
          </w:p>
        </w:tc>
        <w:tc>
          <w:tcPr>
            <w:tcW w:w="101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15～450</w:t>
            </w:r>
          </w:p>
        </w:tc>
        <w:tc>
          <w:tcPr>
            <w:tcW w:w="89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低～重大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683"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27</w:t>
            </w:r>
          </w:p>
        </w:tc>
        <w:tc>
          <w:tcPr>
            <w:tcW w:w="828" w:type="dxa"/>
            <w:vMerge w:val="continue"/>
            <w:tcBorders>
              <w:tl2br w:val="nil"/>
              <w:tr2bl w:val="nil"/>
            </w:tcBorders>
            <w:tcMar>
              <w:top w:w="15" w:type="dxa"/>
              <w:left w:w="15" w:type="dxa"/>
              <w:right w:w="15" w:type="dxa"/>
            </w:tcMar>
            <w:vAlign w:val="center"/>
          </w:tcPr>
          <w:p>
            <w:pPr>
              <w:snapToGrid w:val="0"/>
              <w:jc w:val="center"/>
              <w:rPr>
                <w:rFonts w:cs="宋体" w:asciiTheme="minorEastAsia" w:hAnsiTheme="minorEastAsia" w:eastAsiaTheme="minorEastAsia"/>
                <w:sz w:val="18"/>
                <w:szCs w:val="18"/>
              </w:rPr>
            </w:pPr>
          </w:p>
        </w:tc>
        <w:tc>
          <w:tcPr>
            <w:tcW w:w="1157" w:type="dxa"/>
            <w:vMerge w:val="restart"/>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电气设备</w:t>
            </w:r>
          </w:p>
        </w:tc>
        <w:tc>
          <w:tcPr>
            <w:tcW w:w="1562"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变压器</w:t>
            </w:r>
          </w:p>
        </w:tc>
        <w:tc>
          <w:tcPr>
            <w:tcW w:w="2121"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油品质不符合要求、裸露带电导体与周边的安全净距不满足要求、保护及冷却装置故障、套管或支撑绝缘子损坏</w:t>
            </w:r>
          </w:p>
        </w:tc>
        <w:tc>
          <w:tcPr>
            <w:tcW w:w="2779" w:type="dxa"/>
            <w:gridSpan w:val="2"/>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设备损坏、爆炸、触电</w:t>
            </w:r>
          </w:p>
        </w:tc>
        <w:tc>
          <w:tcPr>
            <w:tcW w:w="895"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LS法</w:t>
            </w:r>
          </w:p>
        </w:tc>
        <w:tc>
          <w:tcPr>
            <w:tcW w:w="895"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5～30</w:t>
            </w:r>
          </w:p>
        </w:tc>
        <w:tc>
          <w:tcPr>
            <w:tcW w:w="716" w:type="dxa"/>
            <w:tcBorders>
              <w:tl2br w:val="nil"/>
              <w:tr2bl w:val="nil"/>
            </w:tcBorders>
            <w:tcMar>
              <w:top w:w="15" w:type="dxa"/>
              <w:left w:w="15" w:type="dxa"/>
              <w:right w:w="15" w:type="dxa"/>
            </w:tcMar>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w:t>
            </w:r>
          </w:p>
        </w:tc>
        <w:tc>
          <w:tcPr>
            <w:tcW w:w="776"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3～15</w:t>
            </w:r>
          </w:p>
        </w:tc>
        <w:tc>
          <w:tcPr>
            <w:tcW w:w="101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15～450</w:t>
            </w:r>
          </w:p>
        </w:tc>
        <w:tc>
          <w:tcPr>
            <w:tcW w:w="89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低～重大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683"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28</w:t>
            </w:r>
          </w:p>
        </w:tc>
        <w:tc>
          <w:tcPr>
            <w:tcW w:w="828" w:type="dxa"/>
            <w:vMerge w:val="continue"/>
            <w:tcBorders>
              <w:tl2br w:val="nil"/>
              <w:tr2bl w:val="nil"/>
            </w:tcBorders>
            <w:tcMar>
              <w:top w:w="15" w:type="dxa"/>
              <w:left w:w="15" w:type="dxa"/>
              <w:right w:w="15" w:type="dxa"/>
            </w:tcMar>
            <w:vAlign w:val="center"/>
          </w:tcPr>
          <w:p>
            <w:pPr>
              <w:snapToGrid w:val="0"/>
              <w:jc w:val="center"/>
              <w:rPr>
                <w:rFonts w:cs="宋体" w:asciiTheme="minorEastAsia" w:hAnsiTheme="minorEastAsia" w:eastAsiaTheme="minorEastAsia"/>
                <w:sz w:val="18"/>
                <w:szCs w:val="18"/>
              </w:rPr>
            </w:pPr>
          </w:p>
        </w:tc>
        <w:tc>
          <w:tcPr>
            <w:tcW w:w="1157" w:type="dxa"/>
            <w:vMerge w:val="continue"/>
            <w:tcBorders>
              <w:tl2br w:val="nil"/>
              <w:tr2bl w:val="nil"/>
            </w:tcBorders>
            <w:tcMar>
              <w:top w:w="15" w:type="dxa"/>
              <w:left w:w="15" w:type="dxa"/>
              <w:right w:w="15" w:type="dxa"/>
            </w:tcMar>
            <w:vAlign w:val="center"/>
          </w:tcPr>
          <w:p>
            <w:pPr>
              <w:snapToGrid w:val="0"/>
              <w:jc w:val="center"/>
              <w:rPr>
                <w:rFonts w:cs="宋体" w:asciiTheme="minorEastAsia" w:hAnsiTheme="minorEastAsia" w:eastAsiaTheme="minorEastAsia"/>
                <w:sz w:val="18"/>
                <w:szCs w:val="18"/>
              </w:rPr>
            </w:pPr>
          </w:p>
        </w:tc>
        <w:tc>
          <w:tcPr>
            <w:tcW w:w="1562"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同期装置</w:t>
            </w:r>
          </w:p>
        </w:tc>
        <w:tc>
          <w:tcPr>
            <w:tcW w:w="2121"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设备故障</w:t>
            </w:r>
          </w:p>
        </w:tc>
        <w:tc>
          <w:tcPr>
            <w:tcW w:w="2779" w:type="dxa"/>
            <w:gridSpan w:val="2"/>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非同期并列、报警或解列</w:t>
            </w:r>
          </w:p>
        </w:tc>
        <w:tc>
          <w:tcPr>
            <w:tcW w:w="895"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LS法</w:t>
            </w:r>
          </w:p>
        </w:tc>
        <w:tc>
          <w:tcPr>
            <w:tcW w:w="895"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5～30</w:t>
            </w:r>
          </w:p>
        </w:tc>
        <w:tc>
          <w:tcPr>
            <w:tcW w:w="716" w:type="dxa"/>
            <w:tcBorders>
              <w:tl2br w:val="nil"/>
              <w:tr2bl w:val="nil"/>
            </w:tcBorders>
            <w:tcMar>
              <w:top w:w="15" w:type="dxa"/>
              <w:left w:w="15" w:type="dxa"/>
              <w:right w:w="15" w:type="dxa"/>
            </w:tcMar>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w:t>
            </w:r>
          </w:p>
        </w:tc>
        <w:tc>
          <w:tcPr>
            <w:tcW w:w="776"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3～15</w:t>
            </w:r>
          </w:p>
        </w:tc>
        <w:tc>
          <w:tcPr>
            <w:tcW w:w="101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15～450</w:t>
            </w:r>
          </w:p>
        </w:tc>
        <w:tc>
          <w:tcPr>
            <w:tcW w:w="89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低～重大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683"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29</w:t>
            </w:r>
          </w:p>
        </w:tc>
        <w:tc>
          <w:tcPr>
            <w:tcW w:w="828" w:type="dxa"/>
            <w:vMerge w:val="continue"/>
            <w:tcBorders>
              <w:tl2br w:val="nil"/>
              <w:tr2bl w:val="nil"/>
            </w:tcBorders>
            <w:tcMar>
              <w:top w:w="15" w:type="dxa"/>
              <w:left w:w="15" w:type="dxa"/>
              <w:right w:w="15" w:type="dxa"/>
            </w:tcMar>
            <w:vAlign w:val="center"/>
          </w:tcPr>
          <w:p>
            <w:pPr>
              <w:snapToGrid w:val="0"/>
              <w:jc w:val="center"/>
              <w:rPr>
                <w:rFonts w:cs="宋体" w:asciiTheme="minorEastAsia" w:hAnsiTheme="minorEastAsia" w:eastAsiaTheme="minorEastAsia"/>
                <w:sz w:val="18"/>
                <w:szCs w:val="18"/>
              </w:rPr>
            </w:pPr>
          </w:p>
        </w:tc>
        <w:tc>
          <w:tcPr>
            <w:tcW w:w="1157" w:type="dxa"/>
            <w:vMerge w:val="continue"/>
            <w:tcBorders>
              <w:tl2br w:val="nil"/>
              <w:tr2bl w:val="nil"/>
            </w:tcBorders>
            <w:tcMar>
              <w:top w:w="15" w:type="dxa"/>
              <w:left w:w="15" w:type="dxa"/>
              <w:right w:w="15" w:type="dxa"/>
            </w:tcMar>
            <w:vAlign w:val="center"/>
          </w:tcPr>
          <w:p>
            <w:pPr>
              <w:snapToGrid w:val="0"/>
              <w:jc w:val="center"/>
              <w:rPr>
                <w:rFonts w:cs="宋体" w:asciiTheme="minorEastAsia" w:hAnsiTheme="minorEastAsia" w:eastAsiaTheme="minorEastAsia"/>
                <w:sz w:val="18"/>
                <w:szCs w:val="18"/>
              </w:rPr>
            </w:pPr>
          </w:p>
        </w:tc>
        <w:tc>
          <w:tcPr>
            <w:tcW w:w="1562"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气体绝缘全封闭组合电器（GIS）</w:t>
            </w:r>
          </w:p>
        </w:tc>
        <w:tc>
          <w:tcPr>
            <w:tcW w:w="2121"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在线监测系统故障、气密性损坏</w:t>
            </w:r>
          </w:p>
        </w:tc>
        <w:tc>
          <w:tcPr>
            <w:tcW w:w="2779" w:type="dxa"/>
            <w:gridSpan w:val="2"/>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爆炸、中毒和窒息</w:t>
            </w:r>
          </w:p>
        </w:tc>
        <w:tc>
          <w:tcPr>
            <w:tcW w:w="895"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LS法</w:t>
            </w:r>
          </w:p>
        </w:tc>
        <w:tc>
          <w:tcPr>
            <w:tcW w:w="895"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5～30</w:t>
            </w:r>
          </w:p>
        </w:tc>
        <w:tc>
          <w:tcPr>
            <w:tcW w:w="716" w:type="dxa"/>
            <w:tcBorders>
              <w:tl2br w:val="nil"/>
              <w:tr2bl w:val="nil"/>
            </w:tcBorders>
            <w:tcMar>
              <w:top w:w="15" w:type="dxa"/>
              <w:left w:w="15" w:type="dxa"/>
              <w:right w:w="15" w:type="dxa"/>
            </w:tcMar>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w:t>
            </w:r>
          </w:p>
        </w:tc>
        <w:tc>
          <w:tcPr>
            <w:tcW w:w="776"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3～15</w:t>
            </w:r>
          </w:p>
        </w:tc>
        <w:tc>
          <w:tcPr>
            <w:tcW w:w="101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15～450</w:t>
            </w:r>
          </w:p>
        </w:tc>
        <w:tc>
          <w:tcPr>
            <w:tcW w:w="89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低～重大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683"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30</w:t>
            </w:r>
          </w:p>
        </w:tc>
        <w:tc>
          <w:tcPr>
            <w:tcW w:w="828" w:type="dxa"/>
            <w:vMerge w:val="continue"/>
            <w:tcBorders>
              <w:tl2br w:val="nil"/>
              <w:tr2bl w:val="nil"/>
            </w:tcBorders>
            <w:tcMar>
              <w:top w:w="15" w:type="dxa"/>
              <w:left w:w="15" w:type="dxa"/>
              <w:right w:w="15" w:type="dxa"/>
            </w:tcMar>
            <w:vAlign w:val="center"/>
          </w:tcPr>
          <w:p>
            <w:pPr>
              <w:snapToGrid w:val="0"/>
              <w:jc w:val="center"/>
              <w:rPr>
                <w:rFonts w:cs="宋体" w:asciiTheme="minorEastAsia" w:hAnsiTheme="minorEastAsia" w:eastAsiaTheme="minorEastAsia"/>
                <w:sz w:val="18"/>
                <w:szCs w:val="18"/>
              </w:rPr>
            </w:pPr>
          </w:p>
        </w:tc>
        <w:tc>
          <w:tcPr>
            <w:tcW w:w="1157" w:type="dxa"/>
            <w:vMerge w:val="continue"/>
            <w:tcBorders>
              <w:tl2br w:val="nil"/>
              <w:tr2bl w:val="nil"/>
            </w:tcBorders>
            <w:tcMar>
              <w:top w:w="15" w:type="dxa"/>
              <w:left w:w="15" w:type="dxa"/>
              <w:right w:w="15" w:type="dxa"/>
            </w:tcMar>
            <w:vAlign w:val="center"/>
          </w:tcPr>
          <w:p>
            <w:pPr>
              <w:snapToGrid w:val="0"/>
              <w:jc w:val="center"/>
              <w:rPr>
                <w:rFonts w:cs="宋体" w:asciiTheme="minorEastAsia" w:hAnsiTheme="minorEastAsia" w:eastAsiaTheme="minorEastAsia"/>
                <w:sz w:val="18"/>
                <w:szCs w:val="18"/>
              </w:rPr>
            </w:pPr>
          </w:p>
        </w:tc>
        <w:tc>
          <w:tcPr>
            <w:tcW w:w="1562"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高、低压开关配电设备</w:t>
            </w:r>
          </w:p>
        </w:tc>
        <w:tc>
          <w:tcPr>
            <w:tcW w:w="2121"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设备故障</w:t>
            </w:r>
          </w:p>
        </w:tc>
        <w:tc>
          <w:tcPr>
            <w:tcW w:w="2779" w:type="dxa"/>
            <w:gridSpan w:val="2"/>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影响设备运行</w:t>
            </w:r>
          </w:p>
        </w:tc>
        <w:tc>
          <w:tcPr>
            <w:tcW w:w="895"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LS法</w:t>
            </w:r>
          </w:p>
        </w:tc>
        <w:tc>
          <w:tcPr>
            <w:tcW w:w="895"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5～30</w:t>
            </w:r>
          </w:p>
        </w:tc>
        <w:tc>
          <w:tcPr>
            <w:tcW w:w="716" w:type="dxa"/>
            <w:tcBorders>
              <w:tl2br w:val="nil"/>
              <w:tr2bl w:val="nil"/>
            </w:tcBorders>
            <w:tcMar>
              <w:top w:w="15" w:type="dxa"/>
              <w:left w:w="15" w:type="dxa"/>
              <w:right w:w="15" w:type="dxa"/>
            </w:tcMar>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w:t>
            </w:r>
          </w:p>
        </w:tc>
        <w:tc>
          <w:tcPr>
            <w:tcW w:w="776"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3～15</w:t>
            </w:r>
          </w:p>
        </w:tc>
        <w:tc>
          <w:tcPr>
            <w:tcW w:w="101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15～450</w:t>
            </w:r>
          </w:p>
        </w:tc>
        <w:tc>
          <w:tcPr>
            <w:tcW w:w="89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低～重大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683"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31</w:t>
            </w:r>
          </w:p>
        </w:tc>
        <w:tc>
          <w:tcPr>
            <w:tcW w:w="828" w:type="dxa"/>
            <w:vMerge w:val="continue"/>
            <w:tcBorders>
              <w:tl2br w:val="nil"/>
              <w:tr2bl w:val="nil"/>
            </w:tcBorders>
            <w:tcMar>
              <w:top w:w="15" w:type="dxa"/>
              <w:left w:w="15" w:type="dxa"/>
              <w:right w:w="15" w:type="dxa"/>
            </w:tcMar>
            <w:vAlign w:val="center"/>
          </w:tcPr>
          <w:p>
            <w:pPr>
              <w:snapToGrid w:val="0"/>
              <w:jc w:val="center"/>
              <w:rPr>
                <w:rFonts w:cs="宋体" w:asciiTheme="minorEastAsia" w:hAnsiTheme="minorEastAsia" w:eastAsiaTheme="minorEastAsia"/>
                <w:sz w:val="18"/>
                <w:szCs w:val="18"/>
              </w:rPr>
            </w:pPr>
          </w:p>
        </w:tc>
        <w:tc>
          <w:tcPr>
            <w:tcW w:w="1157" w:type="dxa"/>
            <w:vMerge w:val="continue"/>
            <w:tcBorders>
              <w:tl2br w:val="nil"/>
              <w:tr2bl w:val="nil"/>
            </w:tcBorders>
            <w:tcMar>
              <w:top w:w="15" w:type="dxa"/>
              <w:left w:w="15" w:type="dxa"/>
              <w:right w:w="15" w:type="dxa"/>
            </w:tcMar>
            <w:vAlign w:val="center"/>
          </w:tcPr>
          <w:p>
            <w:pPr>
              <w:snapToGrid w:val="0"/>
              <w:jc w:val="center"/>
              <w:rPr>
                <w:rFonts w:cs="宋体" w:asciiTheme="minorEastAsia" w:hAnsiTheme="minorEastAsia" w:eastAsiaTheme="minorEastAsia"/>
                <w:sz w:val="18"/>
                <w:szCs w:val="18"/>
              </w:rPr>
            </w:pPr>
          </w:p>
        </w:tc>
        <w:tc>
          <w:tcPr>
            <w:tcW w:w="1562"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高压电容器</w:t>
            </w:r>
          </w:p>
        </w:tc>
        <w:tc>
          <w:tcPr>
            <w:tcW w:w="2121"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渗漏油、外壳膨胀</w:t>
            </w:r>
          </w:p>
        </w:tc>
        <w:tc>
          <w:tcPr>
            <w:tcW w:w="2779" w:type="dxa"/>
            <w:gridSpan w:val="2"/>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爆炸、人身伤害</w:t>
            </w:r>
          </w:p>
        </w:tc>
        <w:tc>
          <w:tcPr>
            <w:tcW w:w="895"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LS法</w:t>
            </w:r>
          </w:p>
        </w:tc>
        <w:tc>
          <w:tcPr>
            <w:tcW w:w="895"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5～30</w:t>
            </w:r>
          </w:p>
        </w:tc>
        <w:tc>
          <w:tcPr>
            <w:tcW w:w="716" w:type="dxa"/>
            <w:tcBorders>
              <w:tl2br w:val="nil"/>
              <w:tr2bl w:val="nil"/>
            </w:tcBorders>
            <w:tcMar>
              <w:top w:w="15" w:type="dxa"/>
              <w:left w:w="15" w:type="dxa"/>
              <w:right w:w="15" w:type="dxa"/>
            </w:tcMar>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w:t>
            </w:r>
          </w:p>
        </w:tc>
        <w:tc>
          <w:tcPr>
            <w:tcW w:w="776"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3～15</w:t>
            </w:r>
          </w:p>
        </w:tc>
        <w:tc>
          <w:tcPr>
            <w:tcW w:w="101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15～450</w:t>
            </w:r>
          </w:p>
        </w:tc>
        <w:tc>
          <w:tcPr>
            <w:tcW w:w="89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低～重大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683"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32</w:t>
            </w:r>
          </w:p>
        </w:tc>
        <w:tc>
          <w:tcPr>
            <w:tcW w:w="828" w:type="dxa"/>
            <w:vMerge w:val="continue"/>
            <w:tcBorders>
              <w:tl2br w:val="nil"/>
              <w:tr2bl w:val="nil"/>
            </w:tcBorders>
            <w:tcMar>
              <w:top w:w="15" w:type="dxa"/>
              <w:left w:w="15" w:type="dxa"/>
              <w:right w:w="15" w:type="dxa"/>
            </w:tcMar>
            <w:vAlign w:val="center"/>
          </w:tcPr>
          <w:p>
            <w:pPr>
              <w:snapToGrid w:val="0"/>
              <w:jc w:val="center"/>
              <w:rPr>
                <w:rFonts w:cs="宋体" w:asciiTheme="minorEastAsia" w:hAnsiTheme="minorEastAsia" w:eastAsiaTheme="minorEastAsia"/>
                <w:sz w:val="18"/>
                <w:szCs w:val="18"/>
              </w:rPr>
            </w:pPr>
          </w:p>
        </w:tc>
        <w:tc>
          <w:tcPr>
            <w:tcW w:w="1157" w:type="dxa"/>
            <w:vMerge w:val="continue"/>
            <w:tcBorders>
              <w:tl2br w:val="nil"/>
              <w:tr2bl w:val="nil"/>
            </w:tcBorders>
            <w:tcMar>
              <w:top w:w="15" w:type="dxa"/>
              <w:left w:w="15" w:type="dxa"/>
              <w:right w:w="15" w:type="dxa"/>
            </w:tcMar>
            <w:vAlign w:val="center"/>
          </w:tcPr>
          <w:p>
            <w:pPr>
              <w:snapToGrid w:val="0"/>
              <w:jc w:val="center"/>
              <w:rPr>
                <w:rFonts w:cs="宋体" w:asciiTheme="minorEastAsia" w:hAnsiTheme="minorEastAsia" w:eastAsiaTheme="minorEastAsia"/>
                <w:sz w:val="18"/>
                <w:szCs w:val="18"/>
              </w:rPr>
            </w:pPr>
          </w:p>
        </w:tc>
        <w:tc>
          <w:tcPr>
            <w:tcW w:w="1562"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母线、电缆及输电线路</w:t>
            </w:r>
          </w:p>
        </w:tc>
        <w:tc>
          <w:tcPr>
            <w:tcW w:w="2121"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接地故障，绝缘老化，线路断路、短路，雷击等</w:t>
            </w:r>
          </w:p>
        </w:tc>
        <w:tc>
          <w:tcPr>
            <w:tcW w:w="2779" w:type="dxa"/>
            <w:gridSpan w:val="2"/>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短路故障、机组过负荷、严重过速、飞逸</w:t>
            </w:r>
          </w:p>
        </w:tc>
        <w:tc>
          <w:tcPr>
            <w:tcW w:w="895"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LS法</w:t>
            </w:r>
          </w:p>
        </w:tc>
        <w:tc>
          <w:tcPr>
            <w:tcW w:w="895"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5～30</w:t>
            </w:r>
          </w:p>
        </w:tc>
        <w:tc>
          <w:tcPr>
            <w:tcW w:w="716" w:type="dxa"/>
            <w:tcBorders>
              <w:tl2br w:val="nil"/>
              <w:tr2bl w:val="nil"/>
            </w:tcBorders>
            <w:tcMar>
              <w:top w:w="15" w:type="dxa"/>
              <w:left w:w="15" w:type="dxa"/>
              <w:right w:w="15" w:type="dxa"/>
            </w:tcMar>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w:t>
            </w:r>
          </w:p>
        </w:tc>
        <w:tc>
          <w:tcPr>
            <w:tcW w:w="776"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3～15</w:t>
            </w:r>
          </w:p>
        </w:tc>
        <w:tc>
          <w:tcPr>
            <w:tcW w:w="101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15～450</w:t>
            </w:r>
          </w:p>
        </w:tc>
        <w:tc>
          <w:tcPr>
            <w:tcW w:w="89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低～重大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683"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33</w:t>
            </w:r>
          </w:p>
        </w:tc>
        <w:tc>
          <w:tcPr>
            <w:tcW w:w="828" w:type="dxa"/>
            <w:vMerge w:val="restart"/>
            <w:tcBorders>
              <w:tl2br w:val="nil"/>
              <w:tr2bl w:val="nil"/>
            </w:tcBorders>
            <w:tcMar>
              <w:top w:w="15" w:type="dxa"/>
              <w:left w:w="15" w:type="dxa"/>
              <w:right w:w="15" w:type="dxa"/>
            </w:tcMar>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设备设施类</w:t>
            </w:r>
          </w:p>
        </w:tc>
        <w:tc>
          <w:tcPr>
            <w:tcW w:w="1157" w:type="dxa"/>
            <w:vMerge w:val="restart"/>
            <w:tcBorders>
              <w:tl2br w:val="nil"/>
              <w:tr2bl w:val="nil"/>
            </w:tcBorders>
            <w:tcMar>
              <w:top w:w="15" w:type="dxa"/>
              <w:left w:w="15" w:type="dxa"/>
              <w:right w:w="15" w:type="dxa"/>
            </w:tcMar>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电气设备</w:t>
            </w:r>
          </w:p>
        </w:tc>
        <w:tc>
          <w:tcPr>
            <w:tcW w:w="1562"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互感器</w:t>
            </w:r>
          </w:p>
        </w:tc>
        <w:tc>
          <w:tcPr>
            <w:tcW w:w="2121"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互感器性能参数不满足要求、回路故障、本体故障、电流互感器二次侧开路、电压互感器二次短接</w:t>
            </w:r>
          </w:p>
        </w:tc>
        <w:tc>
          <w:tcPr>
            <w:tcW w:w="2779" w:type="dxa"/>
            <w:gridSpan w:val="2"/>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意外停机、爆炸</w:t>
            </w:r>
          </w:p>
        </w:tc>
        <w:tc>
          <w:tcPr>
            <w:tcW w:w="895"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LS法</w:t>
            </w:r>
          </w:p>
        </w:tc>
        <w:tc>
          <w:tcPr>
            <w:tcW w:w="895"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5～30</w:t>
            </w:r>
          </w:p>
        </w:tc>
        <w:tc>
          <w:tcPr>
            <w:tcW w:w="716" w:type="dxa"/>
            <w:tcBorders>
              <w:tl2br w:val="nil"/>
              <w:tr2bl w:val="nil"/>
            </w:tcBorders>
            <w:tcMar>
              <w:top w:w="15" w:type="dxa"/>
              <w:left w:w="15" w:type="dxa"/>
              <w:right w:w="15" w:type="dxa"/>
            </w:tcMar>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w:t>
            </w:r>
          </w:p>
        </w:tc>
        <w:tc>
          <w:tcPr>
            <w:tcW w:w="776"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3～15</w:t>
            </w:r>
          </w:p>
        </w:tc>
        <w:tc>
          <w:tcPr>
            <w:tcW w:w="101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15～450</w:t>
            </w:r>
          </w:p>
        </w:tc>
        <w:tc>
          <w:tcPr>
            <w:tcW w:w="89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低～重大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683"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34</w:t>
            </w:r>
          </w:p>
        </w:tc>
        <w:tc>
          <w:tcPr>
            <w:tcW w:w="828" w:type="dxa"/>
            <w:vMerge w:val="continue"/>
            <w:tcBorders>
              <w:tl2br w:val="nil"/>
              <w:tr2bl w:val="nil"/>
            </w:tcBorders>
            <w:tcMar>
              <w:top w:w="15" w:type="dxa"/>
              <w:left w:w="15" w:type="dxa"/>
              <w:right w:w="15" w:type="dxa"/>
            </w:tcMar>
            <w:vAlign w:val="center"/>
          </w:tcPr>
          <w:p>
            <w:pPr>
              <w:snapToGrid w:val="0"/>
              <w:jc w:val="center"/>
              <w:rPr>
                <w:rFonts w:cs="宋体" w:asciiTheme="minorEastAsia" w:hAnsiTheme="minorEastAsia" w:eastAsiaTheme="minorEastAsia"/>
                <w:sz w:val="18"/>
                <w:szCs w:val="18"/>
              </w:rPr>
            </w:pPr>
          </w:p>
        </w:tc>
        <w:tc>
          <w:tcPr>
            <w:tcW w:w="1157" w:type="dxa"/>
            <w:vMerge w:val="continue"/>
            <w:tcBorders>
              <w:tl2br w:val="nil"/>
              <w:tr2bl w:val="nil"/>
            </w:tcBorders>
            <w:tcMar>
              <w:top w:w="15" w:type="dxa"/>
              <w:left w:w="15" w:type="dxa"/>
              <w:right w:w="15" w:type="dxa"/>
            </w:tcMar>
            <w:vAlign w:val="center"/>
          </w:tcPr>
          <w:p>
            <w:pPr>
              <w:snapToGrid w:val="0"/>
              <w:jc w:val="center"/>
              <w:rPr>
                <w:rFonts w:cs="宋体" w:asciiTheme="minorEastAsia" w:hAnsiTheme="minorEastAsia" w:eastAsiaTheme="minorEastAsia"/>
                <w:sz w:val="18"/>
                <w:szCs w:val="18"/>
              </w:rPr>
            </w:pPr>
          </w:p>
        </w:tc>
        <w:tc>
          <w:tcPr>
            <w:tcW w:w="1562"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直流系统</w:t>
            </w:r>
          </w:p>
        </w:tc>
        <w:tc>
          <w:tcPr>
            <w:tcW w:w="2121"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蓄电池、整流装置、开关、小母线等故障或损坏</w:t>
            </w:r>
          </w:p>
        </w:tc>
        <w:tc>
          <w:tcPr>
            <w:tcW w:w="2779" w:type="dxa"/>
            <w:gridSpan w:val="2"/>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影响设备运行</w:t>
            </w:r>
          </w:p>
        </w:tc>
        <w:tc>
          <w:tcPr>
            <w:tcW w:w="895"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LS法</w:t>
            </w:r>
          </w:p>
        </w:tc>
        <w:tc>
          <w:tcPr>
            <w:tcW w:w="895"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5～30</w:t>
            </w:r>
          </w:p>
        </w:tc>
        <w:tc>
          <w:tcPr>
            <w:tcW w:w="716" w:type="dxa"/>
            <w:tcBorders>
              <w:tl2br w:val="nil"/>
              <w:tr2bl w:val="nil"/>
            </w:tcBorders>
            <w:tcMar>
              <w:top w:w="15" w:type="dxa"/>
              <w:left w:w="15" w:type="dxa"/>
              <w:right w:w="15" w:type="dxa"/>
            </w:tcMar>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w:t>
            </w:r>
          </w:p>
        </w:tc>
        <w:tc>
          <w:tcPr>
            <w:tcW w:w="776"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3～15</w:t>
            </w:r>
          </w:p>
        </w:tc>
        <w:tc>
          <w:tcPr>
            <w:tcW w:w="101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15～450</w:t>
            </w:r>
          </w:p>
        </w:tc>
        <w:tc>
          <w:tcPr>
            <w:tcW w:w="89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低～重大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683" w:type="dxa"/>
            <w:tcBorders>
              <w:tl2br w:val="nil"/>
              <w:tr2bl w:val="nil"/>
            </w:tcBorders>
            <w:shd w:val="clear" w:color="auto" w:fill="auto"/>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35</w:t>
            </w:r>
          </w:p>
        </w:tc>
        <w:tc>
          <w:tcPr>
            <w:tcW w:w="828" w:type="dxa"/>
            <w:vMerge w:val="continue"/>
            <w:tcBorders>
              <w:tl2br w:val="nil"/>
              <w:tr2bl w:val="nil"/>
            </w:tcBorders>
            <w:shd w:val="clear" w:color="auto" w:fill="auto"/>
            <w:tcMar>
              <w:top w:w="15" w:type="dxa"/>
              <w:left w:w="15" w:type="dxa"/>
              <w:right w:w="15" w:type="dxa"/>
            </w:tcMar>
            <w:vAlign w:val="center"/>
          </w:tcPr>
          <w:p>
            <w:pPr>
              <w:snapToGrid w:val="0"/>
              <w:jc w:val="center"/>
              <w:rPr>
                <w:rFonts w:cs="宋体" w:asciiTheme="minorEastAsia" w:hAnsiTheme="minorEastAsia" w:eastAsiaTheme="minorEastAsia"/>
                <w:sz w:val="18"/>
                <w:szCs w:val="18"/>
              </w:rPr>
            </w:pPr>
          </w:p>
        </w:tc>
        <w:tc>
          <w:tcPr>
            <w:tcW w:w="1157" w:type="dxa"/>
            <w:vMerge w:val="continue"/>
            <w:tcBorders>
              <w:tl2br w:val="nil"/>
              <w:tr2bl w:val="nil"/>
            </w:tcBorders>
            <w:shd w:val="clear" w:color="auto" w:fill="auto"/>
            <w:tcMar>
              <w:top w:w="15" w:type="dxa"/>
              <w:left w:w="15" w:type="dxa"/>
              <w:right w:w="15" w:type="dxa"/>
            </w:tcMar>
            <w:vAlign w:val="center"/>
          </w:tcPr>
          <w:p>
            <w:pPr>
              <w:snapToGrid w:val="0"/>
              <w:jc w:val="center"/>
              <w:rPr>
                <w:rFonts w:cs="宋体" w:asciiTheme="minorEastAsia" w:hAnsiTheme="minorEastAsia" w:eastAsiaTheme="minorEastAsia"/>
                <w:sz w:val="18"/>
                <w:szCs w:val="18"/>
              </w:rPr>
            </w:pPr>
          </w:p>
        </w:tc>
        <w:tc>
          <w:tcPr>
            <w:tcW w:w="1562" w:type="dxa"/>
            <w:tcBorders>
              <w:tl2br w:val="nil"/>
              <w:tr2bl w:val="nil"/>
            </w:tcBorders>
            <w:shd w:val="clear" w:color="auto" w:fill="auto"/>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励磁系统</w:t>
            </w:r>
          </w:p>
        </w:tc>
        <w:tc>
          <w:tcPr>
            <w:tcW w:w="2121" w:type="dxa"/>
            <w:tcBorders>
              <w:tl2br w:val="nil"/>
              <w:tr2bl w:val="nil"/>
            </w:tcBorders>
            <w:shd w:val="clear" w:color="auto" w:fill="auto"/>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励磁系统故障</w:t>
            </w:r>
          </w:p>
        </w:tc>
        <w:tc>
          <w:tcPr>
            <w:tcW w:w="2779" w:type="dxa"/>
            <w:gridSpan w:val="2"/>
            <w:tcBorders>
              <w:tl2br w:val="nil"/>
              <w:tr2bl w:val="nil"/>
            </w:tcBorders>
            <w:shd w:val="clear" w:color="auto" w:fill="FFFFFF"/>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不能同期或解列</w:t>
            </w:r>
          </w:p>
        </w:tc>
        <w:tc>
          <w:tcPr>
            <w:tcW w:w="895"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LS法</w:t>
            </w:r>
          </w:p>
        </w:tc>
        <w:tc>
          <w:tcPr>
            <w:tcW w:w="895"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5～30</w:t>
            </w:r>
          </w:p>
        </w:tc>
        <w:tc>
          <w:tcPr>
            <w:tcW w:w="716" w:type="dxa"/>
            <w:tcBorders>
              <w:tl2br w:val="nil"/>
              <w:tr2bl w:val="nil"/>
            </w:tcBorders>
            <w:tcMar>
              <w:top w:w="15" w:type="dxa"/>
              <w:left w:w="15" w:type="dxa"/>
              <w:right w:w="15" w:type="dxa"/>
            </w:tcMar>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w:t>
            </w:r>
          </w:p>
        </w:tc>
        <w:tc>
          <w:tcPr>
            <w:tcW w:w="776"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3～15</w:t>
            </w:r>
          </w:p>
        </w:tc>
        <w:tc>
          <w:tcPr>
            <w:tcW w:w="101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15～450</w:t>
            </w:r>
          </w:p>
        </w:tc>
        <w:tc>
          <w:tcPr>
            <w:tcW w:w="89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低～重大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683" w:type="dxa"/>
            <w:tcBorders>
              <w:tl2br w:val="nil"/>
              <w:tr2bl w:val="nil"/>
            </w:tcBorders>
            <w:shd w:val="clear" w:color="auto" w:fill="auto"/>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36</w:t>
            </w:r>
          </w:p>
        </w:tc>
        <w:tc>
          <w:tcPr>
            <w:tcW w:w="828" w:type="dxa"/>
            <w:vMerge w:val="continue"/>
            <w:tcBorders>
              <w:tl2br w:val="nil"/>
              <w:tr2bl w:val="nil"/>
            </w:tcBorders>
            <w:shd w:val="clear" w:color="auto" w:fill="auto"/>
            <w:tcMar>
              <w:top w:w="15" w:type="dxa"/>
              <w:left w:w="15" w:type="dxa"/>
              <w:right w:w="15" w:type="dxa"/>
            </w:tcMar>
            <w:vAlign w:val="center"/>
          </w:tcPr>
          <w:p>
            <w:pPr>
              <w:snapToGrid w:val="0"/>
              <w:jc w:val="center"/>
              <w:rPr>
                <w:rFonts w:cs="宋体" w:asciiTheme="minorEastAsia" w:hAnsiTheme="minorEastAsia" w:eastAsiaTheme="minorEastAsia"/>
                <w:sz w:val="18"/>
                <w:szCs w:val="18"/>
              </w:rPr>
            </w:pPr>
          </w:p>
        </w:tc>
        <w:tc>
          <w:tcPr>
            <w:tcW w:w="1157" w:type="dxa"/>
            <w:vMerge w:val="continue"/>
            <w:tcBorders>
              <w:tl2br w:val="nil"/>
              <w:tr2bl w:val="nil"/>
            </w:tcBorders>
            <w:shd w:val="clear" w:color="auto" w:fill="auto"/>
            <w:tcMar>
              <w:top w:w="15" w:type="dxa"/>
              <w:left w:w="15" w:type="dxa"/>
              <w:right w:w="15" w:type="dxa"/>
            </w:tcMar>
            <w:vAlign w:val="center"/>
          </w:tcPr>
          <w:p>
            <w:pPr>
              <w:snapToGrid w:val="0"/>
              <w:jc w:val="center"/>
              <w:rPr>
                <w:rFonts w:cs="宋体" w:asciiTheme="minorEastAsia" w:hAnsiTheme="minorEastAsia" w:eastAsiaTheme="minorEastAsia"/>
                <w:sz w:val="18"/>
                <w:szCs w:val="18"/>
              </w:rPr>
            </w:pPr>
          </w:p>
        </w:tc>
        <w:tc>
          <w:tcPr>
            <w:tcW w:w="1562" w:type="dxa"/>
            <w:tcBorders>
              <w:tl2br w:val="nil"/>
              <w:tr2bl w:val="nil"/>
            </w:tcBorders>
            <w:shd w:val="clear" w:color="auto" w:fill="auto"/>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备用电源（柴油发电机）</w:t>
            </w:r>
          </w:p>
        </w:tc>
        <w:tc>
          <w:tcPr>
            <w:tcW w:w="2121" w:type="dxa"/>
            <w:tcBorders>
              <w:tl2br w:val="nil"/>
              <w:tr2bl w:val="nil"/>
            </w:tcBorders>
            <w:shd w:val="clear" w:color="auto" w:fill="auto"/>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线路故障、蓄电池故障、空气进入系统等</w:t>
            </w:r>
          </w:p>
        </w:tc>
        <w:tc>
          <w:tcPr>
            <w:tcW w:w="2779" w:type="dxa"/>
            <w:gridSpan w:val="2"/>
            <w:tcBorders>
              <w:tl2br w:val="nil"/>
              <w:tr2bl w:val="nil"/>
            </w:tcBorders>
            <w:shd w:val="clear" w:color="auto" w:fill="FFFFFF"/>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不能及时供电、影响电站运行</w:t>
            </w:r>
          </w:p>
        </w:tc>
        <w:tc>
          <w:tcPr>
            <w:tcW w:w="895"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LS法</w:t>
            </w:r>
          </w:p>
        </w:tc>
        <w:tc>
          <w:tcPr>
            <w:tcW w:w="895"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5～10</w:t>
            </w:r>
          </w:p>
        </w:tc>
        <w:tc>
          <w:tcPr>
            <w:tcW w:w="716" w:type="dxa"/>
            <w:tcBorders>
              <w:tl2br w:val="nil"/>
              <w:tr2bl w:val="nil"/>
            </w:tcBorders>
            <w:tcMar>
              <w:top w:w="15" w:type="dxa"/>
              <w:left w:w="15" w:type="dxa"/>
              <w:right w:w="15" w:type="dxa"/>
            </w:tcMar>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w:t>
            </w:r>
          </w:p>
        </w:tc>
        <w:tc>
          <w:tcPr>
            <w:tcW w:w="776"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3～15</w:t>
            </w:r>
          </w:p>
        </w:tc>
        <w:tc>
          <w:tcPr>
            <w:tcW w:w="101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15～150</w:t>
            </w:r>
          </w:p>
        </w:tc>
        <w:tc>
          <w:tcPr>
            <w:tcW w:w="89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低～一般</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683"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37</w:t>
            </w:r>
          </w:p>
        </w:tc>
        <w:tc>
          <w:tcPr>
            <w:tcW w:w="828" w:type="dxa"/>
            <w:vMerge w:val="continue"/>
            <w:tcBorders>
              <w:tl2br w:val="nil"/>
              <w:tr2bl w:val="nil"/>
            </w:tcBorders>
            <w:tcMar>
              <w:top w:w="15" w:type="dxa"/>
              <w:left w:w="15" w:type="dxa"/>
              <w:right w:w="15" w:type="dxa"/>
            </w:tcMar>
            <w:vAlign w:val="center"/>
          </w:tcPr>
          <w:p>
            <w:pPr>
              <w:snapToGrid w:val="0"/>
              <w:jc w:val="center"/>
              <w:rPr>
                <w:rFonts w:cs="宋体" w:asciiTheme="minorEastAsia" w:hAnsiTheme="minorEastAsia" w:eastAsiaTheme="minorEastAsia"/>
                <w:sz w:val="18"/>
                <w:szCs w:val="18"/>
              </w:rPr>
            </w:pPr>
          </w:p>
        </w:tc>
        <w:tc>
          <w:tcPr>
            <w:tcW w:w="1157" w:type="dxa"/>
            <w:vMerge w:val="continue"/>
            <w:tcBorders>
              <w:tl2br w:val="nil"/>
              <w:tr2bl w:val="nil"/>
            </w:tcBorders>
            <w:tcMar>
              <w:top w:w="15" w:type="dxa"/>
              <w:left w:w="15" w:type="dxa"/>
              <w:right w:w="15" w:type="dxa"/>
            </w:tcMar>
            <w:vAlign w:val="center"/>
          </w:tcPr>
          <w:p>
            <w:pPr>
              <w:snapToGrid w:val="0"/>
              <w:jc w:val="center"/>
              <w:rPr>
                <w:rFonts w:cs="宋体" w:asciiTheme="minorEastAsia" w:hAnsiTheme="minorEastAsia" w:eastAsiaTheme="minorEastAsia"/>
                <w:sz w:val="18"/>
                <w:szCs w:val="18"/>
              </w:rPr>
            </w:pPr>
          </w:p>
        </w:tc>
        <w:tc>
          <w:tcPr>
            <w:tcW w:w="1562"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电动机变频、旁路装置</w:t>
            </w:r>
          </w:p>
        </w:tc>
        <w:tc>
          <w:tcPr>
            <w:tcW w:w="2121"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变频、旁路装置故障</w:t>
            </w:r>
          </w:p>
        </w:tc>
        <w:tc>
          <w:tcPr>
            <w:tcW w:w="2779" w:type="dxa"/>
            <w:gridSpan w:val="2"/>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电机无法正常运行</w:t>
            </w:r>
          </w:p>
        </w:tc>
        <w:tc>
          <w:tcPr>
            <w:tcW w:w="895"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LS法</w:t>
            </w:r>
          </w:p>
        </w:tc>
        <w:tc>
          <w:tcPr>
            <w:tcW w:w="895"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5～30</w:t>
            </w:r>
          </w:p>
        </w:tc>
        <w:tc>
          <w:tcPr>
            <w:tcW w:w="716" w:type="dxa"/>
            <w:tcBorders>
              <w:tl2br w:val="nil"/>
              <w:tr2bl w:val="nil"/>
            </w:tcBorders>
            <w:tcMar>
              <w:top w:w="15" w:type="dxa"/>
              <w:left w:w="15" w:type="dxa"/>
              <w:right w:w="15" w:type="dxa"/>
            </w:tcMar>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w:t>
            </w:r>
          </w:p>
        </w:tc>
        <w:tc>
          <w:tcPr>
            <w:tcW w:w="776"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3～15</w:t>
            </w:r>
          </w:p>
        </w:tc>
        <w:tc>
          <w:tcPr>
            <w:tcW w:w="101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15～450</w:t>
            </w:r>
          </w:p>
        </w:tc>
        <w:tc>
          <w:tcPr>
            <w:tcW w:w="89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低～重大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683"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38</w:t>
            </w:r>
          </w:p>
        </w:tc>
        <w:tc>
          <w:tcPr>
            <w:tcW w:w="828" w:type="dxa"/>
            <w:vMerge w:val="continue"/>
            <w:tcBorders>
              <w:tl2br w:val="nil"/>
              <w:tr2bl w:val="nil"/>
            </w:tcBorders>
            <w:tcMar>
              <w:top w:w="15" w:type="dxa"/>
              <w:left w:w="15" w:type="dxa"/>
              <w:right w:w="15" w:type="dxa"/>
            </w:tcMar>
            <w:vAlign w:val="center"/>
          </w:tcPr>
          <w:p>
            <w:pPr>
              <w:snapToGrid w:val="0"/>
              <w:jc w:val="center"/>
              <w:rPr>
                <w:rFonts w:cs="宋体" w:asciiTheme="minorEastAsia" w:hAnsiTheme="minorEastAsia" w:eastAsiaTheme="minorEastAsia"/>
                <w:sz w:val="18"/>
                <w:szCs w:val="18"/>
              </w:rPr>
            </w:pPr>
          </w:p>
        </w:tc>
        <w:tc>
          <w:tcPr>
            <w:tcW w:w="1157" w:type="dxa"/>
            <w:vMerge w:val="continue"/>
            <w:tcBorders>
              <w:tl2br w:val="nil"/>
              <w:tr2bl w:val="nil"/>
            </w:tcBorders>
            <w:tcMar>
              <w:top w:w="15" w:type="dxa"/>
              <w:left w:w="15" w:type="dxa"/>
              <w:right w:w="15" w:type="dxa"/>
            </w:tcMar>
            <w:vAlign w:val="center"/>
          </w:tcPr>
          <w:p>
            <w:pPr>
              <w:snapToGrid w:val="0"/>
              <w:jc w:val="center"/>
              <w:rPr>
                <w:rFonts w:cs="宋体" w:asciiTheme="minorEastAsia" w:hAnsiTheme="minorEastAsia" w:eastAsiaTheme="minorEastAsia"/>
                <w:sz w:val="18"/>
                <w:szCs w:val="18"/>
              </w:rPr>
            </w:pPr>
          </w:p>
        </w:tc>
        <w:tc>
          <w:tcPr>
            <w:tcW w:w="1562"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仪表、测量控制及保护装置</w:t>
            </w:r>
          </w:p>
        </w:tc>
        <w:tc>
          <w:tcPr>
            <w:tcW w:w="2121"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设备故障，保护定值不合理，保护动作不灵敏</w:t>
            </w:r>
          </w:p>
        </w:tc>
        <w:tc>
          <w:tcPr>
            <w:tcW w:w="2779" w:type="dxa"/>
            <w:gridSpan w:val="2"/>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影响设备运行</w:t>
            </w:r>
          </w:p>
        </w:tc>
        <w:tc>
          <w:tcPr>
            <w:tcW w:w="895"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LS法</w:t>
            </w:r>
          </w:p>
        </w:tc>
        <w:tc>
          <w:tcPr>
            <w:tcW w:w="895"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5～30</w:t>
            </w:r>
          </w:p>
        </w:tc>
        <w:tc>
          <w:tcPr>
            <w:tcW w:w="716" w:type="dxa"/>
            <w:tcBorders>
              <w:tl2br w:val="nil"/>
              <w:tr2bl w:val="nil"/>
            </w:tcBorders>
            <w:tcMar>
              <w:top w:w="15" w:type="dxa"/>
              <w:left w:w="15" w:type="dxa"/>
              <w:right w:w="15" w:type="dxa"/>
            </w:tcMar>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w:t>
            </w:r>
          </w:p>
        </w:tc>
        <w:tc>
          <w:tcPr>
            <w:tcW w:w="776"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3～15</w:t>
            </w:r>
          </w:p>
        </w:tc>
        <w:tc>
          <w:tcPr>
            <w:tcW w:w="101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15～450</w:t>
            </w:r>
          </w:p>
        </w:tc>
        <w:tc>
          <w:tcPr>
            <w:tcW w:w="89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低～重大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683"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39</w:t>
            </w:r>
          </w:p>
        </w:tc>
        <w:tc>
          <w:tcPr>
            <w:tcW w:w="828" w:type="dxa"/>
            <w:vMerge w:val="continue"/>
            <w:tcBorders>
              <w:tl2br w:val="nil"/>
              <w:tr2bl w:val="nil"/>
            </w:tcBorders>
            <w:tcMar>
              <w:top w:w="15" w:type="dxa"/>
              <w:left w:w="15" w:type="dxa"/>
              <w:right w:w="15" w:type="dxa"/>
            </w:tcMar>
            <w:vAlign w:val="center"/>
          </w:tcPr>
          <w:p>
            <w:pPr>
              <w:snapToGrid w:val="0"/>
              <w:jc w:val="center"/>
              <w:rPr>
                <w:rFonts w:cs="宋体" w:asciiTheme="minorEastAsia" w:hAnsiTheme="minorEastAsia" w:eastAsiaTheme="minorEastAsia"/>
                <w:sz w:val="18"/>
                <w:szCs w:val="18"/>
              </w:rPr>
            </w:pPr>
          </w:p>
        </w:tc>
        <w:tc>
          <w:tcPr>
            <w:tcW w:w="1157" w:type="dxa"/>
            <w:vMerge w:val="continue"/>
            <w:tcBorders>
              <w:tl2br w:val="nil"/>
              <w:tr2bl w:val="nil"/>
            </w:tcBorders>
            <w:tcMar>
              <w:top w:w="15" w:type="dxa"/>
              <w:left w:w="15" w:type="dxa"/>
              <w:right w:w="15" w:type="dxa"/>
            </w:tcMar>
            <w:vAlign w:val="center"/>
          </w:tcPr>
          <w:p>
            <w:pPr>
              <w:snapToGrid w:val="0"/>
              <w:jc w:val="center"/>
              <w:rPr>
                <w:rFonts w:cs="宋体" w:asciiTheme="minorEastAsia" w:hAnsiTheme="minorEastAsia" w:eastAsiaTheme="minorEastAsia"/>
                <w:sz w:val="18"/>
                <w:szCs w:val="18"/>
              </w:rPr>
            </w:pPr>
          </w:p>
        </w:tc>
        <w:tc>
          <w:tcPr>
            <w:tcW w:w="1562"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接地装置</w:t>
            </w:r>
          </w:p>
        </w:tc>
        <w:tc>
          <w:tcPr>
            <w:tcW w:w="2121"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接地装置锈蚀、连接不良、有损伤、折断</w:t>
            </w:r>
          </w:p>
        </w:tc>
        <w:tc>
          <w:tcPr>
            <w:tcW w:w="2779" w:type="dxa"/>
            <w:gridSpan w:val="2"/>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触电</w:t>
            </w:r>
          </w:p>
        </w:tc>
        <w:tc>
          <w:tcPr>
            <w:tcW w:w="895"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LS法</w:t>
            </w:r>
          </w:p>
        </w:tc>
        <w:tc>
          <w:tcPr>
            <w:tcW w:w="895"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5～30</w:t>
            </w:r>
          </w:p>
        </w:tc>
        <w:tc>
          <w:tcPr>
            <w:tcW w:w="716" w:type="dxa"/>
            <w:tcBorders>
              <w:tl2br w:val="nil"/>
              <w:tr2bl w:val="nil"/>
            </w:tcBorders>
            <w:tcMar>
              <w:top w:w="15" w:type="dxa"/>
              <w:left w:w="15" w:type="dxa"/>
              <w:right w:w="15" w:type="dxa"/>
            </w:tcMar>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w:t>
            </w:r>
          </w:p>
        </w:tc>
        <w:tc>
          <w:tcPr>
            <w:tcW w:w="776"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3～15</w:t>
            </w:r>
          </w:p>
        </w:tc>
        <w:tc>
          <w:tcPr>
            <w:tcW w:w="101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15～450</w:t>
            </w:r>
          </w:p>
        </w:tc>
        <w:tc>
          <w:tcPr>
            <w:tcW w:w="89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低～重大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683"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40</w:t>
            </w:r>
          </w:p>
        </w:tc>
        <w:tc>
          <w:tcPr>
            <w:tcW w:w="828" w:type="dxa"/>
            <w:vMerge w:val="restart"/>
            <w:tcBorders>
              <w:tl2br w:val="nil"/>
              <w:tr2bl w:val="nil"/>
            </w:tcBorders>
            <w:tcMar>
              <w:top w:w="15" w:type="dxa"/>
              <w:left w:w="15" w:type="dxa"/>
              <w:right w:w="15" w:type="dxa"/>
            </w:tcMar>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设备设施类</w:t>
            </w:r>
          </w:p>
        </w:tc>
        <w:tc>
          <w:tcPr>
            <w:tcW w:w="1157" w:type="dxa"/>
            <w:tcBorders>
              <w:tl2br w:val="nil"/>
              <w:tr2bl w:val="nil"/>
            </w:tcBorders>
            <w:tcMar>
              <w:top w:w="15" w:type="dxa"/>
              <w:left w:w="15" w:type="dxa"/>
              <w:right w:w="15" w:type="dxa"/>
            </w:tcMar>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电气设备</w:t>
            </w:r>
          </w:p>
        </w:tc>
        <w:tc>
          <w:tcPr>
            <w:tcW w:w="1562"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综合自动化系统</w:t>
            </w:r>
          </w:p>
        </w:tc>
        <w:tc>
          <w:tcPr>
            <w:tcW w:w="2121"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硬件故障、使用不当</w:t>
            </w:r>
          </w:p>
        </w:tc>
        <w:tc>
          <w:tcPr>
            <w:tcW w:w="2779" w:type="dxa"/>
            <w:gridSpan w:val="2"/>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停机</w:t>
            </w:r>
          </w:p>
        </w:tc>
        <w:tc>
          <w:tcPr>
            <w:tcW w:w="895"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LS法</w:t>
            </w:r>
          </w:p>
        </w:tc>
        <w:tc>
          <w:tcPr>
            <w:tcW w:w="895"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5～10</w:t>
            </w:r>
          </w:p>
        </w:tc>
        <w:tc>
          <w:tcPr>
            <w:tcW w:w="716" w:type="dxa"/>
            <w:tcBorders>
              <w:tl2br w:val="nil"/>
              <w:tr2bl w:val="nil"/>
            </w:tcBorders>
            <w:tcMar>
              <w:top w:w="15" w:type="dxa"/>
              <w:left w:w="15" w:type="dxa"/>
              <w:right w:w="15" w:type="dxa"/>
            </w:tcMar>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w:t>
            </w:r>
          </w:p>
        </w:tc>
        <w:tc>
          <w:tcPr>
            <w:tcW w:w="776"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3～15</w:t>
            </w:r>
          </w:p>
        </w:tc>
        <w:tc>
          <w:tcPr>
            <w:tcW w:w="101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15～150</w:t>
            </w:r>
          </w:p>
        </w:tc>
        <w:tc>
          <w:tcPr>
            <w:tcW w:w="89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低～一般</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683"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41</w:t>
            </w:r>
          </w:p>
        </w:tc>
        <w:tc>
          <w:tcPr>
            <w:tcW w:w="828" w:type="dxa"/>
            <w:vMerge w:val="continue"/>
            <w:tcBorders>
              <w:tl2br w:val="nil"/>
              <w:tr2bl w:val="nil"/>
            </w:tcBorders>
            <w:tcMar>
              <w:top w:w="15" w:type="dxa"/>
              <w:left w:w="15" w:type="dxa"/>
              <w:right w:w="15" w:type="dxa"/>
            </w:tcMar>
            <w:vAlign w:val="center"/>
          </w:tcPr>
          <w:p>
            <w:pPr>
              <w:snapToGrid w:val="0"/>
              <w:jc w:val="center"/>
              <w:rPr>
                <w:rFonts w:cs="宋体" w:asciiTheme="minorEastAsia" w:hAnsiTheme="minorEastAsia" w:eastAsiaTheme="minorEastAsia"/>
                <w:sz w:val="18"/>
                <w:szCs w:val="18"/>
              </w:rPr>
            </w:pPr>
          </w:p>
        </w:tc>
        <w:tc>
          <w:tcPr>
            <w:tcW w:w="1157" w:type="dxa"/>
            <w:vMerge w:val="restart"/>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辅助设备</w:t>
            </w:r>
          </w:p>
        </w:tc>
        <w:tc>
          <w:tcPr>
            <w:tcW w:w="1562"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顶盖排水系统</w:t>
            </w:r>
          </w:p>
        </w:tc>
        <w:tc>
          <w:tcPr>
            <w:tcW w:w="2121"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排水系统工作不正常</w:t>
            </w:r>
          </w:p>
        </w:tc>
        <w:tc>
          <w:tcPr>
            <w:tcW w:w="2779" w:type="dxa"/>
            <w:gridSpan w:val="2"/>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顶盖淹水、停机</w:t>
            </w:r>
          </w:p>
        </w:tc>
        <w:tc>
          <w:tcPr>
            <w:tcW w:w="895"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LS法</w:t>
            </w:r>
          </w:p>
        </w:tc>
        <w:tc>
          <w:tcPr>
            <w:tcW w:w="895"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5～30</w:t>
            </w:r>
          </w:p>
        </w:tc>
        <w:tc>
          <w:tcPr>
            <w:tcW w:w="716" w:type="dxa"/>
            <w:tcBorders>
              <w:tl2br w:val="nil"/>
              <w:tr2bl w:val="nil"/>
            </w:tcBorders>
            <w:tcMar>
              <w:top w:w="15" w:type="dxa"/>
              <w:left w:w="15" w:type="dxa"/>
              <w:right w:w="15" w:type="dxa"/>
            </w:tcMar>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w:t>
            </w:r>
          </w:p>
        </w:tc>
        <w:tc>
          <w:tcPr>
            <w:tcW w:w="776"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3～15</w:t>
            </w:r>
          </w:p>
        </w:tc>
        <w:tc>
          <w:tcPr>
            <w:tcW w:w="101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15～450</w:t>
            </w:r>
          </w:p>
        </w:tc>
        <w:tc>
          <w:tcPr>
            <w:tcW w:w="89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低～重大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683" w:type="dxa"/>
            <w:tcBorders>
              <w:tl2br w:val="nil"/>
              <w:tr2bl w:val="nil"/>
            </w:tcBorders>
            <w:shd w:val="clear" w:color="auto" w:fill="auto"/>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42</w:t>
            </w:r>
          </w:p>
        </w:tc>
        <w:tc>
          <w:tcPr>
            <w:tcW w:w="828" w:type="dxa"/>
            <w:vMerge w:val="continue"/>
            <w:tcBorders>
              <w:tl2br w:val="nil"/>
              <w:tr2bl w:val="nil"/>
            </w:tcBorders>
            <w:shd w:val="clear" w:color="auto" w:fill="auto"/>
            <w:tcMar>
              <w:top w:w="15" w:type="dxa"/>
              <w:left w:w="15" w:type="dxa"/>
              <w:right w:w="15" w:type="dxa"/>
            </w:tcMar>
            <w:vAlign w:val="center"/>
          </w:tcPr>
          <w:p>
            <w:pPr>
              <w:snapToGrid w:val="0"/>
              <w:jc w:val="center"/>
              <w:rPr>
                <w:rFonts w:cs="宋体" w:asciiTheme="minorEastAsia" w:hAnsiTheme="minorEastAsia" w:eastAsiaTheme="minorEastAsia"/>
                <w:sz w:val="18"/>
                <w:szCs w:val="18"/>
              </w:rPr>
            </w:pPr>
          </w:p>
        </w:tc>
        <w:tc>
          <w:tcPr>
            <w:tcW w:w="1157" w:type="dxa"/>
            <w:vMerge w:val="continue"/>
            <w:tcBorders>
              <w:tl2br w:val="nil"/>
              <w:tr2bl w:val="nil"/>
            </w:tcBorders>
            <w:shd w:val="clear" w:color="auto" w:fill="auto"/>
            <w:tcMar>
              <w:top w:w="15" w:type="dxa"/>
              <w:left w:w="15" w:type="dxa"/>
              <w:right w:w="15" w:type="dxa"/>
            </w:tcMar>
            <w:vAlign w:val="center"/>
          </w:tcPr>
          <w:p>
            <w:pPr>
              <w:snapToGrid w:val="0"/>
              <w:jc w:val="center"/>
              <w:rPr>
                <w:rFonts w:cs="宋体" w:asciiTheme="minorEastAsia" w:hAnsiTheme="minorEastAsia" w:eastAsiaTheme="minorEastAsia"/>
                <w:sz w:val="18"/>
                <w:szCs w:val="18"/>
              </w:rPr>
            </w:pPr>
          </w:p>
        </w:tc>
        <w:tc>
          <w:tcPr>
            <w:tcW w:w="1562" w:type="dxa"/>
            <w:tcBorders>
              <w:tl2br w:val="nil"/>
              <w:tr2bl w:val="nil"/>
            </w:tcBorders>
            <w:shd w:val="clear" w:color="auto" w:fill="auto"/>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油系统</w:t>
            </w:r>
          </w:p>
        </w:tc>
        <w:tc>
          <w:tcPr>
            <w:tcW w:w="2121" w:type="dxa"/>
            <w:tcBorders>
              <w:tl2br w:val="nil"/>
              <w:tr2bl w:val="nil"/>
            </w:tcBorders>
            <w:shd w:val="clear" w:color="auto" w:fill="auto"/>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油品质不达标、油压异常、过滤器堵塞、油管堵塞、安全阀故障等</w:t>
            </w:r>
          </w:p>
        </w:tc>
        <w:tc>
          <w:tcPr>
            <w:tcW w:w="2779" w:type="dxa"/>
            <w:gridSpan w:val="2"/>
            <w:tcBorders>
              <w:tl2br w:val="nil"/>
              <w:tr2bl w:val="nil"/>
            </w:tcBorders>
            <w:shd w:val="clear" w:color="auto" w:fill="FFFFFF"/>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机组异常温升、机组停机</w:t>
            </w:r>
          </w:p>
        </w:tc>
        <w:tc>
          <w:tcPr>
            <w:tcW w:w="895"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LS法</w:t>
            </w:r>
          </w:p>
        </w:tc>
        <w:tc>
          <w:tcPr>
            <w:tcW w:w="895"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5～30</w:t>
            </w:r>
          </w:p>
        </w:tc>
        <w:tc>
          <w:tcPr>
            <w:tcW w:w="716" w:type="dxa"/>
            <w:tcBorders>
              <w:tl2br w:val="nil"/>
              <w:tr2bl w:val="nil"/>
            </w:tcBorders>
            <w:tcMar>
              <w:top w:w="15" w:type="dxa"/>
              <w:left w:w="15" w:type="dxa"/>
              <w:right w:w="15" w:type="dxa"/>
            </w:tcMar>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w:t>
            </w:r>
          </w:p>
        </w:tc>
        <w:tc>
          <w:tcPr>
            <w:tcW w:w="776"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3～15</w:t>
            </w:r>
          </w:p>
        </w:tc>
        <w:tc>
          <w:tcPr>
            <w:tcW w:w="101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15～450</w:t>
            </w:r>
          </w:p>
        </w:tc>
        <w:tc>
          <w:tcPr>
            <w:tcW w:w="89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低～重大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683" w:type="dxa"/>
            <w:tcBorders>
              <w:tl2br w:val="nil"/>
              <w:tr2bl w:val="nil"/>
            </w:tcBorders>
            <w:shd w:val="clear" w:color="auto" w:fill="auto"/>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43</w:t>
            </w:r>
          </w:p>
        </w:tc>
        <w:tc>
          <w:tcPr>
            <w:tcW w:w="828" w:type="dxa"/>
            <w:vMerge w:val="continue"/>
            <w:tcBorders>
              <w:tl2br w:val="nil"/>
              <w:tr2bl w:val="nil"/>
            </w:tcBorders>
            <w:shd w:val="clear" w:color="auto" w:fill="auto"/>
            <w:tcMar>
              <w:top w:w="15" w:type="dxa"/>
              <w:left w:w="15" w:type="dxa"/>
              <w:right w:w="15" w:type="dxa"/>
            </w:tcMar>
            <w:vAlign w:val="center"/>
          </w:tcPr>
          <w:p>
            <w:pPr>
              <w:snapToGrid w:val="0"/>
              <w:jc w:val="center"/>
              <w:rPr>
                <w:rFonts w:cs="宋体" w:asciiTheme="minorEastAsia" w:hAnsiTheme="minorEastAsia" w:eastAsiaTheme="minorEastAsia"/>
                <w:sz w:val="18"/>
                <w:szCs w:val="18"/>
              </w:rPr>
            </w:pPr>
          </w:p>
        </w:tc>
        <w:tc>
          <w:tcPr>
            <w:tcW w:w="1157" w:type="dxa"/>
            <w:vMerge w:val="continue"/>
            <w:tcBorders>
              <w:tl2br w:val="nil"/>
              <w:tr2bl w:val="nil"/>
            </w:tcBorders>
            <w:shd w:val="clear" w:color="auto" w:fill="auto"/>
            <w:tcMar>
              <w:top w:w="15" w:type="dxa"/>
              <w:left w:w="15" w:type="dxa"/>
              <w:right w:w="15" w:type="dxa"/>
            </w:tcMar>
            <w:vAlign w:val="center"/>
          </w:tcPr>
          <w:p>
            <w:pPr>
              <w:snapToGrid w:val="0"/>
              <w:jc w:val="center"/>
              <w:rPr>
                <w:rFonts w:cs="宋体" w:asciiTheme="minorEastAsia" w:hAnsiTheme="minorEastAsia" w:eastAsiaTheme="minorEastAsia"/>
                <w:sz w:val="18"/>
                <w:szCs w:val="18"/>
              </w:rPr>
            </w:pPr>
          </w:p>
        </w:tc>
        <w:tc>
          <w:tcPr>
            <w:tcW w:w="1562" w:type="dxa"/>
            <w:tcBorders>
              <w:tl2br w:val="nil"/>
              <w:tr2bl w:val="nil"/>
            </w:tcBorders>
            <w:shd w:val="clear" w:color="auto" w:fill="auto"/>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技术供水系统</w:t>
            </w:r>
          </w:p>
        </w:tc>
        <w:tc>
          <w:tcPr>
            <w:tcW w:w="2121" w:type="dxa"/>
            <w:tcBorders>
              <w:tl2br w:val="nil"/>
              <w:tr2bl w:val="nil"/>
            </w:tcBorders>
            <w:shd w:val="clear" w:color="auto" w:fill="auto"/>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水泵故障、管路堵塞、阀门故障、控制电源及回路故障、冷却装置故障、过滤器故障等</w:t>
            </w:r>
          </w:p>
        </w:tc>
        <w:tc>
          <w:tcPr>
            <w:tcW w:w="2779" w:type="dxa"/>
            <w:gridSpan w:val="2"/>
            <w:tcBorders>
              <w:tl2br w:val="nil"/>
              <w:tr2bl w:val="nil"/>
            </w:tcBorders>
            <w:shd w:val="clear" w:color="auto" w:fill="FFFFFF"/>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机组停机</w:t>
            </w:r>
          </w:p>
        </w:tc>
        <w:tc>
          <w:tcPr>
            <w:tcW w:w="895"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LS法</w:t>
            </w:r>
          </w:p>
        </w:tc>
        <w:tc>
          <w:tcPr>
            <w:tcW w:w="895"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5～30</w:t>
            </w:r>
          </w:p>
        </w:tc>
        <w:tc>
          <w:tcPr>
            <w:tcW w:w="716" w:type="dxa"/>
            <w:tcBorders>
              <w:tl2br w:val="nil"/>
              <w:tr2bl w:val="nil"/>
            </w:tcBorders>
            <w:tcMar>
              <w:top w:w="15" w:type="dxa"/>
              <w:left w:w="15" w:type="dxa"/>
              <w:right w:w="15" w:type="dxa"/>
            </w:tcMar>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w:t>
            </w:r>
          </w:p>
        </w:tc>
        <w:tc>
          <w:tcPr>
            <w:tcW w:w="776"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3～15</w:t>
            </w:r>
          </w:p>
        </w:tc>
        <w:tc>
          <w:tcPr>
            <w:tcW w:w="101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15～450</w:t>
            </w:r>
          </w:p>
        </w:tc>
        <w:tc>
          <w:tcPr>
            <w:tcW w:w="89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低～重大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683"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44</w:t>
            </w:r>
          </w:p>
        </w:tc>
        <w:tc>
          <w:tcPr>
            <w:tcW w:w="828" w:type="dxa"/>
            <w:vMerge w:val="continue"/>
            <w:tcBorders>
              <w:tl2br w:val="nil"/>
              <w:tr2bl w:val="nil"/>
            </w:tcBorders>
            <w:tcMar>
              <w:top w:w="15" w:type="dxa"/>
              <w:left w:w="15" w:type="dxa"/>
              <w:right w:w="15" w:type="dxa"/>
            </w:tcMar>
            <w:vAlign w:val="center"/>
          </w:tcPr>
          <w:p>
            <w:pPr>
              <w:snapToGrid w:val="0"/>
              <w:jc w:val="center"/>
              <w:rPr>
                <w:rFonts w:cs="宋体" w:asciiTheme="minorEastAsia" w:hAnsiTheme="minorEastAsia" w:eastAsiaTheme="minorEastAsia"/>
                <w:sz w:val="18"/>
                <w:szCs w:val="18"/>
              </w:rPr>
            </w:pPr>
          </w:p>
        </w:tc>
        <w:tc>
          <w:tcPr>
            <w:tcW w:w="1157" w:type="dxa"/>
            <w:vMerge w:val="continue"/>
            <w:tcBorders>
              <w:tl2br w:val="nil"/>
              <w:tr2bl w:val="nil"/>
            </w:tcBorders>
            <w:tcMar>
              <w:top w:w="15" w:type="dxa"/>
              <w:left w:w="15" w:type="dxa"/>
              <w:right w:w="15" w:type="dxa"/>
            </w:tcMar>
            <w:vAlign w:val="center"/>
          </w:tcPr>
          <w:p>
            <w:pPr>
              <w:snapToGrid w:val="0"/>
              <w:jc w:val="center"/>
              <w:rPr>
                <w:rFonts w:cs="宋体" w:asciiTheme="minorEastAsia" w:hAnsiTheme="minorEastAsia" w:eastAsiaTheme="minorEastAsia"/>
                <w:sz w:val="18"/>
                <w:szCs w:val="18"/>
              </w:rPr>
            </w:pPr>
          </w:p>
        </w:tc>
        <w:tc>
          <w:tcPr>
            <w:tcW w:w="1562"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排水系统</w:t>
            </w:r>
          </w:p>
        </w:tc>
        <w:tc>
          <w:tcPr>
            <w:tcW w:w="2121"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排水泵、排污泵淤堵失效，控制系统故障</w:t>
            </w:r>
          </w:p>
        </w:tc>
        <w:tc>
          <w:tcPr>
            <w:tcW w:w="2779" w:type="dxa"/>
            <w:gridSpan w:val="2"/>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站内积水，设备损害</w:t>
            </w:r>
          </w:p>
        </w:tc>
        <w:tc>
          <w:tcPr>
            <w:tcW w:w="895"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LS法</w:t>
            </w:r>
          </w:p>
        </w:tc>
        <w:tc>
          <w:tcPr>
            <w:tcW w:w="895"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5～30</w:t>
            </w:r>
          </w:p>
        </w:tc>
        <w:tc>
          <w:tcPr>
            <w:tcW w:w="716" w:type="dxa"/>
            <w:tcBorders>
              <w:tl2br w:val="nil"/>
              <w:tr2bl w:val="nil"/>
            </w:tcBorders>
            <w:tcMar>
              <w:top w:w="15" w:type="dxa"/>
              <w:left w:w="15" w:type="dxa"/>
              <w:right w:w="15" w:type="dxa"/>
            </w:tcMar>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w:t>
            </w:r>
          </w:p>
        </w:tc>
        <w:tc>
          <w:tcPr>
            <w:tcW w:w="776"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3～15</w:t>
            </w:r>
          </w:p>
        </w:tc>
        <w:tc>
          <w:tcPr>
            <w:tcW w:w="101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15～450</w:t>
            </w:r>
          </w:p>
        </w:tc>
        <w:tc>
          <w:tcPr>
            <w:tcW w:w="89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低～重大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683"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45</w:t>
            </w:r>
          </w:p>
        </w:tc>
        <w:tc>
          <w:tcPr>
            <w:tcW w:w="828" w:type="dxa"/>
            <w:vMerge w:val="continue"/>
            <w:tcBorders>
              <w:tl2br w:val="nil"/>
              <w:tr2bl w:val="nil"/>
            </w:tcBorders>
            <w:tcMar>
              <w:top w:w="15" w:type="dxa"/>
              <w:left w:w="15" w:type="dxa"/>
              <w:right w:w="15" w:type="dxa"/>
            </w:tcMar>
            <w:vAlign w:val="center"/>
          </w:tcPr>
          <w:p>
            <w:pPr>
              <w:snapToGrid w:val="0"/>
              <w:jc w:val="center"/>
              <w:rPr>
                <w:rFonts w:cs="宋体" w:asciiTheme="minorEastAsia" w:hAnsiTheme="minorEastAsia" w:eastAsiaTheme="minorEastAsia"/>
                <w:sz w:val="18"/>
                <w:szCs w:val="18"/>
              </w:rPr>
            </w:pPr>
          </w:p>
        </w:tc>
        <w:tc>
          <w:tcPr>
            <w:tcW w:w="1157" w:type="dxa"/>
            <w:vMerge w:val="continue"/>
            <w:tcBorders>
              <w:tl2br w:val="nil"/>
              <w:tr2bl w:val="nil"/>
            </w:tcBorders>
            <w:tcMar>
              <w:top w:w="15" w:type="dxa"/>
              <w:left w:w="15" w:type="dxa"/>
              <w:right w:w="15" w:type="dxa"/>
            </w:tcMar>
            <w:vAlign w:val="center"/>
          </w:tcPr>
          <w:p>
            <w:pPr>
              <w:snapToGrid w:val="0"/>
              <w:jc w:val="center"/>
              <w:rPr>
                <w:rFonts w:cs="宋体" w:asciiTheme="minorEastAsia" w:hAnsiTheme="minorEastAsia" w:eastAsiaTheme="minorEastAsia"/>
                <w:sz w:val="18"/>
                <w:szCs w:val="18"/>
              </w:rPr>
            </w:pPr>
          </w:p>
        </w:tc>
        <w:tc>
          <w:tcPr>
            <w:tcW w:w="1562"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气系统</w:t>
            </w:r>
          </w:p>
        </w:tc>
        <w:tc>
          <w:tcPr>
            <w:tcW w:w="2121"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储气罐压力异常、安全阀故障</w:t>
            </w:r>
          </w:p>
        </w:tc>
        <w:tc>
          <w:tcPr>
            <w:tcW w:w="2779" w:type="dxa"/>
            <w:gridSpan w:val="2"/>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机组无法正常停机</w:t>
            </w:r>
          </w:p>
        </w:tc>
        <w:tc>
          <w:tcPr>
            <w:tcW w:w="895"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LS法</w:t>
            </w:r>
          </w:p>
        </w:tc>
        <w:tc>
          <w:tcPr>
            <w:tcW w:w="895"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5～30</w:t>
            </w:r>
          </w:p>
        </w:tc>
        <w:tc>
          <w:tcPr>
            <w:tcW w:w="716" w:type="dxa"/>
            <w:tcBorders>
              <w:tl2br w:val="nil"/>
              <w:tr2bl w:val="nil"/>
            </w:tcBorders>
            <w:tcMar>
              <w:top w:w="15" w:type="dxa"/>
              <w:left w:w="15" w:type="dxa"/>
              <w:right w:w="15" w:type="dxa"/>
            </w:tcMar>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w:t>
            </w:r>
          </w:p>
        </w:tc>
        <w:tc>
          <w:tcPr>
            <w:tcW w:w="776"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3～15</w:t>
            </w:r>
          </w:p>
        </w:tc>
        <w:tc>
          <w:tcPr>
            <w:tcW w:w="101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15～450</w:t>
            </w:r>
          </w:p>
        </w:tc>
        <w:tc>
          <w:tcPr>
            <w:tcW w:w="89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低～重大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683"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46</w:t>
            </w:r>
          </w:p>
        </w:tc>
        <w:tc>
          <w:tcPr>
            <w:tcW w:w="828" w:type="dxa"/>
            <w:vMerge w:val="continue"/>
            <w:tcBorders>
              <w:tl2br w:val="nil"/>
              <w:tr2bl w:val="nil"/>
            </w:tcBorders>
            <w:tcMar>
              <w:top w:w="15" w:type="dxa"/>
              <w:left w:w="15" w:type="dxa"/>
              <w:right w:w="15" w:type="dxa"/>
            </w:tcMar>
            <w:vAlign w:val="center"/>
          </w:tcPr>
          <w:p>
            <w:pPr>
              <w:snapToGrid w:val="0"/>
              <w:jc w:val="center"/>
              <w:rPr>
                <w:rFonts w:cs="宋体" w:asciiTheme="minorEastAsia" w:hAnsiTheme="minorEastAsia" w:eastAsiaTheme="minorEastAsia"/>
                <w:sz w:val="18"/>
                <w:szCs w:val="18"/>
              </w:rPr>
            </w:pPr>
          </w:p>
        </w:tc>
        <w:tc>
          <w:tcPr>
            <w:tcW w:w="1157" w:type="dxa"/>
            <w:vMerge w:val="restart"/>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特种设备</w:t>
            </w:r>
          </w:p>
        </w:tc>
        <w:tc>
          <w:tcPr>
            <w:tcW w:w="1562"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电梯</w:t>
            </w:r>
          </w:p>
        </w:tc>
        <w:tc>
          <w:tcPr>
            <w:tcW w:w="2121"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未及时维修养护、未定期检测</w:t>
            </w:r>
          </w:p>
        </w:tc>
        <w:tc>
          <w:tcPr>
            <w:tcW w:w="2779" w:type="dxa"/>
            <w:gridSpan w:val="2"/>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人身伤害</w:t>
            </w:r>
          </w:p>
        </w:tc>
        <w:tc>
          <w:tcPr>
            <w:tcW w:w="895"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LEC法</w:t>
            </w:r>
          </w:p>
        </w:tc>
        <w:tc>
          <w:tcPr>
            <w:tcW w:w="895"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0.5～3</w:t>
            </w:r>
          </w:p>
        </w:tc>
        <w:tc>
          <w:tcPr>
            <w:tcW w:w="716"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2～6</w:t>
            </w:r>
          </w:p>
        </w:tc>
        <w:tc>
          <w:tcPr>
            <w:tcW w:w="776"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3～15</w:t>
            </w:r>
          </w:p>
        </w:tc>
        <w:tc>
          <w:tcPr>
            <w:tcW w:w="101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3～270</w:t>
            </w:r>
          </w:p>
        </w:tc>
        <w:tc>
          <w:tcPr>
            <w:tcW w:w="895"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低～较大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683"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47</w:t>
            </w:r>
          </w:p>
        </w:tc>
        <w:tc>
          <w:tcPr>
            <w:tcW w:w="828" w:type="dxa"/>
            <w:vMerge w:val="continue"/>
            <w:tcBorders>
              <w:tl2br w:val="nil"/>
              <w:tr2bl w:val="nil"/>
            </w:tcBorders>
            <w:tcMar>
              <w:top w:w="15" w:type="dxa"/>
              <w:left w:w="15" w:type="dxa"/>
              <w:right w:w="15" w:type="dxa"/>
            </w:tcMar>
            <w:vAlign w:val="center"/>
          </w:tcPr>
          <w:p>
            <w:pPr>
              <w:snapToGrid w:val="0"/>
              <w:jc w:val="center"/>
              <w:rPr>
                <w:rFonts w:cs="宋体" w:asciiTheme="minorEastAsia" w:hAnsiTheme="minorEastAsia" w:eastAsiaTheme="minorEastAsia"/>
                <w:sz w:val="18"/>
                <w:szCs w:val="18"/>
              </w:rPr>
            </w:pPr>
          </w:p>
        </w:tc>
        <w:tc>
          <w:tcPr>
            <w:tcW w:w="1157" w:type="dxa"/>
            <w:vMerge w:val="continue"/>
            <w:tcBorders>
              <w:tl2br w:val="nil"/>
              <w:tr2bl w:val="nil"/>
            </w:tcBorders>
            <w:tcMar>
              <w:top w:w="15" w:type="dxa"/>
              <w:left w:w="15" w:type="dxa"/>
              <w:right w:w="15" w:type="dxa"/>
            </w:tcMar>
            <w:vAlign w:val="center"/>
          </w:tcPr>
          <w:p>
            <w:pPr>
              <w:snapToGrid w:val="0"/>
              <w:jc w:val="center"/>
              <w:rPr>
                <w:rFonts w:cs="宋体" w:asciiTheme="minorEastAsia" w:hAnsiTheme="minorEastAsia" w:eastAsiaTheme="minorEastAsia"/>
                <w:sz w:val="18"/>
                <w:szCs w:val="18"/>
              </w:rPr>
            </w:pPr>
          </w:p>
        </w:tc>
        <w:tc>
          <w:tcPr>
            <w:tcW w:w="1562"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压力容器</w:t>
            </w:r>
          </w:p>
        </w:tc>
        <w:tc>
          <w:tcPr>
            <w:tcW w:w="2121"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未及时维修养护、未定期检测</w:t>
            </w:r>
          </w:p>
        </w:tc>
        <w:tc>
          <w:tcPr>
            <w:tcW w:w="2779" w:type="dxa"/>
            <w:gridSpan w:val="2"/>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容器爆炸、人身伤害</w:t>
            </w:r>
          </w:p>
        </w:tc>
        <w:tc>
          <w:tcPr>
            <w:tcW w:w="895"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LS法</w:t>
            </w:r>
          </w:p>
        </w:tc>
        <w:tc>
          <w:tcPr>
            <w:tcW w:w="895"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5～30</w:t>
            </w:r>
          </w:p>
        </w:tc>
        <w:tc>
          <w:tcPr>
            <w:tcW w:w="716" w:type="dxa"/>
            <w:tcBorders>
              <w:tl2br w:val="nil"/>
              <w:tr2bl w:val="nil"/>
            </w:tcBorders>
            <w:tcMar>
              <w:top w:w="15" w:type="dxa"/>
              <w:left w:w="15" w:type="dxa"/>
              <w:right w:w="15" w:type="dxa"/>
            </w:tcMar>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w:t>
            </w:r>
          </w:p>
        </w:tc>
        <w:tc>
          <w:tcPr>
            <w:tcW w:w="776"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3～15</w:t>
            </w:r>
          </w:p>
        </w:tc>
        <w:tc>
          <w:tcPr>
            <w:tcW w:w="101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15～450</w:t>
            </w:r>
          </w:p>
        </w:tc>
        <w:tc>
          <w:tcPr>
            <w:tcW w:w="89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低～重大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683"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48</w:t>
            </w:r>
          </w:p>
        </w:tc>
        <w:tc>
          <w:tcPr>
            <w:tcW w:w="828" w:type="dxa"/>
            <w:vMerge w:val="restart"/>
            <w:tcBorders>
              <w:tl2br w:val="nil"/>
              <w:tr2bl w:val="nil"/>
            </w:tcBorders>
            <w:tcMar>
              <w:top w:w="15" w:type="dxa"/>
              <w:left w:w="15" w:type="dxa"/>
              <w:right w:w="15" w:type="dxa"/>
            </w:tcMar>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设备设施类</w:t>
            </w:r>
          </w:p>
        </w:tc>
        <w:tc>
          <w:tcPr>
            <w:tcW w:w="1157" w:type="dxa"/>
            <w:tcBorders>
              <w:tl2br w:val="nil"/>
              <w:tr2bl w:val="nil"/>
            </w:tcBorders>
            <w:tcMar>
              <w:top w:w="15" w:type="dxa"/>
              <w:left w:w="15" w:type="dxa"/>
              <w:right w:w="15" w:type="dxa"/>
            </w:tcMar>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特种设备</w:t>
            </w:r>
          </w:p>
        </w:tc>
        <w:tc>
          <w:tcPr>
            <w:tcW w:w="1562"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专用机动车辆</w:t>
            </w:r>
          </w:p>
        </w:tc>
        <w:tc>
          <w:tcPr>
            <w:tcW w:w="2121"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未及时维修养护、未定期检测</w:t>
            </w:r>
          </w:p>
        </w:tc>
        <w:tc>
          <w:tcPr>
            <w:tcW w:w="2779" w:type="dxa"/>
            <w:gridSpan w:val="2"/>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人身伤害</w:t>
            </w:r>
          </w:p>
        </w:tc>
        <w:tc>
          <w:tcPr>
            <w:tcW w:w="895"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LEC法</w:t>
            </w:r>
          </w:p>
        </w:tc>
        <w:tc>
          <w:tcPr>
            <w:tcW w:w="895"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0.5～3</w:t>
            </w:r>
          </w:p>
        </w:tc>
        <w:tc>
          <w:tcPr>
            <w:tcW w:w="716"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2～6</w:t>
            </w:r>
          </w:p>
        </w:tc>
        <w:tc>
          <w:tcPr>
            <w:tcW w:w="776"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3～15</w:t>
            </w:r>
          </w:p>
        </w:tc>
        <w:tc>
          <w:tcPr>
            <w:tcW w:w="1015"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3～270</w:t>
            </w:r>
          </w:p>
        </w:tc>
        <w:tc>
          <w:tcPr>
            <w:tcW w:w="895"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低～较大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683" w:type="dxa"/>
            <w:tcBorders>
              <w:tl2br w:val="nil"/>
              <w:tr2bl w:val="nil"/>
            </w:tcBorders>
            <w:shd w:val="clear" w:color="auto" w:fill="auto"/>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49</w:t>
            </w:r>
          </w:p>
        </w:tc>
        <w:tc>
          <w:tcPr>
            <w:tcW w:w="828" w:type="dxa"/>
            <w:vMerge w:val="continue"/>
            <w:tcBorders>
              <w:tl2br w:val="nil"/>
              <w:tr2bl w:val="nil"/>
            </w:tcBorders>
            <w:shd w:val="clear" w:color="auto" w:fill="auto"/>
            <w:tcMar>
              <w:top w:w="15" w:type="dxa"/>
              <w:left w:w="15" w:type="dxa"/>
              <w:right w:w="15" w:type="dxa"/>
            </w:tcMar>
            <w:vAlign w:val="center"/>
          </w:tcPr>
          <w:p>
            <w:pPr>
              <w:snapToGrid w:val="0"/>
              <w:jc w:val="center"/>
              <w:rPr>
                <w:rFonts w:cs="宋体" w:asciiTheme="minorEastAsia" w:hAnsiTheme="minorEastAsia" w:eastAsiaTheme="minorEastAsia"/>
                <w:sz w:val="18"/>
                <w:szCs w:val="18"/>
              </w:rPr>
            </w:pPr>
          </w:p>
        </w:tc>
        <w:tc>
          <w:tcPr>
            <w:tcW w:w="1157" w:type="dxa"/>
            <w:vMerge w:val="restart"/>
            <w:tcBorders>
              <w:tl2br w:val="nil"/>
              <w:tr2bl w:val="nil"/>
            </w:tcBorders>
            <w:shd w:val="clear" w:color="auto" w:fill="auto"/>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管理设施</w:t>
            </w:r>
          </w:p>
        </w:tc>
        <w:tc>
          <w:tcPr>
            <w:tcW w:w="1562" w:type="dxa"/>
            <w:tcBorders>
              <w:tl2br w:val="nil"/>
              <w:tr2bl w:val="nil"/>
            </w:tcBorders>
            <w:shd w:val="clear" w:color="auto" w:fill="FFFFFF"/>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视频监控系统</w:t>
            </w:r>
          </w:p>
        </w:tc>
        <w:tc>
          <w:tcPr>
            <w:tcW w:w="2121" w:type="dxa"/>
            <w:tcBorders>
              <w:tl2br w:val="nil"/>
              <w:tr2bl w:val="nil"/>
            </w:tcBorders>
            <w:shd w:val="clear" w:color="auto" w:fill="FFFFFF"/>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功能失效</w:t>
            </w:r>
          </w:p>
        </w:tc>
        <w:tc>
          <w:tcPr>
            <w:tcW w:w="2779" w:type="dxa"/>
            <w:gridSpan w:val="2"/>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不能及时发现工程隐患或险情</w:t>
            </w:r>
          </w:p>
        </w:tc>
        <w:tc>
          <w:tcPr>
            <w:tcW w:w="89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LS法</w:t>
            </w:r>
          </w:p>
        </w:tc>
        <w:tc>
          <w:tcPr>
            <w:tcW w:w="89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5～30</w:t>
            </w:r>
          </w:p>
        </w:tc>
        <w:tc>
          <w:tcPr>
            <w:tcW w:w="716" w:type="dxa"/>
            <w:tcBorders>
              <w:tl2br w:val="nil"/>
              <w:tr2bl w:val="nil"/>
            </w:tcBorders>
            <w:tcMar>
              <w:top w:w="15" w:type="dxa"/>
              <w:left w:w="15" w:type="dxa"/>
              <w:right w:w="15" w:type="dxa"/>
            </w:tcMar>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w:t>
            </w:r>
          </w:p>
        </w:tc>
        <w:tc>
          <w:tcPr>
            <w:tcW w:w="776"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3～15</w:t>
            </w:r>
          </w:p>
        </w:tc>
        <w:tc>
          <w:tcPr>
            <w:tcW w:w="101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15～450</w:t>
            </w:r>
          </w:p>
        </w:tc>
        <w:tc>
          <w:tcPr>
            <w:tcW w:w="89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低～重大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683"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50</w:t>
            </w:r>
          </w:p>
        </w:tc>
        <w:tc>
          <w:tcPr>
            <w:tcW w:w="828" w:type="dxa"/>
            <w:vMerge w:val="continue"/>
            <w:tcBorders>
              <w:tl2br w:val="nil"/>
              <w:tr2bl w:val="nil"/>
            </w:tcBorders>
            <w:tcMar>
              <w:top w:w="15" w:type="dxa"/>
              <w:left w:w="15" w:type="dxa"/>
              <w:right w:w="15" w:type="dxa"/>
            </w:tcMar>
            <w:vAlign w:val="center"/>
          </w:tcPr>
          <w:p>
            <w:pPr>
              <w:snapToGrid w:val="0"/>
              <w:jc w:val="center"/>
              <w:rPr>
                <w:rFonts w:cs="宋体" w:asciiTheme="minorEastAsia" w:hAnsiTheme="minorEastAsia" w:eastAsiaTheme="minorEastAsia"/>
                <w:sz w:val="18"/>
                <w:szCs w:val="18"/>
              </w:rPr>
            </w:pPr>
          </w:p>
        </w:tc>
        <w:tc>
          <w:tcPr>
            <w:tcW w:w="1157" w:type="dxa"/>
            <w:vMerge w:val="continue"/>
            <w:tcBorders>
              <w:tl2br w:val="nil"/>
              <w:tr2bl w:val="nil"/>
            </w:tcBorders>
            <w:tcMar>
              <w:top w:w="15" w:type="dxa"/>
              <w:left w:w="15" w:type="dxa"/>
              <w:right w:w="15" w:type="dxa"/>
            </w:tcMar>
            <w:vAlign w:val="center"/>
          </w:tcPr>
          <w:p>
            <w:pPr>
              <w:snapToGrid w:val="0"/>
              <w:jc w:val="center"/>
              <w:rPr>
                <w:rFonts w:cs="宋体" w:asciiTheme="minorEastAsia" w:hAnsiTheme="minorEastAsia" w:eastAsiaTheme="minorEastAsia"/>
                <w:sz w:val="18"/>
                <w:szCs w:val="18"/>
              </w:rPr>
            </w:pPr>
          </w:p>
        </w:tc>
        <w:tc>
          <w:tcPr>
            <w:tcW w:w="1562"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观测设施</w:t>
            </w:r>
          </w:p>
        </w:tc>
        <w:tc>
          <w:tcPr>
            <w:tcW w:w="2121"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设施损坏</w:t>
            </w:r>
          </w:p>
        </w:tc>
        <w:tc>
          <w:tcPr>
            <w:tcW w:w="2779" w:type="dxa"/>
            <w:gridSpan w:val="2"/>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影响工程调度运行</w:t>
            </w:r>
          </w:p>
        </w:tc>
        <w:tc>
          <w:tcPr>
            <w:tcW w:w="89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LS法</w:t>
            </w:r>
          </w:p>
        </w:tc>
        <w:tc>
          <w:tcPr>
            <w:tcW w:w="89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5～30</w:t>
            </w:r>
          </w:p>
        </w:tc>
        <w:tc>
          <w:tcPr>
            <w:tcW w:w="716" w:type="dxa"/>
            <w:tcBorders>
              <w:tl2br w:val="nil"/>
              <w:tr2bl w:val="nil"/>
            </w:tcBorders>
            <w:tcMar>
              <w:top w:w="15" w:type="dxa"/>
              <w:left w:w="15" w:type="dxa"/>
              <w:right w:w="15" w:type="dxa"/>
            </w:tcMar>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w:t>
            </w:r>
          </w:p>
        </w:tc>
        <w:tc>
          <w:tcPr>
            <w:tcW w:w="776"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3～15</w:t>
            </w:r>
          </w:p>
        </w:tc>
        <w:tc>
          <w:tcPr>
            <w:tcW w:w="101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15～450</w:t>
            </w:r>
          </w:p>
        </w:tc>
        <w:tc>
          <w:tcPr>
            <w:tcW w:w="89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低～重大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683"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51</w:t>
            </w:r>
          </w:p>
        </w:tc>
        <w:tc>
          <w:tcPr>
            <w:tcW w:w="828" w:type="dxa"/>
            <w:vMerge w:val="continue"/>
            <w:tcBorders>
              <w:tl2br w:val="nil"/>
              <w:tr2bl w:val="nil"/>
            </w:tcBorders>
            <w:tcMar>
              <w:top w:w="15" w:type="dxa"/>
              <w:left w:w="15" w:type="dxa"/>
              <w:right w:w="15" w:type="dxa"/>
            </w:tcMar>
            <w:vAlign w:val="center"/>
          </w:tcPr>
          <w:p>
            <w:pPr>
              <w:snapToGrid w:val="0"/>
              <w:jc w:val="center"/>
              <w:rPr>
                <w:rFonts w:cs="宋体" w:asciiTheme="minorEastAsia" w:hAnsiTheme="minorEastAsia" w:eastAsiaTheme="minorEastAsia"/>
                <w:sz w:val="18"/>
                <w:szCs w:val="18"/>
              </w:rPr>
            </w:pPr>
          </w:p>
        </w:tc>
        <w:tc>
          <w:tcPr>
            <w:tcW w:w="1157" w:type="dxa"/>
            <w:vMerge w:val="continue"/>
            <w:tcBorders>
              <w:tl2br w:val="nil"/>
              <w:tr2bl w:val="nil"/>
            </w:tcBorders>
            <w:tcMar>
              <w:top w:w="15" w:type="dxa"/>
              <w:left w:w="15" w:type="dxa"/>
              <w:right w:w="15" w:type="dxa"/>
            </w:tcMar>
            <w:vAlign w:val="center"/>
          </w:tcPr>
          <w:p>
            <w:pPr>
              <w:snapToGrid w:val="0"/>
              <w:jc w:val="center"/>
              <w:rPr>
                <w:rFonts w:cs="宋体" w:asciiTheme="minorEastAsia" w:hAnsiTheme="minorEastAsia" w:eastAsiaTheme="minorEastAsia"/>
                <w:sz w:val="18"/>
                <w:szCs w:val="18"/>
              </w:rPr>
            </w:pPr>
          </w:p>
        </w:tc>
        <w:tc>
          <w:tcPr>
            <w:tcW w:w="1562"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通信及预警设施</w:t>
            </w:r>
          </w:p>
        </w:tc>
        <w:tc>
          <w:tcPr>
            <w:tcW w:w="2121"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设施损坏</w:t>
            </w:r>
          </w:p>
        </w:tc>
        <w:tc>
          <w:tcPr>
            <w:tcW w:w="2779" w:type="dxa"/>
            <w:gridSpan w:val="2"/>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影响工程调度运行</w:t>
            </w:r>
          </w:p>
        </w:tc>
        <w:tc>
          <w:tcPr>
            <w:tcW w:w="89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LS法</w:t>
            </w:r>
          </w:p>
        </w:tc>
        <w:tc>
          <w:tcPr>
            <w:tcW w:w="89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5～30</w:t>
            </w:r>
          </w:p>
        </w:tc>
        <w:tc>
          <w:tcPr>
            <w:tcW w:w="716" w:type="dxa"/>
            <w:tcBorders>
              <w:tl2br w:val="nil"/>
              <w:tr2bl w:val="nil"/>
            </w:tcBorders>
            <w:tcMar>
              <w:top w:w="15" w:type="dxa"/>
              <w:left w:w="15" w:type="dxa"/>
              <w:right w:w="15" w:type="dxa"/>
            </w:tcMar>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w:t>
            </w:r>
          </w:p>
        </w:tc>
        <w:tc>
          <w:tcPr>
            <w:tcW w:w="776"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3～15</w:t>
            </w:r>
          </w:p>
        </w:tc>
        <w:tc>
          <w:tcPr>
            <w:tcW w:w="101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15～450</w:t>
            </w:r>
          </w:p>
        </w:tc>
        <w:tc>
          <w:tcPr>
            <w:tcW w:w="89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低～重大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683"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52</w:t>
            </w:r>
          </w:p>
        </w:tc>
        <w:tc>
          <w:tcPr>
            <w:tcW w:w="828" w:type="dxa"/>
            <w:vMerge w:val="continue"/>
            <w:tcBorders>
              <w:tl2br w:val="nil"/>
              <w:tr2bl w:val="nil"/>
            </w:tcBorders>
            <w:tcMar>
              <w:top w:w="15" w:type="dxa"/>
              <w:left w:w="15" w:type="dxa"/>
              <w:right w:w="15" w:type="dxa"/>
            </w:tcMar>
            <w:vAlign w:val="center"/>
          </w:tcPr>
          <w:p>
            <w:pPr>
              <w:snapToGrid w:val="0"/>
              <w:jc w:val="center"/>
              <w:rPr>
                <w:rFonts w:cs="宋体" w:asciiTheme="minorEastAsia" w:hAnsiTheme="minorEastAsia" w:eastAsiaTheme="minorEastAsia"/>
                <w:sz w:val="18"/>
                <w:szCs w:val="18"/>
              </w:rPr>
            </w:pPr>
          </w:p>
        </w:tc>
        <w:tc>
          <w:tcPr>
            <w:tcW w:w="1157" w:type="dxa"/>
            <w:vMerge w:val="continue"/>
            <w:tcBorders>
              <w:tl2br w:val="nil"/>
              <w:tr2bl w:val="nil"/>
            </w:tcBorders>
            <w:tcMar>
              <w:top w:w="15" w:type="dxa"/>
              <w:left w:w="15" w:type="dxa"/>
              <w:right w:w="15" w:type="dxa"/>
            </w:tcMar>
            <w:vAlign w:val="center"/>
          </w:tcPr>
          <w:p>
            <w:pPr>
              <w:snapToGrid w:val="0"/>
              <w:jc w:val="center"/>
              <w:rPr>
                <w:rFonts w:cs="宋体" w:asciiTheme="minorEastAsia" w:hAnsiTheme="minorEastAsia" w:eastAsiaTheme="minorEastAsia"/>
                <w:sz w:val="18"/>
                <w:szCs w:val="18"/>
              </w:rPr>
            </w:pPr>
          </w:p>
        </w:tc>
        <w:tc>
          <w:tcPr>
            <w:tcW w:w="1562"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闸门远程控制系统</w:t>
            </w:r>
          </w:p>
        </w:tc>
        <w:tc>
          <w:tcPr>
            <w:tcW w:w="2121"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功能失效</w:t>
            </w:r>
          </w:p>
        </w:tc>
        <w:tc>
          <w:tcPr>
            <w:tcW w:w="2779" w:type="dxa"/>
            <w:gridSpan w:val="2"/>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影响闸门启闭、工程调度运行</w:t>
            </w:r>
          </w:p>
        </w:tc>
        <w:tc>
          <w:tcPr>
            <w:tcW w:w="89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LS法</w:t>
            </w:r>
          </w:p>
        </w:tc>
        <w:tc>
          <w:tcPr>
            <w:tcW w:w="89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5～30</w:t>
            </w:r>
          </w:p>
        </w:tc>
        <w:tc>
          <w:tcPr>
            <w:tcW w:w="716" w:type="dxa"/>
            <w:tcBorders>
              <w:tl2br w:val="nil"/>
              <w:tr2bl w:val="nil"/>
            </w:tcBorders>
            <w:tcMar>
              <w:top w:w="15" w:type="dxa"/>
              <w:left w:w="15" w:type="dxa"/>
              <w:right w:w="15" w:type="dxa"/>
            </w:tcMar>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w:t>
            </w:r>
          </w:p>
        </w:tc>
        <w:tc>
          <w:tcPr>
            <w:tcW w:w="776"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3～15</w:t>
            </w:r>
          </w:p>
        </w:tc>
        <w:tc>
          <w:tcPr>
            <w:tcW w:w="101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15～450</w:t>
            </w:r>
          </w:p>
        </w:tc>
        <w:tc>
          <w:tcPr>
            <w:tcW w:w="89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低～重大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683"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53</w:t>
            </w:r>
          </w:p>
        </w:tc>
        <w:tc>
          <w:tcPr>
            <w:tcW w:w="828" w:type="dxa"/>
            <w:vMerge w:val="continue"/>
            <w:tcBorders>
              <w:tl2br w:val="nil"/>
              <w:tr2bl w:val="nil"/>
            </w:tcBorders>
            <w:tcMar>
              <w:top w:w="15" w:type="dxa"/>
              <w:left w:w="15" w:type="dxa"/>
              <w:right w:w="15" w:type="dxa"/>
            </w:tcMar>
            <w:vAlign w:val="center"/>
          </w:tcPr>
          <w:p>
            <w:pPr>
              <w:snapToGrid w:val="0"/>
              <w:jc w:val="center"/>
              <w:rPr>
                <w:rFonts w:cs="宋体" w:asciiTheme="minorEastAsia" w:hAnsiTheme="minorEastAsia" w:eastAsiaTheme="minorEastAsia"/>
                <w:sz w:val="18"/>
                <w:szCs w:val="18"/>
              </w:rPr>
            </w:pPr>
          </w:p>
        </w:tc>
        <w:tc>
          <w:tcPr>
            <w:tcW w:w="1157" w:type="dxa"/>
            <w:vMerge w:val="continue"/>
            <w:tcBorders>
              <w:tl2br w:val="nil"/>
              <w:tr2bl w:val="nil"/>
            </w:tcBorders>
            <w:tcMar>
              <w:top w:w="15" w:type="dxa"/>
              <w:left w:w="15" w:type="dxa"/>
              <w:right w:w="15" w:type="dxa"/>
            </w:tcMar>
            <w:vAlign w:val="center"/>
          </w:tcPr>
          <w:p>
            <w:pPr>
              <w:snapToGrid w:val="0"/>
              <w:jc w:val="center"/>
              <w:rPr>
                <w:rFonts w:cs="宋体" w:asciiTheme="minorEastAsia" w:hAnsiTheme="minorEastAsia" w:eastAsiaTheme="minorEastAsia"/>
                <w:sz w:val="18"/>
                <w:szCs w:val="18"/>
              </w:rPr>
            </w:pPr>
          </w:p>
        </w:tc>
        <w:tc>
          <w:tcPr>
            <w:tcW w:w="1562"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消防设施</w:t>
            </w:r>
          </w:p>
        </w:tc>
        <w:tc>
          <w:tcPr>
            <w:tcW w:w="2121"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设施损坏、过期或失效</w:t>
            </w:r>
          </w:p>
        </w:tc>
        <w:tc>
          <w:tcPr>
            <w:tcW w:w="2779" w:type="dxa"/>
            <w:gridSpan w:val="2"/>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不能及时预警、不能正常发挥灭火功能</w:t>
            </w:r>
          </w:p>
        </w:tc>
        <w:tc>
          <w:tcPr>
            <w:tcW w:w="89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LS法</w:t>
            </w:r>
          </w:p>
        </w:tc>
        <w:tc>
          <w:tcPr>
            <w:tcW w:w="89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5～30</w:t>
            </w:r>
          </w:p>
        </w:tc>
        <w:tc>
          <w:tcPr>
            <w:tcW w:w="716" w:type="dxa"/>
            <w:tcBorders>
              <w:tl2br w:val="nil"/>
              <w:tr2bl w:val="nil"/>
            </w:tcBorders>
            <w:tcMar>
              <w:top w:w="15" w:type="dxa"/>
              <w:left w:w="15" w:type="dxa"/>
              <w:right w:w="15" w:type="dxa"/>
            </w:tcMar>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w:t>
            </w:r>
          </w:p>
        </w:tc>
        <w:tc>
          <w:tcPr>
            <w:tcW w:w="776"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3～15</w:t>
            </w:r>
          </w:p>
        </w:tc>
        <w:tc>
          <w:tcPr>
            <w:tcW w:w="101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15～450</w:t>
            </w:r>
          </w:p>
        </w:tc>
        <w:tc>
          <w:tcPr>
            <w:tcW w:w="89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低～重大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683" w:type="dxa"/>
            <w:tcBorders>
              <w:tl2br w:val="nil"/>
              <w:tr2bl w:val="nil"/>
            </w:tcBorders>
            <w:shd w:val="clear" w:color="auto" w:fill="auto"/>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54</w:t>
            </w:r>
          </w:p>
        </w:tc>
        <w:tc>
          <w:tcPr>
            <w:tcW w:w="828" w:type="dxa"/>
            <w:vMerge w:val="continue"/>
            <w:tcBorders>
              <w:tl2br w:val="nil"/>
              <w:tr2bl w:val="nil"/>
            </w:tcBorders>
            <w:shd w:val="clear" w:color="auto" w:fill="auto"/>
            <w:tcMar>
              <w:top w:w="15" w:type="dxa"/>
              <w:left w:w="15" w:type="dxa"/>
              <w:right w:w="15" w:type="dxa"/>
            </w:tcMar>
            <w:vAlign w:val="center"/>
          </w:tcPr>
          <w:p>
            <w:pPr>
              <w:snapToGrid w:val="0"/>
              <w:jc w:val="center"/>
              <w:rPr>
                <w:rFonts w:cs="宋体" w:asciiTheme="minorEastAsia" w:hAnsiTheme="minorEastAsia" w:eastAsiaTheme="minorEastAsia"/>
                <w:sz w:val="18"/>
                <w:szCs w:val="18"/>
              </w:rPr>
            </w:pPr>
          </w:p>
        </w:tc>
        <w:tc>
          <w:tcPr>
            <w:tcW w:w="1157" w:type="dxa"/>
            <w:vMerge w:val="continue"/>
            <w:tcBorders>
              <w:tl2br w:val="nil"/>
              <w:tr2bl w:val="nil"/>
            </w:tcBorders>
            <w:shd w:val="clear" w:color="auto" w:fill="auto"/>
            <w:tcMar>
              <w:top w:w="15" w:type="dxa"/>
              <w:left w:w="15" w:type="dxa"/>
              <w:right w:w="15" w:type="dxa"/>
            </w:tcMar>
            <w:vAlign w:val="center"/>
          </w:tcPr>
          <w:p>
            <w:pPr>
              <w:snapToGrid w:val="0"/>
              <w:jc w:val="center"/>
              <w:rPr>
                <w:rFonts w:cs="宋体" w:asciiTheme="minorEastAsia" w:hAnsiTheme="minorEastAsia" w:eastAsiaTheme="minorEastAsia"/>
                <w:sz w:val="18"/>
                <w:szCs w:val="18"/>
              </w:rPr>
            </w:pPr>
          </w:p>
        </w:tc>
        <w:tc>
          <w:tcPr>
            <w:tcW w:w="1562" w:type="dxa"/>
            <w:tcBorders>
              <w:tl2br w:val="nil"/>
              <w:tr2bl w:val="nil"/>
            </w:tcBorders>
            <w:shd w:val="clear" w:color="auto" w:fill="FFFFFF"/>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防雷保护系统</w:t>
            </w:r>
          </w:p>
        </w:tc>
        <w:tc>
          <w:tcPr>
            <w:tcW w:w="2121" w:type="dxa"/>
            <w:tcBorders>
              <w:tl2br w:val="nil"/>
              <w:tr2bl w:val="nil"/>
            </w:tcBorders>
            <w:shd w:val="clear" w:color="auto" w:fill="FFFFFF"/>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功能失效</w:t>
            </w:r>
          </w:p>
        </w:tc>
        <w:tc>
          <w:tcPr>
            <w:tcW w:w="2779" w:type="dxa"/>
            <w:gridSpan w:val="2"/>
            <w:tcBorders>
              <w:tl2br w:val="nil"/>
              <w:tr2bl w:val="nil"/>
            </w:tcBorders>
            <w:shd w:val="clear" w:color="auto" w:fill="FFFFFF"/>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电气系统设备损坏、影响工程运行安全</w:t>
            </w:r>
          </w:p>
        </w:tc>
        <w:tc>
          <w:tcPr>
            <w:tcW w:w="89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LS法</w:t>
            </w:r>
          </w:p>
        </w:tc>
        <w:tc>
          <w:tcPr>
            <w:tcW w:w="89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5～30</w:t>
            </w:r>
          </w:p>
        </w:tc>
        <w:tc>
          <w:tcPr>
            <w:tcW w:w="716" w:type="dxa"/>
            <w:tcBorders>
              <w:tl2br w:val="nil"/>
              <w:tr2bl w:val="nil"/>
            </w:tcBorders>
            <w:tcMar>
              <w:top w:w="15" w:type="dxa"/>
              <w:left w:w="15" w:type="dxa"/>
              <w:right w:w="15" w:type="dxa"/>
            </w:tcMar>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w:t>
            </w:r>
          </w:p>
        </w:tc>
        <w:tc>
          <w:tcPr>
            <w:tcW w:w="776"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3～15</w:t>
            </w:r>
          </w:p>
        </w:tc>
        <w:tc>
          <w:tcPr>
            <w:tcW w:w="101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15～450</w:t>
            </w:r>
          </w:p>
        </w:tc>
        <w:tc>
          <w:tcPr>
            <w:tcW w:w="89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低～重大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683"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55</w:t>
            </w:r>
          </w:p>
        </w:tc>
        <w:tc>
          <w:tcPr>
            <w:tcW w:w="828" w:type="dxa"/>
            <w:vMerge w:val="restart"/>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作业活动类</w:t>
            </w:r>
          </w:p>
        </w:tc>
        <w:tc>
          <w:tcPr>
            <w:tcW w:w="1157" w:type="dxa"/>
            <w:vMerge w:val="restart"/>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作业活动</w:t>
            </w:r>
          </w:p>
        </w:tc>
        <w:tc>
          <w:tcPr>
            <w:tcW w:w="1562"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机械作业</w:t>
            </w:r>
          </w:p>
        </w:tc>
        <w:tc>
          <w:tcPr>
            <w:tcW w:w="2121" w:type="dxa"/>
            <w:vMerge w:val="restart"/>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违章指挥、违章操作、违反劳动纪律、未正确使用防护用品</w:t>
            </w:r>
          </w:p>
        </w:tc>
        <w:tc>
          <w:tcPr>
            <w:tcW w:w="2779" w:type="dxa"/>
            <w:gridSpan w:val="2"/>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机械伤害</w:t>
            </w:r>
          </w:p>
        </w:tc>
        <w:tc>
          <w:tcPr>
            <w:tcW w:w="89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LEC法</w:t>
            </w:r>
          </w:p>
        </w:tc>
        <w:tc>
          <w:tcPr>
            <w:tcW w:w="89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0.5～3</w:t>
            </w:r>
          </w:p>
        </w:tc>
        <w:tc>
          <w:tcPr>
            <w:tcW w:w="716"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2～6</w:t>
            </w:r>
          </w:p>
        </w:tc>
        <w:tc>
          <w:tcPr>
            <w:tcW w:w="776"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3～7</w:t>
            </w:r>
          </w:p>
        </w:tc>
        <w:tc>
          <w:tcPr>
            <w:tcW w:w="101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3～126</w:t>
            </w:r>
          </w:p>
        </w:tc>
        <w:tc>
          <w:tcPr>
            <w:tcW w:w="895"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低～一般</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683"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56</w:t>
            </w:r>
          </w:p>
        </w:tc>
        <w:tc>
          <w:tcPr>
            <w:tcW w:w="828" w:type="dxa"/>
            <w:vMerge w:val="continue"/>
            <w:tcBorders>
              <w:tl2br w:val="nil"/>
              <w:tr2bl w:val="nil"/>
            </w:tcBorders>
            <w:noWrap/>
            <w:tcMar>
              <w:top w:w="15" w:type="dxa"/>
              <w:left w:w="15" w:type="dxa"/>
              <w:right w:w="15" w:type="dxa"/>
            </w:tcMar>
            <w:vAlign w:val="center"/>
          </w:tcPr>
          <w:p>
            <w:pPr>
              <w:snapToGrid w:val="0"/>
              <w:jc w:val="center"/>
              <w:rPr>
                <w:rFonts w:cs="宋体" w:asciiTheme="minorEastAsia" w:hAnsiTheme="minorEastAsia" w:eastAsiaTheme="minorEastAsia"/>
                <w:sz w:val="18"/>
                <w:szCs w:val="18"/>
              </w:rPr>
            </w:pPr>
          </w:p>
        </w:tc>
        <w:tc>
          <w:tcPr>
            <w:tcW w:w="1157" w:type="dxa"/>
            <w:vMerge w:val="continue"/>
            <w:tcBorders>
              <w:tl2br w:val="nil"/>
              <w:tr2bl w:val="nil"/>
            </w:tcBorders>
            <w:tcMar>
              <w:top w:w="15" w:type="dxa"/>
              <w:left w:w="15" w:type="dxa"/>
              <w:right w:w="15" w:type="dxa"/>
            </w:tcMar>
            <w:vAlign w:val="center"/>
          </w:tcPr>
          <w:p>
            <w:pPr>
              <w:snapToGrid w:val="0"/>
              <w:jc w:val="center"/>
              <w:rPr>
                <w:rFonts w:cs="宋体" w:asciiTheme="minorEastAsia" w:hAnsiTheme="minorEastAsia" w:eastAsiaTheme="minorEastAsia"/>
                <w:sz w:val="18"/>
                <w:szCs w:val="18"/>
              </w:rPr>
            </w:pPr>
          </w:p>
        </w:tc>
        <w:tc>
          <w:tcPr>
            <w:tcW w:w="1562"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起重、搬运作业</w:t>
            </w:r>
          </w:p>
        </w:tc>
        <w:tc>
          <w:tcPr>
            <w:tcW w:w="2121" w:type="dxa"/>
            <w:vMerge w:val="continue"/>
            <w:tcBorders>
              <w:tl2br w:val="nil"/>
              <w:tr2bl w:val="nil"/>
            </w:tcBorders>
            <w:tcMar>
              <w:top w:w="15" w:type="dxa"/>
              <w:left w:w="15" w:type="dxa"/>
              <w:right w:w="15" w:type="dxa"/>
            </w:tcMar>
            <w:vAlign w:val="center"/>
          </w:tcPr>
          <w:p>
            <w:pPr>
              <w:snapToGrid w:val="0"/>
              <w:jc w:val="center"/>
              <w:rPr>
                <w:rFonts w:cs="宋体" w:asciiTheme="minorEastAsia" w:hAnsiTheme="minorEastAsia" w:eastAsiaTheme="minorEastAsia"/>
                <w:sz w:val="18"/>
                <w:szCs w:val="18"/>
              </w:rPr>
            </w:pPr>
          </w:p>
        </w:tc>
        <w:tc>
          <w:tcPr>
            <w:tcW w:w="2779" w:type="dxa"/>
            <w:gridSpan w:val="2"/>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起重伤害、物体打击</w:t>
            </w:r>
          </w:p>
        </w:tc>
        <w:tc>
          <w:tcPr>
            <w:tcW w:w="89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LEC法</w:t>
            </w:r>
          </w:p>
        </w:tc>
        <w:tc>
          <w:tcPr>
            <w:tcW w:w="89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0.5～3</w:t>
            </w:r>
          </w:p>
        </w:tc>
        <w:tc>
          <w:tcPr>
            <w:tcW w:w="716"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2～6</w:t>
            </w:r>
          </w:p>
        </w:tc>
        <w:tc>
          <w:tcPr>
            <w:tcW w:w="776"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3～7</w:t>
            </w:r>
          </w:p>
        </w:tc>
        <w:tc>
          <w:tcPr>
            <w:tcW w:w="101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3～126</w:t>
            </w:r>
          </w:p>
        </w:tc>
        <w:tc>
          <w:tcPr>
            <w:tcW w:w="895"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低～一般</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683"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57</w:t>
            </w:r>
          </w:p>
        </w:tc>
        <w:tc>
          <w:tcPr>
            <w:tcW w:w="828" w:type="dxa"/>
            <w:vMerge w:val="continue"/>
            <w:tcBorders>
              <w:tl2br w:val="nil"/>
              <w:tr2bl w:val="nil"/>
            </w:tcBorders>
            <w:noWrap/>
            <w:tcMar>
              <w:top w:w="15" w:type="dxa"/>
              <w:left w:w="15" w:type="dxa"/>
              <w:right w:w="15" w:type="dxa"/>
            </w:tcMar>
            <w:vAlign w:val="center"/>
          </w:tcPr>
          <w:p>
            <w:pPr>
              <w:snapToGrid w:val="0"/>
              <w:jc w:val="center"/>
              <w:rPr>
                <w:rFonts w:cs="宋体" w:asciiTheme="minorEastAsia" w:hAnsiTheme="minorEastAsia" w:eastAsiaTheme="minorEastAsia"/>
                <w:sz w:val="18"/>
                <w:szCs w:val="18"/>
              </w:rPr>
            </w:pPr>
          </w:p>
        </w:tc>
        <w:tc>
          <w:tcPr>
            <w:tcW w:w="1157" w:type="dxa"/>
            <w:vMerge w:val="continue"/>
            <w:tcBorders>
              <w:tl2br w:val="nil"/>
              <w:tr2bl w:val="nil"/>
            </w:tcBorders>
            <w:tcMar>
              <w:top w:w="15" w:type="dxa"/>
              <w:left w:w="15" w:type="dxa"/>
              <w:right w:w="15" w:type="dxa"/>
            </w:tcMar>
            <w:vAlign w:val="center"/>
          </w:tcPr>
          <w:p>
            <w:pPr>
              <w:snapToGrid w:val="0"/>
              <w:jc w:val="center"/>
              <w:rPr>
                <w:rFonts w:cs="宋体" w:asciiTheme="minorEastAsia" w:hAnsiTheme="minorEastAsia" w:eastAsiaTheme="minorEastAsia"/>
                <w:sz w:val="18"/>
                <w:szCs w:val="18"/>
              </w:rPr>
            </w:pPr>
          </w:p>
        </w:tc>
        <w:tc>
          <w:tcPr>
            <w:tcW w:w="1562"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电焊作业</w:t>
            </w:r>
          </w:p>
        </w:tc>
        <w:tc>
          <w:tcPr>
            <w:tcW w:w="2121" w:type="dxa"/>
            <w:vMerge w:val="continue"/>
            <w:tcBorders>
              <w:tl2br w:val="nil"/>
              <w:tr2bl w:val="nil"/>
            </w:tcBorders>
            <w:tcMar>
              <w:top w:w="15" w:type="dxa"/>
              <w:left w:w="15" w:type="dxa"/>
              <w:right w:w="15" w:type="dxa"/>
            </w:tcMar>
            <w:vAlign w:val="center"/>
          </w:tcPr>
          <w:p>
            <w:pPr>
              <w:snapToGrid w:val="0"/>
              <w:jc w:val="center"/>
              <w:rPr>
                <w:rFonts w:cs="宋体" w:asciiTheme="minorEastAsia" w:hAnsiTheme="minorEastAsia" w:eastAsiaTheme="minorEastAsia"/>
                <w:sz w:val="18"/>
                <w:szCs w:val="18"/>
              </w:rPr>
            </w:pPr>
          </w:p>
        </w:tc>
        <w:tc>
          <w:tcPr>
            <w:tcW w:w="2779" w:type="dxa"/>
            <w:gridSpan w:val="2"/>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灼烫、触电、火灾</w:t>
            </w:r>
          </w:p>
        </w:tc>
        <w:tc>
          <w:tcPr>
            <w:tcW w:w="89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LEC法</w:t>
            </w:r>
          </w:p>
        </w:tc>
        <w:tc>
          <w:tcPr>
            <w:tcW w:w="89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0.5～3</w:t>
            </w:r>
          </w:p>
        </w:tc>
        <w:tc>
          <w:tcPr>
            <w:tcW w:w="716"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2～6</w:t>
            </w:r>
          </w:p>
        </w:tc>
        <w:tc>
          <w:tcPr>
            <w:tcW w:w="776"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3～7</w:t>
            </w:r>
          </w:p>
        </w:tc>
        <w:tc>
          <w:tcPr>
            <w:tcW w:w="101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3～126</w:t>
            </w:r>
          </w:p>
        </w:tc>
        <w:tc>
          <w:tcPr>
            <w:tcW w:w="895"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低～一般</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683"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58</w:t>
            </w:r>
          </w:p>
        </w:tc>
        <w:tc>
          <w:tcPr>
            <w:tcW w:w="828" w:type="dxa"/>
            <w:vMerge w:val="continue"/>
            <w:tcBorders>
              <w:tl2br w:val="nil"/>
              <w:tr2bl w:val="nil"/>
            </w:tcBorders>
            <w:noWrap/>
            <w:tcMar>
              <w:top w:w="15" w:type="dxa"/>
              <w:left w:w="15" w:type="dxa"/>
              <w:right w:w="15" w:type="dxa"/>
            </w:tcMar>
            <w:vAlign w:val="center"/>
          </w:tcPr>
          <w:p>
            <w:pPr>
              <w:snapToGrid w:val="0"/>
              <w:jc w:val="center"/>
              <w:rPr>
                <w:rFonts w:cs="宋体" w:asciiTheme="minorEastAsia" w:hAnsiTheme="minorEastAsia" w:eastAsiaTheme="minorEastAsia"/>
                <w:sz w:val="18"/>
                <w:szCs w:val="18"/>
              </w:rPr>
            </w:pPr>
          </w:p>
        </w:tc>
        <w:tc>
          <w:tcPr>
            <w:tcW w:w="1157" w:type="dxa"/>
            <w:vMerge w:val="continue"/>
            <w:tcBorders>
              <w:tl2br w:val="nil"/>
              <w:tr2bl w:val="nil"/>
            </w:tcBorders>
            <w:tcMar>
              <w:top w:w="15" w:type="dxa"/>
              <w:left w:w="15" w:type="dxa"/>
              <w:right w:w="15" w:type="dxa"/>
            </w:tcMar>
            <w:vAlign w:val="center"/>
          </w:tcPr>
          <w:p>
            <w:pPr>
              <w:snapToGrid w:val="0"/>
              <w:jc w:val="center"/>
              <w:rPr>
                <w:rFonts w:cs="宋体" w:asciiTheme="minorEastAsia" w:hAnsiTheme="minorEastAsia" w:eastAsiaTheme="minorEastAsia"/>
                <w:sz w:val="18"/>
                <w:szCs w:val="18"/>
              </w:rPr>
            </w:pPr>
          </w:p>
        </w:tc>
        <w:tc>
          <w:tcPr>
            <w:tcW w:w="1562"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水上观测与检查作业</w:t>
            </w:r>
          </w:p>
        </w:tc>
        <w:tc>
          <w:tcPr>
            <w:tcW w:w="2121" w:type="dxa"/>
            <w:vMerge w:val="continue"/>
            <w:tcBorders>
              <w:tl2br w:val="nil"/>
              <w:tr2bl w:val="nil"/>
            </w:tcBorders>
            <w:tcMar>
              <w:top w:w="15" w:type="dxa"/>
              <w:left w:w="15" w:type="dxa"/>
              <w:right w:w="15" w:type="dxa"/>
            </w:tcMar>
            <w:vAlign w:val="center"/>
          </w:tcPr>
          <w:p>
            <w:pPr>
              <w:snapToGrid w:val="0"/>
              <w:jc w:val="center"/>
              <w:rPr>
                <w:rFonts w:cs="宋体" w:asciiTheme="minorEastAsia" w:hAnsiTheme="minorEastAsia" w:eastAsiaTheme="minorEastAsia"/>
                <w:sz w:val="18"/>
                <w:szCs w:val="18"/>
              </w:rPr>
            </w:pPr>
          </w:p>
        </w:tc>
        <w:tc>
          <w:tcPr>
            <w:tcW w:w="2779" w:type="dxa"/>
            <w:gridSpan w:val="2"/>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淹溺</w:t>
            </w:r>
          </w:p>
        </w:tc>
        <w:tc>
          <w:tcPr>
            <w:tcW w:w="89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LEC法</w:t>
            </w:r>
          </w:p>
        </w:tc>
        <w:tc>
          <w:tcPr>
            <w:tcW w:w="89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0.5～3</w:t>
            </w:r>
          </w:p>
        </w:tc>
        <w:tc>
          <w:tcPr>
            <w:tcW w:w="716"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2～6</w:t>
            </w:r>
          </w:p>
        </w:tc>
        <w:tc>
          <w:tcPr>
            <w:tcW w:w="776"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3～7</w:t>
            </w:r>
          </w:p>
        </w:tc>
        <w:tc>
          <w:tcPr>
            <w:tcW w:w="101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3～126</w:t>
            </w:r>
          </w:p>
        </w:tc>
        <w:tc>
          <w:tcPr>
            <w:tcW w:w="895"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低～一般</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683"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59</w:t>
            </w:r>
          </w:p>
        </w:tc>
        <w:tc>
          <w:tcPr>
            <w:tcW w:w="828" w:type="dxa"/>
            <w:vMerge w:val="restart"/>
            <w:tcBorders>
              <w:tl2br w:val="nil"/>
              <w:tr2bl w:val="nil"/>
            </w:tcBorders>
            <w:noWrap/>
            <w:tcMar>
              <w:top w:w="15" w:type="dxa"/>
              <w:left w:w="15" w:type="dxa"/>
              <w:right w:w="15" w:type="dxa"/>
            </w:tcMar>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作业活动类</w:t>
            </w:r>
          </w:p>
        </w:tc>
        <w:tc>
          <w:tcPr>
            <w:tcW w:w="1157" w:type="dxa"/>
            <w:vMerge w:val="restart"/>
            <w:tcBorders>
              <w:tl2br w:val="nil"/>
              <w:tr2bl w:val="nil"/>
            </w:tcBorders>
            <w:tcMar>
              <w:top w:w="15" w:type="dxa"/>
              <w:left w:w="15" w:type="dxa"/>
              <w:right w:w="15" w:type="dxa"/>
            </w:tcMar>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作业活动</w:t>
            </w:r>
          </w:p>
        </w:tc>
        <w:tc>
          <w:tcPr>
            <w:tcW w:w="1562"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动火作业</w:t>
            </w:r>
          </w:p>
        </w:tc>
        <w:tc>
          <w:tcPr>
            <w:tcW w:w="2121" w:type="dxa"/>
            <w:vMerge w:val="restart"/>
            <w:tcBorders>
              <w:tl2br w:val="nil"/>
              <w:tr2bl w:val="nil"/>
            </w:tcBorders>
            <w:tcMar>
              <w:top w:w="15" w:type="dxa"/>
              <w:left w:w="15" w:type="dxa"/>
              <w:right w:w="15" w:type="dxa"/>
            </w:tcMar>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违章指挥、违章操作、违反劳动纪律、未正确使用防护用品</w:t>
            </w:r>
          </w:p>
        </w:tc>
        <w:tc>
          <w:tcPr>
            <w:tcW w:w="2779" w:type="dxa"/>
            <w:gridSpan w:val="2"/>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触电、失火</w:t>
            </w:r>
          </w:p>
        </w:tc>
        <w:tc>
          <w:tcPr>
            <w:tcW w:w="89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LEC法</w:t>
            </w:r>
          </w:p>
        </w:tc>
        <w:tc>
          <w:tcPr>
            <w:tcW w:w="89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0.5～3</w:t>
            </w:r>
          </w:p>
        </w:tc>
        <w:tc>
          <w:tcPr>
            <w:tcW w:w="716"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2～6</w:t>
            </w:r>
          </w:p>
        </w:tc>
        <w:tc>
          <w:tcPr>
            <w:tcW w:w="776"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3～15</w:t>
            </w:r>
          </w:p>
        </w:tc>
        <w:tc>
          <w:tcPr>
            <w:tcW w:w="101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3～270</w:t>
            </w:r>
          </w:p>
        </w:tc>
        <w:tc>
          <w:tcPr>
            <w:tcW w:w="895"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低～较大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683"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60</w:t>
            </w:r>
          </w:p>
        </w:tc>
        <w:tc>
          <w:tcPr>
            <w:tcW w:w="828" w:type="dxa"/>
            <w:vMerge w:val="continue"/>
            <w:tcBorders>
              <w:tl2br w:val="nil"/>
              <w:tr2bl w:val="nil"/>
            </w:tcBorders>
            <w:noWrap/>
            <w:tcMar>
              <w:top w:w="15" w:type="dxa"/>
              <w:left w:w="15" w:type="dxa"/>
              <w:right w:w="15" w:type="dxa"/>
            </w:tcMar>
            <w:vAlign w:val="center"/>
          </w:tcPr>
          <w:p>
            <w:pPr>
              <w:snapToGrid w:val="0"/>
              <w:jc w:val="center"/>
              <w:rPr>
                <w:rFonts w:cs="宋体" w:asciiTheme="minorEastAsia" w:hAnsiTheme="minorEastAsia" w:eastAsiaTheme="minorEastAsia"/>
                <w:sz w:val="18"/>
                <w:szCs w:val="18"/>
              </w:rPr>
            </w:pPr>
          </w:p>
        </w:tc>
        <w:tc>
          <w:tcPr>
            <w:tcW w:w="1157" w:type="dxa"/>
            <w:vMerge w:val="continue"/>
            <w:tcBorders>
              <w:tl2br w:val="nil"/>
              <w:tr2bl w:val="nil"/>
            </w:tcBorders>
            <w:tcMar>
              <w:top w:w="15" w:type="dxa"/>
              <w:left w:w="15" w:type="dxa"/>
              <w:right w:w="15" w:type="dxa"/>
            </w:tcMar>
            <w:vAlign w:val="center"/>
          </w:tcPr>
          <w:p>
            <w:pPr>
              <w:snapToGrid w:val="0"/>
              <w:jc w:val="center"/>
              <w:rPr>
                <w:rFonts w:cs="宋体" w:asciiTheme="minorEastAsia" w:hAnsiTheme="minorEastAsia" w:eastAsiaTheme="minorEastAsia"/>
                <w:sz w:val="18"/>
                <w:szCs w:val="18"/>
              </w:rPr>
            </w:pPr>
          </w:p>
        </w:tc>
        <w:tc>
          <w:tcPr>
            <w:tcW w:w="1562"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断路作业</w:t>
            </w:r>
          </w:p>
        </w:tc>
        <w:tc>
          <w:tcPr>
            <w:tcW w:w="2121" w:type="dxa"/>
            <w:vMerge w:val="continue"/>
            <w:tcBorders>
              <w:tl2br w:val="nil"/>
              <w:tr2bl w:val="nil"/>
            </w:tcBorders>
            <w:tcMar>
              <w:top w:w="15" w:type="dxa"/>
              <w:left w:w="15" w:type="dxa"/>
              <w:right w:w="15" w:type="dxa"/>
            </w:tcMar>
            <w:vAlign w:val="center"/>
          </w:tcPr>
          <w:p>
            <w:pPr>
              <w:snapToGrid w:val="0"/>
              <w:jc w:val="center"/>
              <w:rPr>
                <w:rFonts w:cs="宋体" w:asciiTheme="minorEastAsia" w:hAnsiTheme="minorEastAsia" w:eastAsiaTheme="minorEastAsia"/>
                <w:sz w:val="18"/>
                <w:szCs w:val="18"/>
              </w:rPr>
            </w:pPr>
          </w:p>
        </w:tc>
        <w:tc>
          <w:tcPr>
            <w:tcW w:w="2779" w:type="dxa"/>
            <w:gridSpan w:val="2"/>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交通事故、人员伤害</w:t>
            </w:r>
          </w:p>
        </w:tc>
        <w:tc>
          <w:tcPr>
            <w:tcW w:w="89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LEC法</w:t>
            </w:r>
          </w:p>
        </w:tc>
        <w:tc>
          <w:tcPr>
            <w:tcW w:w="89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0.5～3</w:t>
            </w:r>
          </w:p>
        </w:tc>
        <w:tc>
          <w:tcPr>
            <w:tcW w:w="716"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2～6</w:t>
            </w:r>
          </w:p>
        </w:tc>
        <w:tc>
          <w:tcPr>
            <w:tcW w:w="776"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3～15</w:t>
            </w:r>
          </w:p>
        </w:tc>
        <w:tc>
          <w:tcPr>
            <w:tcW w:w="101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3～270</w:t>
            </w:r>
          </w:p>
        </w:tc>
        <w:tc>
          <w:tcPr>
            <w:tcW w:w="895"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低～较大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683"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61</w:t>
            </w:r>
          </w:p>
        </w:tc>
        <w:tc>
          <w:tcPr>
            <w:tcW w:w="828" w:type="dxa"/>
            <w:vMerge w:val="continue"/>
            <w:tcBorders>
              <w:tl2br w:val="nil"/>
              <w:tr2bl w:val="nil"/>
            </w:tcBorders>
            <w:noWrap/>
            <w:tcMar>
              <w:top w:w="15" w:type="dxa"/>
              <w:left w:w="15" w:type="dxa"/>
              <w:right w:w="15" w:type="dxa"/>
            </w:tcMar>
            <w:vAlign w:val="center"/>
          </w:tcPr>
          <w:p>
            <w:pPr>
              <w:snapToGrid w:val="0"/>
              <w:jc w:val="center"/>
              <w:rPr>
                <w:rFonts w:cs="宋体" w:asciiTheme="minorEastAsia" w:hAnsiTheme="minorEastAsia" w:eastAsiaTheme="minorEastAsia"/>
                <w:sz w:val="18"/>
                <w:szCs w:val="18"/>
              </w:rPr>
            </w:pPr>
          </w:p>
        </w:tc>
        <w:tc>
          <w:tcPr>
            <w:tcW w:w="1157" w:type="dxa"/>
            <w:vMerge w:val="continue"/>
            <w:tcBorders>
              <w:tl2br w:val="nil"/>
              <w:tr2bl w:val="nil"/>
            </w:tcBorders>
            <w:tcMar>
              <w:top w:w="15" w:type="dxa"/>
              <w:left w:w="15" w:type="dxa"/>
              <w:right w:w="15" w:type="dxa"/>
            </w:tcMar>
            <w:vAlign w:val="center"/>
          </w:tcPr>
          <w:p>
            <w:pPr>
              <w:snapToGrid w:val="0"/>
              <w:jc w:val="center"/>
              <w:rPr>
                <w:rFonts w:cs="宋体" w:asciiTheme="minorEastAsia" w:hAnsiTheme="minorEastAsia" w:eastAsiaTheme="minorEastAsia"/>
                <w:sz w:val="18"/>
                <w:szCs w:val="18"/>
              </w:rPr>
            </w:pPr>
          </w:p>
        </w:tc>
        <w:tc>
          <w:tcPr>
            <w:tcW w:w="1562"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危化作业</w:t>
            </w:r>
          </w:p>
        </w:tc>
        <w:tc>
          <w:tcPr>
            <w:tcW w:w="2121" w:type="dxa"/>
            <w:vMerge w:val="continue"/>
            <w:tcBorders>
              <w:tl2br w:val="nil"/>
              <w:tr2bl w:val="nil"/>
            </w:tcBorders>
            <w:tcMar>
              <w:top w:w="15" w:type="dxa"/>
              <w:left w:w="15" w:type="dxa"/>
              <w:right w:w="15" w:type="dxa"/>
            </w:tcMar>
            <w:vAlign w:val="center"/>
          </w:tcPr>
          <w:p>
            <w:pPr>
              <w:snapToGrid w:val="0"/>
              <w:jc w:val="center"/>
              <w:rPr>
                <w:rFonts w:cs="宋体" w:asciiTheme="minorEastAsia" w:hAnsiTheme="minorEastAsia" w:eastAsiaTheme="minorEastAsia"/>
                <w:sz w:val="18"/>
                <w:szCs w:val="18"/>
              </w:rPr>
            </w:pPr>
          </w:p>
        </w:tc>
        <w:tc>
          <w:tcPr>
            <w:tcW w:w="2779" w:type="dxa"/>
            <w:gridSpan w:val="2"/>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中毒、水体污染</w:t>
            </w:r>
          </w:p>
        </w:tc>
        <w:tc>
          <w:tcPr>
            <w:tcW w:w="89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LEC法</w:t>
            </w:r>
          </w:p>
        </w:tc>
        <w:tc>
          <w:tcPr>
            <w:tcW w:w="89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0.5～3</w:t>
            </w:r>
          </w:p>
        </w:tc>
        <w:tc>
          <w:tcPr>
            <w:tcW w:w="716"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2～6</w:t>
            </w:r>
          </w:p>
        </w:tc>
        <w:tc>
          <w:tcPr>
            <w:tcW w:w="776"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3～15</w:t>
            </w:r>
          </w:p>
        </w:tc>
        <w:tc>
          <w:tcPr>
            <w:tcW w:w="101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3～270</w:t>
            </w:r>
          </w:p>
        </w:tc>
        <w:tc>
          <w:tcPr>
            <w:tcW w:w="895"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低～较大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683"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62</w:t>
            </w:r>
          </w:p>
        </w:tc>
        <w:tc>
          <w:tcPr>
            <w:tcW w:w="828" w:type="dxa"/>
            <w:vMerge w:val="continue"/>
            <w:tcBorders>
              <w:tl2br w:val="nil"/>
              <w:tr2bl w:val="nil"/>
            </w:tcBorders>
            <w:noWrap/>
            <w:tcMar>
              <w:top w:w="15" w:type="dxa"/>
              <w:left w:w="15" w:type="dxa"/>
              <w:right w:w="15" w:type="dxa"/>
            </w:tcMar>
            <w:vAlign w:val="center"/>
          </w:tcPr>
          <w:p>
            <w:pPr>
              <w:snapToGrid w:val="0"/>
              <w:jc w:val="center"/>
              <w:rPr>
                <w:rFonts w:cs="宋体" w:asciiTheme="minorEastAsia" w:hAnsiTheme="minorEastAsia" w:eastAsiaTheme="minorEastAsia"/>
                <w:sz w:val="18"/>
                <w:szCs w:val="18"/>
              </w:rPr>
            </w:pPr>
          </w:p>
        </w:tc>
        <w:tc>
          <w:tcPr>
            <w:tcW w:w="1157" w:type="dxa"/>
            <w:vMerge w:val="continue"/>
            <w:tcBorders>
              <w:tl2br w:val="nil"/>
              <w:tr2bl w:val="nil"/>
            </w:tcBorders>
            <w:tcMar>
              <w:top w:w="15" w:type="dxa"/>
              <w:left w:w="15" w:type="dxa"/>
              <w:right w:w="15" w:type="dxa"/>
            </w:tcMar>
            <w:vAlign w:val="center"/>
          </w:tcPr>
          <w:p>
            <w:pPr>
              <w:snapToGrid w:val="0"/>
              <w:jc w:val="center"/>
              <w:rPr>
                <w:rFonts w:cs="宋体" w:asciiTheme="minorEastAsia" w:hAnsiTheme="minorEastAsia" w:eastAsiaTheme="minorEastAsia"/>
                <w:sz w:val="18"/>
                <w:szCs w:val="18"/>
              </w:rPr>
            </w:pPr>
          </w:p>
        </w:tc>
        <w:tc>
          <w:tcPr>
            <w:tcW w:w="1562"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破土作业</w:t>
            </w:r>
          </w:p>
        </w:tc>
        <w:tc>
          <w:tcPr>
            <w:tcW w:w="2121" w:type="dxa"/>
            <w:vMerge w:val="continue"/>
            <w:tcBorders>
              <w:tl2br w:val="nil"/>
              <w:tr2bl w:val="nil"/>
            </w:tcBorders>
            <w:tcMar>
              <w:top w:w="15" w:type="dxa"/>
              <w:left w:w="15" w:type="dxa"/>
              <w:right w:w="15" w:type="dxa"/>
            </w:tcMar>
            <w:vAlign w:val="center"/>
          </w:tcPr>
          <w:p>
            <w:pPr>
              <w:snapToGrid w:val="0"/>
              <w:jc w:val="center"/>
              <w:rPr>
                <w:rFonts w:cs="宋体" w:asciiTheme="minorEastAsia" w:hAnsiTheme="minorEastAsia" w:eastAsiaTheme="minorEastAsia"/>
                <w:sz w:val="18"/>
                <w:szCs w:val="18"/>
              </w:rPr>
            </w:pPr>
          </w:p>
        </w:tc>
        <w:tc>
          <w:tcPr>
            <w:tcW w:w="2779" w:type="dxa"/>
            <w:gridSpan w:val="2"/>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管线破坏、中毒、坍塌</w:t>
            </w:r>
          </w:p>
        </w:tc>
        <w:tc>
          <w:tcPr>
            <w:tcW w:w="89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LEC法</w:t>
            </w:r>
          </w:p>
        </w:tc>
        <w:tc>
          <w:tcPr>
            <w:tcW w:w="89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0.5～3</w:t>
            </w:r>
          </w:p>
        </w:tc>
        <w:tc>
          <w:tcPr>
            <w:tcW w:w="716"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2～6</w:t>
            </w:r>
          </w:p>
        </w:tc>
        <w:tc>
          <w:tcPr>
            <w:tcW w:w="776"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3～15</w:t>
            </w:r>
          </w:p>
        </w:tc>
        <w:tc>
          <w:tcPr>
            <w:tcW w:w="101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3～270</w:t>
            </w:r>
          </w:p>
        </w:tc>
        <w:tc>
          <w:tcPr>
            <w:tcW w:w="895"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低～较大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683"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63</w:t>
            </w:r>
          </w:p>
        </w:tc>
        <w:tc>
          <w:tcPr>
            <w:tcW w:w="828" w:type="dxa"/>
            <w:vMerge w:val="continue"/>
            <w:tcBorders>
              <w:tl2br w:val="nil"/>
              <w:tr2bl w:val="nil"/>
            </w:tcBorders>
            <w:noWrap/>
            <w:tcMar>
              <w:top w:w="15" w:type="dxa"/>
              <w:left w:w="15" w:type="dxa"/>
              <w:right w:w="15" w:type="dxa"/>
            </w:tcMar>
            <w:vAlign w:val="center"/>
          </w:tcPr>
          <w:p>
            <w:pPr>
              <w:snapToGrid w:val="0"/>
              <w:jc w:val="center"/>
              <w:rPr>
                <w:rFonts w:cs="宋体" w:asciiTheme="minorEastAsia" w:hAnsiTheme="minorEastAsia" w:eastAsiaTheme="minorEastAsia"/>
                <w:sz w:val="18"/>
                <w:szCs w:val="18"/>
              </w:rPr>
            </w:pPr>
          </w:p>
        </w:tc>
        <w:tc>
          <w:tcPr>
            <w:tcW w:w="1157" w:type="dxa"/>
            <w:vMerge w:val="continue"/>
            <w:tcBorders>
              <w:tl2br w:val="nil"/>
              <w:tr2bl w:val="nil"/>
            </w:tcBorders>
            <w:tcMar>
              <w:top w:w="15" w:type="dxa"/>
              <w:left w:w="15" w:type="dxa"/>
              <w:right w:w="15" w:type="dxa"/>
            </w:tcMar>
            <w:vAlign w:val="center"/>
          </w:tcPr>
          <w:p>
            <w:pPr>
              <w:snapToGrid w:val="0"/>
              <w:jc w:val="center"/>
              <w:rPr>
                <w:rFonts w:cs="宋体" w:asciiTheme="minorEastAsia" w:hAnsiTheme="minorEastAsia" w:eastAsiaTheme="minorEastAsia"/>
                <w:sz w:val="18"/>
                <w:szCs w:val="18"/>
              </w:rPr>
            </w:pPr>
          </w:p>
        </w:tc>
        <w:tc>
          <w:tcPr>
            <w:tcW w:w="1562"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盲板封堵</w:t>
            </w:r>
          </w:p>
        </w:tc>
        <w:tc>
          <w:tcPr>
            <w:tcW w:w="2121" w:type="dxa"/>
            <w:vMerge w:val="continue"/>
            <w:tcBorders>
              <w:tl2br w:val="nil"/>
              <w:tr2bl w:val="nil"/>
            </w:tcBorders>
            <w:tcMar>
              <w:top w:w="15" w:type="dxa"/>
              <w:left w:w="15" w:type="dxa"/>
              <w:right w:w="15" w:type="dxa"/>
            </w:tcMar>
            <w:vAlign w:val="center"/>
          </w:tcPr>
          <w:p>
            <w:pPr>
              <w:snapToGrid w:val="0"/>
              <w:jc w:val="center"/>
              <w:rPr>
                <w:rFonts w:cs="宋体" w:asciiTheme="minorEastAsia" w:hAnsiTheme="minorEastAsia" w:eastAsiaTheme="minorEastAsia"/>
                <w:sz w:val="18"/>
                <w:szCs w:val="18"/>
              </w:rPr>
            </w:pPr>
          </w:p>
        </w:tc>
        <w:tc>
          <w:tcPr>
            <w:tcW w:w="2779" w:type="dxa"/>
            <w:gridSpan w:val="2"/>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淹溺</w:t>
            </w:r>
          </w:p>
        </w:tc>
        <w:tc>
          <w:tcPr>
            <w:tcW w:w="89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LEC法</w:t>
            </w:r>
          </w:p>
        </w:tc>
        <w:tc>
          <w:tcPr>
            <w:tcW w:w="89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0.5～3</w:t>
            </w:r>
          </w:p>
        </w:tc>
        <w:tc>
          <w:tcPr>
            <w:tcW w:w="716"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2～6</w:t>
            </w:r>
          </w:p>
        </w:tc>
        <w:tc>
          <w:tcPr>
            <w:tcW w:w="776"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3～15</w:t>
            </w:r>
          </w:p>
        </w:tc>
        <w:tc>
          <w:tcPr>
            <w:tcW w:w="101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3～270</w:t>
            </w:r>
          </w:p>
        </w:tc>
        <w:tc>
          <w:tcPr>
            <w:tcW w:w="895"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低～较大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683"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64</w:t>
            </w:r>
          </w:p>
        </w:tc>
        <w:tc>
          <w:tcPr>
            <w:tcW w:w="828" w:type="dxa"/>
            <w:vMerge w:val="continue"/>
            <w:tcBorders>
              <w:tl2br w:val="nil"/>
              <w:tr2bl w:val="nil"/>
            </w:tcBorders>
            <w:noWrap/>
            <w:tcMar>
              <w:top w:w="15" w:type="dxa"/>
              <w:left w:w="15" w:type="dxa"/>
              <w:right w:w="15" w:type="dxa"/>
            </w:tcMar>
            <w:vAlign w:val="center"/>
          </w:tcPr>
          <w:p>
            <w:pPr>
              <w:snapToGrid w:val="0"/>
              <w:jc w:val="center"/>
              <w:rPr>
                <w:rFonts w:cs="宋体" w:asciiTheme="minorEastAsia" w:hAnsiTheme="minorEastAsia" w:eastAsiaTheme="minorEastAsia"/>
                <w:sz w:val="18"/>
                <w:szCs w:val="18"/>
              </w:rPr>
            </w:pPr>
          </w:p>
        </w:tc>
        <w:tc>
          <w:tcPr>
            <w:tcW w:w="1157" w:type="dxa"/>
            <w:vMerge w:val="continue"/>
            <w:tcBorders>
              <w:tl2br w:val="nil"/>
              <w:tr2bl w:val="nil"/>
            </w:tcBorders>
            <w:tcMar>
              <w:top w:w="15" w:type="dxa"/>
              <w:left w:w="15" w:type="dxa"/>
              <w:right w:w="15" w:type="dxa"/>
            </w:tcMar>
            <w:vAlign w:val="center"/>
          </w:tcPr>
          <w:p>
            <w:pPr>
              <w:snapToGrid w:val="0"/>
              <w:jc w:val="center"/>
              <w:rPr>
                <w:rFonts w:cs="宋体" w:asciiTheme="minorEastAsia" w:hAnsiTheme="minorEastAsia" w:eastAsiaTheme="minorEastAsia"/>
                <w:sz w:val="18"/>
                <w:szCs w:val="18"/>
              </w:rPr>
            </w:pPr>
          </w:p>
        </w:tc>
        <w:tc>
          <w:tcPr>
            <w:tcW w:w="1562"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高压电气设备巡视</w:t>
            </w:r>
          </w:p>
        </w:tc>
        <w:tc>
          <w:tcPr>
            <w:tcW w:w="2121"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防护距离不够，违章操作</w:t>
            </w:r>
          </w:p>
        </w:tc>
        <w:tc>
          <w:tcPr>
            <w:tcW w:w="2779" w:type="dxa"/>
            <w:gridSpan w:val="2"/>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触电</w:t>
            </w:r>
          </w:p>
        </w:tc>
        <w:tc>
          <w:tcPr>
            <w:tcW w:w="89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LEC法</w:t>
            </w:r>
          </w:p>
        </w:tc>
        <w:tc>
          <w:tcPr>
            <w:tcW w:w="89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0.5～3</w:t>
            </w:r>
          </w:p>
        </w:tc>
        <w:tc>
          <w:tcPr>
            <w:tcW w:w="716"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2～6</w:t>
            </w:r>
          </w:p>
        </w:tc>
        <w:tc>
          <w:tcPr>
            <w:tcW w:w="776"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3～15</w:t>
            </w:r>
          </w:p>
        </w:tc>
        <w:tc>
          <w:tcPr>
            <w:tcW w:w="101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3～270</w:t>
            </w:r>
          </w:p>
        </w:tc>
        <w:tc>
          <w:tcPr>
            <w:tcW w:w="895"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低～较大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683"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65</w:t>
            </w:r>
          </w:p>
        </w:tc>
        <w:tc>
          <w:tcPr>
            <w:tcW w:w="828" w:type="dxa"/>
            <w:vMerge w:val="continue"/>
            <w:tcBorders>
              <w:tl2br w:val="nil"/>
              <w:tr2bl w:val="nil"/>
            </w:tcBorders>
            <w:noWrap/>
            <w:tcMar>
              <w:top w:w="15" w:type="dxa"/>
              <w:left w:w="15" w:type="dxa"/>
              <w:right w:w="15" w:type="dxa"/>
            </w:tcMar>
            <w:vAlign w:val="center"/>
          </w:tcPr>
          <w:p>
            <w:pPr>
              <w:snapToGrid w:val="0"/>
              <w:jc w:val="center"/>
              <w:rPr>
                <w:rFonts w:cs="宋体" w:asciiTheme="minorEastAsia" w:hAnsiTheme="minorEastAsia" w:eastAsiaTheme="minorEastAsia"/>
                <w:sz w:val="18"/>
                <w:szCs w:val="18"/>
              </w:rPr>
            </w:pPr>
          </w:p>
        </w:tc>
        <w:tc>
          <w:tcPr>
            <w:tcW w:w="1157" w:type="dxa"/>
            <w:vMerge w:val="restart"/>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检 修</w:t>
            </w:r>
          </w:p>
        </w:tc>
        <w:tc>
          <w:tcPr>
            <w:tcW w:w="1562"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水泵、风机检修作业</w:t>
            </w:r>
          </w:p>
        </w:tc>
        <w:tc>
          <w:tcPr>
            <w:tcW w:w="2143" w:type="dxa"/>
            <w:gridSpan w:val="2"/>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违章指挥、违章操作、违反劳动纪律、未正确使用防护用品</w:t>
            </w:r>
          </w:p>
        </w:tc>
        <w:tc>
          <w:tcPr>
            <w:tcW w:w="2757"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触电、机械伤害</w:t>
            </w:r>
          </w:p>
        </w:tc>
        <w:tc>
          <w:tcPr>
            <w:tcW w:w="89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LEC法</w:t>
            </w:r>
          </w:p>
        </w:tc>
        <w:tc>
          <w:tcPr>
            <w:tcW w:w="89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0.5～3</w:t>
            </w:r>
          </w:p>
        </w:tc>
        <w:tc>
          <w:tcPr>
            <w:tcW w:w="716"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2～6</w:t>
            </w:r>
          </w:p>
        </w:tc>
        <w:tc>
          <w:tcPr>
            <w:tcW w:w="776"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3～15</w:t>
            </w:r>
          </w:p>
        </w:tc>
        <w:tc>
          <w:tcPr>
            <w:tcW w:w="101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3～270</w:t>
            </w:r>
          </w:p>
        </w:tc>
        <w:tc>
          <w:tcPr>
            <w:tcW w:w="895"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低～较大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683"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66</w:t>
            </w:r>
          </w:p>
        </w:tc>
        <w:tc>
          <w:tcPr>
            <w:tcW w:w="828" w:type="dxa"/>
            <w:vMerge w:val="continue"/>
            <w:tcBorders>
              <w:tl2br w:val="nil"/>
              <w:tr2bl w:val="nil"/>
            </w:tcBorders>
            <w:noWrap/>
            <w:tcMar>
              <w:top w:w="15" w:type="dxa"/>
              <w:left w:w="15" w:type="dxa"/>
              <w:right w:w="15" w:type="dxa"/>
            </w:tcMar>
            <w:vAlign w:val="center"/>
          </w:tcPr>
          <w:p>
            <w:pPr>
              <w:snapToGrid w:val="0"/>
              <w:jc w:val="center"/>
              <w:rPr>
                <w:rFonts w:cs="宋体" w:asciiTheme="minorEastAsia" w:hAnsiTheme="minorEastAsia" w:eastAsiaTheme="minorEastAsia"/>
                <w:sz w:val="18"/>
                <w:szCs w:val="18"/>
              </w:rPr>
            </w:pPr>
          </w:p>
        </w:tc>
        <w:tc>
          <w:tcPr>
            <w:tcW w:w="1157" w:type="dxa"/>
            <w:vMerge w:val="continue"/>
            <w:tcBorders>
              <w:tl2br w:val="nil"/>
              <w:tr2bl w:val="nil"/>
            </w:tcBorders>
            <w:tcMar>
              <w:top w:w="15" w:type="dxa"/>
              <w:left w:w="15" w:type="dxa"/>
              <w:right w:w="15" w:type="dxa"/>
            </w:tcMar>
            <w:vAlign w:val="center"/>
          </w:tcPr>
          <w:p>
            <w:pPr>
              <w:snapToGrid w:val="0"/>
              <w:jc w:val="center"/>
              <w:rPr>
                <w:rFonts w:cs="宋体" w:asciiTheme="minorEastAsia" w:hAnsiTheme="minorEastAsia" w:eastAsiaTheme="minorEastAsia"/>
                <w:sz w:val="18"/>
                <w:szCs w:val="18"/>
              </w:rPr>
            </w:pPr>
          </w:p>
        </w:tc>
        <w:tc>
          <w:tcPr>
            <w:tcW w:w="1562"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管道、压力容器检修作业</w:t>
            </w:r>
          </w:p>
        </w:tc>
        <w:tc>
          <w:tcPr>
            <w:tcW w:w="2121" w:type="dxa"/>
            <w:tcBorders>
              <w:tl2br w:val="nil"/>
              <w:tr2bl w:val="nil"/>
            </w:tcBorders>
            <w:tcMar>
              <w:top w:w="15" w:type="dxa"/>
              <w:left w:w="15" w:type="dxa"/>
              <w:right w:w="15" w:type="dxa"/>
            </w:tcMar>
            <w:vAlign w:val="center"/>
          </w:tcPr>
          <w:p>
            <w:pPr>
              <w:snapToGrid w:val="0"/>
              <w:jc w:val="center"/>
              <w:rPr>
                <w:rFonts w:cs="宋体" w:asciiTheme="minorEastAsia" w:hAnsiTheme="minorEastAsia" w:eastAsiaTheme="minorEastAsia"/>
                <w:sz w:val="18"/>
                <w:szCs w:val="18"/>
              </w:rPr>
            </w:pPr>
          </w:p>
        </w:tc>
        <w:tc>
          <w:tcPr>
            <w:tcW w:w="2779" w:type="dxa"/>
            <w:gridSpan w:val="2"/>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中毒、窒息</w:t>
            </w:r>
          </w:p>
        </w:tc>
        <w:tc>
          <w:tcPr>
            <w:tcW w:w="89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LEC法</w:t>
            </w:r>
          </w:p>
        </w:tc>
        <w:tc>
          <w:tcPr>
            <w:tcW w:w="89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0.5～3</w:t>
            </w:r>
          </w:p>
        </w:tc>
        <w:tc>
          <w:tcPr>
            <w:tcW w:w="716"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2～6</w:t>
            </w:r>
          </w:p>
        </w:tc>
        <w:tc>
          <w:tcPr>
            <w:tcW w:w="776"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3～15</w:t>
            </w:r>
          </w:p>
        </w:tc>
        <w:tc>
          <w:tcPr>
            <w:tcW w:w="101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3～270</w:t>
            </w:r>
          </w:p>
        </w:tc>
        <w:tc>
          <w:tcPr>
            <w:tcW w:w="895"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低～较大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683"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67</w:t>
            </w:r>
          </w:p>
        </w:tc>
        <w:tc>
          <w:tcPr>
            <w:tcW w:w="828" w:type="dxa"/>
            <w:vMerge w:val="continue"/>
            <w:tcBorders>
              <w:tl2br w:val="nil"/>
              <w:tr2bl w:val="nil"/>
            </w:tcBorders>
            <w:noWrap/>
            <w:tcMar>
              <w:top w:w="15" w:type="dxa"/>
              <w:left w:w="15" w:type="dxa"/>
              <w:right w:w="15" w:type="dxa"/>
            </w:tcMar>
            <w:vAlign w:val="center"/>
          </w:tcPr>
          <w:p>
            <w:pPr>
              <w:snapToGrid w:val="0"/>
              <w:jc w:val="center"/>
              <w:rPr>
                <w:rFonts w:cs="宋体" w:asciiTheme="minorEastAsia" w:hAnsiTheme="minorEastAsia" w:eastAsiaTheme="minorEastAsia"/>
                <w:sz w:val="18"/>
                <w:szCs w:val="18"/>
              </w:rPr>
            </w:pPr>
          </w:p>
        </w:tc>
        <w:tc>
          <w:tcPr>
            <w:tcW w:w="1157" w:type="dxa"/>
            <w:vMerge w:val="continue"/>
            <w:tcBorders>
              <w:tl2br w:val="nil"/>
              <w:tr2bl w:val="nil"/>
            </w:tcBorders>
            <w:tcMar>
              <w:top w:w="15" w:type="dxa"/>
              <w:left w:w="15" w:type="dxa"/>
              <w:right w:w="15" w:type="dxa"/>
            </w:tcMar>
            <w:vAlign w:val="center"/>
          </w:tcPr>
          <w:p>
            <w:pPr>
              <w:snapToGrid w:val="0"/>
              <w:jc w:val="center"/>
              <w:rPr>
                <w:rFonts w:cs="宋体" w:asciiTheme="minorEastAsia" w:hAnsiTheme="minorEastAsia" w:eastAsiaTheme="minorEastAsia"/>
                <w:sz w:val="18"/>
                <w:szCs w:val="18"/>
              </w:rPr>
            </w:pPr>
          </w:p>
        </w:tc>
        <w:tc>
          <w:tcPr>
            <w:tcW w:w="1562" w:type="dxa"/>
            <w:vMerge w:val="restart"/>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油库、油箱、油管道的运行和检修作业，电机、变压器油类作业（含油取样及分析）</w:t>
            </w:r>
          </w:p>
        </w:tc>
        <w:tc>
          <w:tcPr>
            <w:tcW w:w="2143" w:type="dxa"/>
            <w:gridSpan w:val="2"/>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油遇到火源</w:t>
            </w:r>
          </w:p>
        </w:tc>
        <w:tc>
          <w:tcPr>
            <w:tcW w:w="2757"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火灾</w:t>
            </w:r>
          </w:p>
        </w:tc>
        <w:tc>
          <w:tcPr>
            <w:tcW w:w="89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LEC法</w:t>
            </w:r>
          </w:p>
        </w:tc>
        <w:tc>
          <w:tcPr>
            <w:tcW w:w="89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0.5～3</w:t>
            </w:r>
          </w:p>
        </w:tc>
        <w:tc>
          <w:tcPr>
            <w:tcW w:w="716"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2～6</w:t>
            </w:r>
          </w:p>
        </w:tc>
        <w:tc>
          <w:tcPr>
            <w:tcW w:w="776"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3～15</w:t>
            </w:r>
          </w:p>
        </w:tc>
        <w:tc>
          <w:tcPr>
            <w:tcW w:w="101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3～270</w:t>
            </w:r>
          </w:p>
        </w:tc>
        <w:tc>
          <w:tcPr>
            <w:tcW w:w="895"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低～较大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683"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68</w:t>
            </w:r>
          </w:p>
        </w:tc>
        <w:tc>
          <w:tcPr>
            <w:tcW w:w="828" w:type="dxa"/>
            <w:vMerge w:val="continue"/>
            <w:tcBorders>
              <w:tl2br w:val="nil"/>
              <w:tr2bl w:val="nil"/>
            </w:tcBorders>
            <w:noWrap/>
            <w:tcMar>
              <w:top w:w="15" w:type="dxa"/>
              <w:left w:w="15" w:type="dxa"/>
              <w:right w:w="15" w:type="dxa"/>
            </w:tcMar>
            <w:vAlign w:val="center"/>
          </w:tcPr>
          <w:p>
            <w:pPr>
              <w:snapToGrid w:val="0"/>
              <w:jc w:val="center"/>
              <w:rPr>
                <w:rFonts w:cs="宋体" w:asciiTheme="minorEastAsia" w:hAnsiTheme="minorEastAsia" w:eastAsiaTheme="minorEastAsia"/>
                <w:sz w:val="18"/>
                <w:szCs w:val="18"/>
              </w:rPr>
            </w:pPr>
          </w:p>
        </w:tc>
        <w:tc>
          <w:tcPr>
            <w:tcW w:w="1157" w:type="dxa"/>
            <w:vMerge w:val="continue"/>
            <w:tcBorders>
              <w:tl2br w:val="nil"/>
              <w:tr2bl w:val="nil"/>
            </w:tcBorders>
            <w:tcMar>
              <w:top w:w="15" w:type="dxa"/>
              <w:left w:w="15" w:type="dxa"/>
              <w:right w:w="15" w:type="dxa"/>
            </w:tcMar>
            <w:vAlign w:val="center"/>
          </w:tcPr>
          <w:p>
            <w:pPr>
              <w:snapToGrid w:val="0"/>
              <w:jc w:val="center"/>
              <w:rPr>
                <w:rFonts w:cs="宋体" w:asciiTheme="minorEastAsia" w:hAnsiTheme="minorEastAsia" w:eastAsiaTheme="minorEastAsia"/>
                <w:sz w:val="18"/>
                <w:szCs w:val="18"/>
              </w:rPr>
            </w:pPr>
          </w:p>
        </w:tc>
        <w:tc>
          <w:tcPr>
            <w:tcW w:w="1562" w:type="dxa"/>
            <w:vMerge w:val="continue"/>
            <w:tcBorders>
              <w:tl2br w:val="nil"/>
              <w:tr2bl w:val="nil"/>
            </w:tcBorders>
            <w:tcMar>
              <w:top w:w="15" w:type="dxa"/>
              <w:left w:w="15" w:type="dxa"/>
              <w:right w:w="15" w:type="dxa"/>
            </w:tcMar>
            <w:vAlign w:val="center"/>
          </w:tcPr>
          <w:p>
            <w:pPr>
              <w:snapToGrid w:val="0"/>
              <w:jc w:val="center"/>
              <w:rPr>
                <w:rFonts w:cs="宋体" w:asciiTheme="minorEastAsia" w:hAnsiTheme="minorEastAsia" w:eastAsiaTheme="minorEastAsia"/>
                <w:sz w:val="18"/>
                <w:szCs w:val="18"/>
              </w:rPr>
            </w:pPr>
          </w:p>
        </w:tc>
        <w:tc>
          <w:tcPr>
            <w:tcW w:w="2121"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油处理不规范</w:t>
            </w:r>
          </w:p>
        </w:tc>
        <w:tc>
          <w:tcPr>
            <w:tcW w:w="2779" w:type="dxa"/>
            <w:gridSpan w:val="2"/>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变压器、电机设备损坏</w:t>
            </w:r>
          </w:p>
        </w:tc>
        <w:tc>
          <w:tcPr>
            <w:tcW w:w="89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LEC法</w:t>
            </w:r>
          </w:p>
        </w:tc>
        <w:tc>
          <w:tcPr>
            <w:tcW w:w="89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0.5～3</w:t>
            </w:r>
          </w:p>
        </w:tc>
        <w:tc>
          <w:tcPr>
            <w:tcW w:w="716"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2～6</w:t>
            </w:r>
          </w:p>
        </w:tc>
        <w:tc>
          <w:tcPr>
            <w:tcW w:w="776"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3～15</w:t>
            </w:r>
          </w:p>
        </w:tc>
        <w:tc>
          <w:tcPr>
            <w:tcW w:w="101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3～270</w:t>
            </w:r>
          </w:p>
        </w:tc>
        <w:tc>
          <w:tcPr>
            <w:tcW w:w="895"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低～较大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683"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69</w:t>
            </w:r>
          </w:p>
        </w:tc>
        <w:tc>
          <w:tcPr>
            <w:tcW w:w="828" w:type="dxa"/>
            <w:vMerge w:val="continue"/>
            <w:tcBorders>
              <w:tl2br w:val="nil"/>
              <w:tr2bl w:val="nil"/>
            </w:tcBorders>
            <w:noWrap/>
            <w:tcMar>
              <w:top w:w="15" w:type="dxa"/>
              <w:left w:w="15" w:type="dxa"/>
              <w:right w:w="15" w:type="dxa"/>
            </w:tcMar>
            <w:vAlign w:val="center"/>
          </w:tcPr>
          <w:p>
            <w:pPr>
              <w:snapToGrid w:val="0"/>
              <w:jc w:val="center"/>
              <w:rPr>
                <w:rFonts w:cs="宋体" w:asciiTheme="minorEastAsia" w:hAnsiTheme="minorEastAsia" w:eastAsiaTheme="minorEastAsia"/>
                <w:sz w:val="18"/>
                <w:szCs w:val="18"/>
              </w:rPr>
            </w:pPr>
          </w:p>
        </w:tc>
        <w:tc>
          <w:tcPr>
            <w:tcW w:w="1157" w:type="dxa"/>
            <w:vMerge w:val="continue"/>
            <w:tcBorders>
              <w:tl2br w:val="nil"/>
              <w:tr2bl w:val="nil"/>
            </w:tcBorders>
            <w:tcMar>
              <w:top w:w="15" w:type="dxa"/>
              <w:left w:w="15" w:type="dxa"/>
              <w:right w:w="15" w:type="dxa"/>
            </w:tcMar>
            <w:vAlign w:val="center"/>
          </w:tcPr>
          <w:p>
            <w:pPr>
              <w:snapToGrid w:val="0"/>
              <w:jc w:val="center"/>
              <w:rPr>
                <w:rFonts w:cs="宋体" w:asciiTheme="minorEastAsia" w:hAnsiTheme="minorEastAsia" w:eastAsiaTheme="minorEastAsia"/>
                <w:sz w:val="18"/>
                <w:szCs w:val="18"/>
              </w:rPr>
            </w:pPr>
          </w:p>
        </w:tc>
        <w:tc>
          <w:tcPr>
            <w:tcW w:w="1562" w:type="dxa"/>
            <w:vMerge w:val="continue"/>
            <w:tcBorders>
              <w:tl2br w:val="nil"/>
              <w:tr2bl w:val="nil"/>
            </w:tcBorders>
            <w:tcMar>
              <w:top w:w="15" w:type="dxa"/>
              <w:left w:w="15" w:type="dxa"/>
              <w:right w:w="15" w:type="dxa"/>
            </w:tcMar>
            <w:vAlign w:val="center"/>
          </w:tcPr>
          <w:p>
            <w:pPr>
              <w:snapToGrid w:val="0"/>
              <w:jc w:val="center"/>
              <w:rPr>
                <w:rFonts w:cs="宋体" w:asciiTheme="minorEastAsia" w:hAnsiTheme="minorEastAsia" w:eastAsiaTheme="minorEastAsia"/>
                <w:sz w:val="18"/>
                <w:szCs w:val="18"/>
              </w:rPr>
            </w:pPr>
          </w:p>
        </w:tc>
        <w:tc>
          <w:tcPr>
            <w:tcW w:w="2143" w:type="dxa"/>
            <w:gridSpan w:val="2"/>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安全措施不完善</w:t>
            </w:r>
          </w:p>
        </w:tc>
        <w:tc>
          <w:tcPr>
            <w:tcW w:w="2757"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火灾、爆炸</w:t>
            </w:r>
          </w:p>
        </w:tc>
        <w:tc>
          <w:tcPr>
            <w:tcW w:w="89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LEC法</w:t>
            </w:r>
          </w:p>
        </w:tc>
        <w:tc>
          <w:tcPr>
            <w:tcW w:w="89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0.5～3</w:t>
            </w:r>
          </w:p>
        </w:tc>
        <w:tc>
          <w:tcPr>
            <w:tcW w:w="716"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2～6</w:t>
            </w:r>
          </w:p>
        </w:tc>
        <w:tc>
          <w:tcPr>
            <w:tcW w:w="776"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3～15</w:t>
            </w:r>
          </w:p>
        </w:tc>
        <w:tc>
          <w:tcPr>
            <w:tcW w:w="101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3～270</w:t>
            </w:r>
          </w:p>
        </w:tc>
        <w:tc>
          <w:tcPr>
            <w:tcW w:w="895"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低～较大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683"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70</w:t>
            </w:r>
          </w:p>
        </w:tc>
        <w:tc>
          <w:tcPr>
            <w:tcW w:w="828" w:type="dxa"/>
            <w:vMerge w:val="continue"/>
            <w:tcBorders>
              <w:tl2br w:val="nil"/>
              <w:tr2bl w:val="nil"/>
            </w:tcBorders>
            <w:noWrap/>
            <w:tcMar>
              <w:top w:w="15" w:type="dxa"/>
              <w:left w:w="15" w:type="dxa"/>
              <w:right w:w="15" w:type="dxa"/>
            </w:tcMar>
            <w:vAlign w:val="center"/>
          </w:tcPr>
          <w:p>
            <w:pPr>
              <w:snapToGrid w:val="0"/>
              <w:jc w:val="center"/>
              <w:rPr>
                <w:rFonts w:cs="宋体" w:asciiTheme="minorEastAsia" w:hAnsiTheme="minorEastAsia" w:eastAsiaTheme="minorEastAsia"/>
                <w:sz w:val="18"/>
                <w:szCs w:val="18"/>
              </w:rPr>
            </w:pPr>
          </w:p>
        </w:tc>
        <w:tc>
          <w:tcPr>
            <w:tcW w:w="1157" w:type="dxa"/>
            <w:vMerge w:val="continue"/>
            <w:tcBorders>
              <w:tl2br w:val="nil"/>
              <w:tr2bl w:val="nil"/>
            </w:tcBorders>
            <w:tcMar>
              <w:top w:w="15" w:type="dxa"/>
              <w:left w:w="15" w:type="dxa"/>
              <w:right w:w="15" w:type="dxa"/>
            </w:tcMar>
            <w:vAlign w:val="center"/>
          </w:tcPr>
          <w:p>
            <w:pPr>
              <w:snapToGrid w:val="0"/>
              <w:jc w:val="center"/>
              <w:rPr>
                <w:rFonts w:cs="宋体" w:asciiTheme="minorEastAsia" w:hAnsiTheme="minorEastAsia" w:eastAsiaTheme="minorEastAsia"/>
                <w:sz w:val="18"/>
                <w:szCs w:val="18"/>
              </w:rPr>
            </w:pPr>
          </w:p>
        </w:tc>
        <w:tc>
          <w:tcPr>
            <w:tcW w:w="1562" w:type="dxa"/>
            <w:vMerge w:val="continue"/>
            <w:tcBorders>
              <w:tl2br w:val="nil"/>
              <w:tr2bl w:val="nil"/>
            </w:tcBorders>
            <w:tcMar>
              <w:top w:w="15" w:type="dxa"/>
              <w:left w:w="15" w:type="dxa"/>
              <w:right w:w="15" w:type="dxa"/>
            </w:tcMar>
            <w:vAlign w:val="center"/>
          </w:tcPr>
          <w:p>
            <w:pPr>
              <w:snapToGrid w:val="0"/>
              <w:jc w:val="center"/>
              <w:rPr>
                <w:rFonts w:cs="宋体" w:asciiTheme="minorEastAsia" w:hAnsiTheme="minorEastAsia" w:eastAsiaTheme="minorEastAsia"/>
                <w:sz w:val="18"/>
                <w:szCs w:val="18"/>
              </w:rPr>
            </w:pPr>
          </w:p>
        </w:tc>
        <w:tc>
          <w:tcPr>
            <w:tcW w:w="2121"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违章作业</w:t>
            </w:r>
          </w:p>
        </w:tc>
        <w:tc>
          <w:tcPr>
            <w:tcW w:w="2779" w:type="dxa"/>
            <w:gridSpan w:val="2"/>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火灾、爆炸</w:t>
            </w:r>
          </w:p>
        </w:tc>
        <w:tc>
          <w:tcPr>
            <w:tcW w:w="89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LEC法</w:t>
            </w:r>
          </w:p>
        </w:tc>
        <w:tc>
          <w:tcPr>
            <w:tcW w:w="89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0.5～3</w:t>
            </w:r>
          </w:p>
        </w:tc>
        <w:tc>
          <w:tcPr>
            <w:tcW w:w="716"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2～6</w:t>
            </w:r>
          </w:p>
        </w:tc>
        <w:tc>
          <w:tcPr>
            <w:tcW w:w="776"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3～15</w:t>
            </w:r>
          </w:p>
        </w:tc>
        <w:tc>
          <w:tcPr>
            <w:tcW w:w="101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3～270</w:t>
            </w:r>
          </w:p>
        </w:tc>
        <w:tc>
          <w:tcPr>
            <w:tcW w:w="895"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低～较大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683"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71</w:t>
            </w:r>
          </w:p>
        </w:tc>
        <w:tc>
          <w:tcPr>
            <w:tcW w:w="828" w:type="dxa"/>
            <w:vMerge w:val="continue"/>
            <w:tcBorders>
              <w:tl2br w:val="nil"/>
              <w:tr2bl w:val="nil"/>
            </w:tcBorders>
            <w:noWrap/>
            <w:tcMar>
              <w:top w:w="15" w:type="dxa"/>
              <w:left w:w="15" w:type="dxa"/>
              <w:right w:w="15" w:type="dxa"/>
            </w:tcMar>
            <w:vAlign w:val="center"/>
          </w:tcPr>
          <w:p>
            <w:pPr>
              <w:snapToGrid w:val="0"/>
              <w:jc w:val="center"/>
              <w:rPr>
                <w:rFonts w:cs="宋体" w:asciiTheme="minorEastAsia" w:hAnsiTheme="minorEastAsia" w:eastAsiaTheme="minorEastAsia"/>
                <w:sz w:val="18"/>
                <w:szCs w:val="18"/>
              </w:rPr>
            </w:pPr>
          </w:p>
        </w:tc>
        <w:tc>
          <w:tcPr>
            <w:tcW w:w="1157" w:type="dxa"/>
            <w:vMerge w:val="continue"/>
            <w:tcBorders>
              <w:tl2br w:val="nil"/>
              <w:tr2bl w:val="nil"/>
            </w:tcBorders>
            <w:tcMar>
              <w:top w:w="15" w:type="dxa"/>
              <w:left w:w="15" w:type="dxa"/>
              <w:right w:w="15" w:type="dxa"/>
            </w:tcMar>
            <w:vAlign w:val="center"/>
          </w:tcPr>
          <w:p>
            <w:pPr>
              <w:snapToGrid w:val="0"/>
              <w:jc w:val="center"/>
              <w:rPr>
                <w:rFonts w:cs="宋体" w:asciiTheme="minorEastAsia" w:hAnsiTheme="minorEastAsia" w:eastAsiaTheme="minorEastAsia"/>
                <w:sz w:val="18"/>
                <w:szCs w:val="18"/>
              </w:rPr>
            </w:pPr>
          </w:p>
        </w:tc>
        <w:tc>
          <w:tcPr>
            <w:tcW w:w="1562"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现场设备检查维护作业</w:t>
            </w:r>
          </w:p>
        </w:tc>
        <w:tc>
          <w:tcPr>
            <w:tcW w:w="2121"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作业违反操作规程</w:t>
            </w:r>
          </w:p>
        </w:tc>
        <w:tc>
          <w:tcPr>
            <w:tcW w:w="2779" w:type="dxa"/>
            <w:gridSpan w:val="2"/>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触电，机械伤害</w:t>
            </w:r>
          </w:p>
        </w:tc>
        <w:tc>
          <w:tcPr>
            <w:tcW w:w="89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LEC法</w:t>
            </w:r>
          </w:p>
        </w:tc>
        <w:tc>
          <w:tcPr>
            <w:tcW w:w="89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0.5～3</w:t>
            </w:r>
          </w:p>
        </w:tc>
        <w:tc>
          <w:tcPr>
            <w:tcW w:w="716"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2～6</w:t>
            </w:r>
          </w:p>
        </w:tc>
        <w:tc>
          <w:tcPr>
            <w:tcW w:w="776"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3～15</w:t>
            </w:r>
          </w:p>
        </w:tc>
        <w:tc>
          <w:tcPr>
            <w:tcW w:w="101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3～270</w:t>
            </w:r>
          </w:p>
        </w:tc>
        <w:tc>
          <w:tcPr>
            <w:tcW w:w="895"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低～较大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683"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72</w:t>
            </w:r>
          </w:p>
        </w:tc>
        <w:tc>
          <w:tcPr>
            <w:tcW w:w="828" w:type="dxa"/>
            <w:vMerge w:val="restart"/>
            <w:tcBorders>
              <w:tl2br w:val="nil"/>
              <w:tr2bl w:val="nil"/>
            </w:tcBorders>
            <w:noWrap/>
            <w:tcMar>
              <w:top w:w="15" w:type="dxa"/>
              <w:left w:w="15" w:type="dxa"/>
              <w:right w:w="15" w:type="dxa"/>
            </w:tcMar>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作业活动类</w:t>
            </w:r>
          </w:p>
        </w:tc>
        <w:tc>
          <w:tcPr>
            <w:tcW w:w="1157" w:type="dxa"/>
            <w:vMerge w:val="restart"/>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试验检验</w:t>
            </w:r>
          </w:p>
        </w:tc>
        <w:tc>
          <w:tcPr>
            <w:tcW w:w="1562"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管道水压试验</w:t>
            </w:r>
          </w:p>
        </w:tc>
        <w:tc>
          <w:tcPr>
            <w:tcW w:w="2121"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超压爆裂</w:t>
            </w:r>
          </w:p>
        </w:tc>
        <w:tc>
          <w:tcPr>
            <w:tcW w:w="2779" w:type="dxa"/>
            <w:gridSpan w:val="2"/>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人身伤害</w:t>
            </w:r>
          </w:p>
        </w:tc>
        <w:tc>
          <w:tcPr>
            <w:tcW w:w="895"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LEC法</w:t>
            </w:r>
          </w:p>
        </w:tc>
        <w:tc>
          <w:tcPr>
            <w:tcW w:w="895"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0.5～6</w:t>
            </w:r>
          </w:p>
        </w:tc>
        <w:tc>
          <w:tcPr>
            <w:tcW w:w="716"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1～6</w:t>
            </w:r>
          </w:p>
        </w:tc>
        <w:tc>
          <w:tcPr>
            <w:tcW w:w="776"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3～15</w:t>
            </w:r>
          </w:p>
        </w:tc>
        <w:tc>
          <w:tcPr>
            <w:tcW w:w="101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1.5～540</w:t>
            </w:r>
          </w:p>
        </w:tc>
        <w:tc>
          <w:tcPr>
            <w:tcW w:w="895"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低～重大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683"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73</w:t>
            </w:r>
          </w:p>
        </w:tc>
        <w:tc>
          <w:tcPr>
            <w:tcW w:w="828" w:type="dxa"/>
            <w:vMerge w:val="continue"/>
            <w:tcBorders>
              <w:tl2br w:val="nil"/>
              <w:tr2bl w:val="nil"/>
            </w:tcBorders>
            <w:noWrap/>
            <w:tcMar>
              <w:top w:w="15" w:type="dxa"/>
              <w:left w:w="15" w:type="dxa"/>
              <w:right w:w="15" w:type="dxa"/>
            </w:tcMar>
            <w:vAlign w:val="center"/>
          </w:tcPr>
          <w:p>
            <w:pPr>
              <w:snapToGrid w:val="0"/>
              <w:jc w:val="center"/>
              <w:rPr>
                <w:rFonts w:cs="宋体" w:asciiTheme="minorEastAsia" w:hAnsiTheme="minorEastAsia" w:eastAsiaTheme="minorEastAsia"/>
                <w:sz w:val="18"/>
                <w:szCs w:val="18"/>
              </w:rPr>
            </w:pPr>
          </w:p>
        </w:tc>
        <w:tc>
          <w:tcPr>
            <w:tcW w:w="1157" w:type="dxa"/>
            <w:vMerge w:val="continue"/>
            <w:tcBorders>
              <w:tl2br w:val="nil"/>
              <w:tr2bl w:val="nil"/>
            </w:tcBorders>
            <w:tcMar>
              <w:top w:w="15" w:type="dxa"/>
              <w:left w:w="15" w:type="dxa"/>
              <w:right w:w="15" w:type="dxa"/>
            </w:tcMar>
            <w:vAlign w:val="center"/>
          </w:tcPr>
          <w:p>
            <w:pPr>
              <w:snapToGrid w:val="0"/>
              <w:jc w:val="center"/>
              <w:rPr>
                <w:rFonts w:cs="宋体" w:asciiTheme="minorEastAsia" w:hAnsiTheme="minorEastAsia" w:eastAsiaTheme="minorEastAsia"/>
                <w:sz w:val="18"/>
                <w:szCs w:val="18"/>
              </w:rPr>
            </w:pPr>
          </w:p>
        </w:tc>
        <w:tc>
          <w:tcPr>
            <w:tcW w:w="1562"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验电</w:t>
            </w:r>
          </w:p>
        </w:tc>
        <w:tc>
          <w:tcPr>
            <w:tcW w:w="2121"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验电顺序不合规</w:t>
            </w:r>
          </w:p>
        </w:tc>
        <w:tc>
          <w:tcPr>
            <w:tcW w:w="2779" w:type="dxa"/>
            <w:gridSpan w:val="2"/>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触电</w:t>
            </w:r>
          </w:p>
        </w:tc>
        <w:tc>
          <w:tcPr>
            <w:tcW w:w="895"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LEC法</w:t>
            </w:r>
          </w:p>
        </w:tc>
        <w:tc>
          <w:tcPr>
            <w:tcW w:w="895"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0.5～6</w:t>
            </w:r>
          </w:p>
        </w:tc>
        <w:tc>
          <w:tcPr>
            <w:tcW w:w="716"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1～6</w:t>
            </w:r>
          </w:p>
        </w:tc>
        <w:tc>
          <w:tcPr>
            <w:tcW w:w="776"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3～15</w:t>
            </w:r>
          </w:p>
        </w:tc>
        <w:tc>
          <w:tcPr>
            <w:tcW w:w="101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1.5～540</w:t>
            </w:r>
          </w:p>
        </w:tc>
        <w:tc>
          <w:tcPr>
            <w:tcW w:w="895"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低～重大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683"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74</w:t>
            </w:r>
          </w:p>
        </w:tc>
        <w:tc>
          <w:tcPr>
            <w:tcW w:w="828" w:type="dxa"/>
            <w:vMerge w:val="continue"/>
            <w:tcBorders>
              <w:tl2br w:val="nil"/>
              <w:tr2bl w:val="nil"/>
            </w:tcBorders>
            <w:noWrap/>
            <w:tcMar>
              <w:top w:w="15" w:type="dxa"/>
              <w:left w:w="15" w:type="dxa"/>
              <w:right w:w="15" w:type="dxa"/>
            </w:tcMar>
            <w:vAlign w:val="center"/>
          </w:tcPr>
          <w:p>
            <w:pPr>
              <w:snapToGrid w:val="0"/>
              <w:jc w:val="center"/>
              <w:rPr>
                <w:rFonts w:cs="宋体" w:asciiTheme="minorEastAsia" w:hAnsiTheme="minorEastAsia" w:eastAsiaTheme="minorEastAsia"/>
                <w:sz w:val="18"/>
                <w:szCs w:val="18"/>
              </w:rPr>
            </w:pPr>
          </w:p>
        </w:tc>
        <w:tc>
          <w:tcPr>
            <w:tcW w:w="1157" w:type="dxa"/>
            <w:vMerge w:val="continue"/>
            <w:tcBorders>
              <w:tl2br w:val="nil"/>
              <w:tr2bl w:val="nil"/>
            </w:tcBorders>
            <w:tcMar>
              <w:top w:w="15" w:type="dxa"/>
              <w:left w:w="15" w:type="dxa"/>
              <w:right w:w="15" w:type="dxa"/>
            </w:tcMar>
            <w:vAlign w:val="center"/>
          </w:tcPr>
          <w:p>
            <w:pPr>
              <w:snapToGrid w:val="0"/>
              <w:jc w:val="center"/>
              <w:rPr>
                <w:rFonts w:cs="宋体" w:asciiTheme="minorEastAsia" w:hAnsiTheme="minorEastAsia" w:eastAsiaTheme="minorEastAsia"/>
                <w:sz w:val="18"/>
                <w:szCs w:val="18"/>
              </w:rPr>
            </w:pPr>
          </w:p>
        </w:tc>
        <w:tc>
          <w:tcPr>
            <w:tcW w:w="1562"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高电压试验</w:t>
            </w:r>
          </w:p>
        </w:tc>
        <w:tc>
          <w:tcPr>
            <w:tcW w:w="2121"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漏电</w:t>
            </w:r>
          </w:p>
        </w:tc>
        <w:tc>
          <w:tcPr>
            <w:tcW w:w="2779" w:type="dxa"/>
            <w:gridSpan w:val="2"/>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触电</w:t>
            </w:r>
          </w:p>
        </w:tc>
        <w:tc>
          <w:tcPr>
            <w:tcW w:w="895"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LEC法</w:t>
            </w:r>
          </w:p>
        </w:tc>
        <w:tc>
          <w:tcPr>
            <w:tcW w:w="895"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0.5～6</w:t>
            </w:r>
          </w:p>
        </w:tc>
        <w:tc>
          <w:tcPr>
            <w:tcW w:w="716"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1～6</w:t>
            </w:r>
          </w:p>
        </w:tc>
        <w:tc>
          <w:tcPr>
            <w:tcW w:w="776"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3～15</w:t>
            </w:r>
          </w:p>
        </w:tc>
        <w:tc>
          <w:tcPr>
            <w:tcW w:w="101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1.5～540</w:t>
            </w:r>
          </w:p>
        </w:tc>
        <w:tc>
          <w:tcPr>
            <w:tcW w:w="895"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低～重大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683"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75</w:t>
            </w:r>
          </w:p>
        </w:tc>
        <w:tc>
          <w:tcPr>
            <w:tcW w:w="828" w:type="dxa"/>
            <w:vMerge w:val="restart"/>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管理类</w:t>
            </w:r>
          </w:p>
        </w:tc>
        <w:tc>
          <w:tcPr>
            <w:tcW w:w="1157" w:type="dxa"/>
            <w:vMerge w:val="restart"/>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管理体系</w:t>
            </w:r>
          </w:p>
        </w:tc>
        <w:tc>
          <w:tcPr>
            <w:tcW w:w="1562"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机构组成与人员配备</w:t>
            </w:r>
          </w:p>
        </w:tc>
        <w:tc>
          <w:tcPr>
            <w:tcW w:w="2121"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机构不健全</w:t>
            </w:r>
          </w:p>
        </w:tc>
        <w:tc>
          <w:tcPr>
            <w:tcW w:w="2779" w:type="dxa"/>
            <w:gridSpan w:val="2"/>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影响工程运行管理</w:t>
            </w:r>
          </w:p>
        </w:tc>
        <w:tc>
          <w:tcPr>
            <w:tcW w:w="89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LS法</w:t>
            </w:r>
          </w:p>
        </w:tc>
        <w:tc>
          <w:tcPr>
            <w:tcW w:w="89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5～30</w:t>
            </w:r>
          </w:p>
        </w:tc>
        <w:tc>
          <w:tcPr>
            <w:tcW w:w="716" w:type="dxa"/>
            <w:tcBorders>
              <w:tl2br w:val="nil"/>
              <w:tr2bl w:val="nil"/>
            </w:tcBorders>
            <w:tcMar>
              <w:top w:w="15" w:type="dxa"/>
              <w:left w:w="15" w:type="dxa"/>
              <w:right w:w="15" w:type="dxa"/>
            </w:tcMar>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w:t>
            </w:r>
          </w:p>
        </w:tc>
        <w:tc>
          <w:tcPr>
            <w:tcW w:w="776"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3～15</w:t>
            </w:r>
          </w:p>
        </w:tc>
        <w:tc>
          <w:tcPr>
            <w:tcW w:w="101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15～450</w:t>
            </w:r>
          </w:p>
        </w:tc>
        <w:tc>
          <w:tcPr>
            <w:tcW w:w="89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低～重大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683"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76</w:t>
            </w:r>
          </w:p>
        </w:tc>
        <w:tc>
          <w:tcPr>
            <w:tcW w:w="828" w:type="dxa"/>
            <w:vMerge w:val="continue"/>
            <w:tcBorders>
              <w:tl2br w:val="nil"/>
              <w:tr2bl w:val="nil"/>
            </w:tcBorders>
            <w:noWrap/>
            <w:tcMar>
              <w:top w:w="15" w:type="dxa"/>
              <w:left w:w="15" w:type="dxa"/>
              <w:right w:w="15" w:type="dxa"/>
            </w:tcMar>
            <w:vAlign w:val="center"/>
          </w:tcPr>
          <w:p>
            <w:pPr>
              <w:snapToGrid w:val="0"/>
              <w:jc w:val="center"/>
              <w:rPr>
                <w:rFonts w:cs="宋体" w:asciiTheme="minorEastAsia" w:hAnsiTheme="minorEastAsia" w:eastAsiaTheme="minorEastAsia"/>
                <w:sz w:val="18"/>
                <w:szCs w:val="18"/>
              </w:rPr>
            </w:pPr>
          </w:p>
        </w:tc>
        <w:tc>
          <w:tcPr>
            <w:tcW w:w="1157" w:type="dxa"/>
            <w:vMerge w:val="continue"/>
            <w:tcBorders>
              <w:tl2br w:val="nil"/>
              <w:tr2bl w:val="nil"/>
            </w:tcBorders>
            <w:tcMar>
              <w:top w:w="15" w:type="dxa"/>
              <w:left w:w="15" w:type="dxa"/>
              <w:right w:w="15" w:type="dxa"/>
            </w:tcMar>
            <w:vAlign w:val="center"/>
          </w:tcPr>
          <w:p>
            <w:pPr>
              <w:snapToGrid w:val="0"/>
              <w:jc w:val="center"/>
              <w:rPr>
                <w:rFonts w:cs="宋体" w:asciiTheme="minorEastAsia" w:hAnsiTheme="minorEastAsia" w:eastAsiaTheme="minorEastAsia"/>
                <w:sz w:val="18"/>
                <w:szCs w:val="18"/>
              </w:rPr>
            </w:pPr>
          </w:p>
        </w:tc>
        <w:tc>
          <w:tcPr>
            <w:tcW w:w="1562"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安全管理规章制度与操作规程制定</w:t>
            </w:r>
          </w:p>
        </w:tc>
        <w:tc>
          <w:tcPr>
            <w:tcW w:w="2121"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制度不健全</w:t>
            </w:r>
          </w:p>
        </w:tc>
        <w:tc>
          <w:tcPr>
            <w:tcW w:w="2779" w:type="dxa"/>
            <w:gridSpan w:val="2"/>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影响工程运行管理</w:t>
            </w:r>
          </w:p>
        </w:tc>
        <w:tc>
          <w:tcPr>
            <w:tcW w:w="89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LS法</w:t>
            </w:r>
          </w:p>
        </w:tc>
        <w:tc>
          <w:tcPr>
            <w:tcW w:w="89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5～30</w:t>
            </w:r>
          </w:p>
        </w:tc>
        <w:tc>
          <w:tcPr>
            <w:tcW w:w="716" w:type="dxa"/>
            <w:tcBorders>
              <w:tl2br w:val="nil"/>
              <w:tr2bl w:val="nil"/>
            </w:tcBorders>
            <w:tcMar>
              <w:top w:w="15" w:type="dxa"/>
              <w:left w:w="15" w:type="dxa"/>
              <w:right w:w="15" w:type="dxa"/>
            </w:tcMar>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w:t>
            </w:r>
          </w:p>
        </w:tc>
        <w:tc>
          <w:tcPr>
            <w:tcW w:w="776"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3～15</w:t>
            </w:r>
          </w:p>
        </w:tc>
        <w:tc>
          <w:tcPr>
            <w:tcW w:w="101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15～450</w:t>
            </w:r>
          </w:p>
        </w:tc>
        <w:tc>
          <w:tcPr>
            <w:tcW w:w="89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低～重大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683"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77</w:t>
            </w:r>
          </w:p>
        </w:tc>
        <w:tc>
          <w:tcPr>
            <w:tcW w:w="828" w:type="dxa"/>
            <w:vMerge w:val="continue"/>
            <w:tcBorders>
              <w:tl2br w:val="nil"/>
              <w:tr2bl w:val="nil"/>
            </w:tcBorders>
            <w:noWrap/>
            <w:tcMar>
              <w:top w:w="15" w:type="dxa"/>
              <w:left w:w="15" w:type="dxa"/>
              <w:right w:w="15" w:type="dxa"/>
            </w:tcMar>
            <w:vAlign w:val="center"/>
          </w:tcPr>
          <w:p>
            <w:pPr>
              <w:snapToGrid w:val="0"/>
              <w:jc w:val="center"/>
              <w:rPr>
                <w:rFonts w:cs="宋体" w:asciiTheme="minorEastAsia" w:hAnsiTheme="minorEastAsia" w:eastAsiaTheme="minorEastAsia"/>
                <w:sz w:val="18"/>
                <w:szCs w:val="18"/>
              </w:rPr>
            </w:pPr>
          </w:p>
        </w:tc>
        <w:tc>
          <w:tcPr>
            <w:tcW w:w="1157" w:type="dxa"/>
            <w:vMerge w:val="continue"/>
            <w:tcBorders>
              <w:tl2br w:val="nil"/>
              <w:tr2bl w:val="nil"/>
            </w:tcBorders>
            <w:tcMar>
              <w:top w:w="15" w:type="dxa"/>
              <w:left w:w="15" w:type="dxa"/>
              <w:right w:w="15" w:type="dxa"/>
            </w:tcMar>
            <w:vAlign w:val="center"/>
          </w:tcPr>
          <w:p>
            <w:pPr>
              <w:snapToGrid w:val="0"/>
              <w:jc w:val="center"/>
              <w:rPr>
                <w:rFonts w:cs="宋体" w:asciiTheme="minorEastAsia" w:hAnsiTheme="minorEastAsia" w:eastAsiaTheme="minorEastAsia"/>
                <w:sz w:val="18"/>
                <w:szCs w:val="18"/>
              </w:rPr>
            </w:pPr>
          </w:p>
        </w:tc>
        <w:tc>
          <w:tcPr>
            <w:tcW w:w="1562"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防汛抢险物料准备</w:t>
            </w:r>
          </w:p>
        </w:tc>
        <w:tc>
          <w:tcPr>
            <w:tcW w:w="2121"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物料准备不足</w:t>
            </w:r>
          </w:p>
        </w:tc>
        <w:tc>
          <w:tcPr>
            <w:tcW w:w="2779" w:type="dxa"/>
            <w:gridSpan w:val="2"/>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影响工程防汛抢险</w:t>
            </w:r>
          </w:p>
        </w:tc>
        <w:tc>
          <w:tcPr>
            <w:tcW w:w="89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LS法</w:t>
            </w:r>
          </w:p>
        </w:tc>
        <w:tc>
          <w:tcPr>
            <w:tcW w:w="89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5～10</w:t>
            </w:r>
          </w:p>
        </w:tc>
        <w:tc>
          <w:tcPr>
            <w:tcW w:w="716" w:type="dxa"/>
            <w:tcBorders>
              <w:tl2br w:val="nil"/>
              <w:tr2bl w:val="nil"/>
            </w:tcBorders>
            <w:tcMar>
              <w:top w:w="15" w:type="dxa"/>
              <w:left w:w="15" w:type="dxa"/>
              <w:right w:w="15" w:type="dxa"/>
            </w:tcMar>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w:t>
            </w:r>
          </w:p>
        </w:tc>
        <w:tc>
          <w:tcPr>
            <w:tcW w:w="776"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3～15</w:t>
            </w:r>
          </w:p>
        </w:tc>
        <w:tc>
          <w:tcPr>
            <w:tcW w:w="101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15～150</w:t>
            </w:r>
          </w:p>
        </w:tc>
        <w:tc>
          <w:tcPr>
            <w:tcW w:w="89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低～一般</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683"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78</w:t>
            </w:r>
          </w:p>
        </w:tc>
        <w:tc>
          <w:tcPr>
            <w:tcW w:w="828" w:type="dxa"/>
            <w:vMerge w:val="continue"/>
            <w:tcBorders>
              <w:tl2br w:val="nil"/>
              <w:tr2bl w:val="nil"/>
            </w:tcBorders>
            <w:noWrap/>
            <w:tcMar>
              <w:top w:w="15" w:type="dxa"/>
              <w:left w:w="15" w:type="dxa"/>
              <w:right w:w="15" w:type="dxa"/>
            </w:tcMar>
            <w:vAlign w:val="center"/>
          </w:tcPr>
          <w:p>
            <w:pPr>
              <w:snapToGrid w:val="0"/>
              <w:jc w:val="center"/>
              <w:rPr>
                <w:rFonts w:cs="宋体" w:asciiTheme="minorEastAsia" w:hAnsiTheme="minorEastAsia" w:eastAsiaTheme="minorEastAsia"/>
                <w:sz w:val="18"/>
                <w:szCs w:val="18"/>
              </w:rPr>
            </w:pPr>
          </w:p>
        </w:tc>
        <w:tc>
          <w:tcPr>
            <w:tcW w:w="1157" w:type="dxa"/>
            <w:vMerge w:val="continue"/>
            <w:tcBorders>
              <w:tl2br w:val="nil"/>
              <w:tr2bl w:val="nil"/>
            </w:tcBorders>
            <w:tcMar>
              <w:top w:w="15" w:type="dxa"/>
              <w:left w:w="15" w:type="dxa"/>
              <w:right w:w="15" w:type="dxa"/>
            </w:tcMar>
            <w:vAlign w:val="center"/>
          </w:tcPr>
          <w:p>
            <w:pPr>
              <w:snapToGrid w:val="0"/>
              <w:jc w:val="center"/>
              <w:rPr>
                <w:rFonts w:cs="宋体" w:asciiTheme="minorEastAsia" w:hAnsiTheme="minorEastAsia" w:eastAsiaTheme="minorEastAsia"/>
                <w:sz w:val="18"/>
                <w:szCs w:val="18"/>
              </w:rPr>
            </w:pPr>
          </w:p>
        </w:tc>
        <w:tc>
          <w:tcPr>
            <w:tcW w:w="1562"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维修养护物资准备</w:t>
            </w:r>
          </w:p>
        </w:tc>
        <w:tc>
          <w:tcPr>
            <w:tcW w:w="2121"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物资准备不足</w:t>
            </w:r>
          </w:p>
        </w:tc>
        <w:tc>
          <w:tcPr>
            <w:tcW w:w="2779" w:type="dxa"/>
            <w:gridSpan w:val="2"/>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影响工程运行安全</w:t>
            </w:r>
          </w:p>
        </w:tc>
        <w:tc>
          <w:tcPr>
            <w:tcW w:w="89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LS法</w:t>
            </w:r>
          </w:p>
        </w:tc>
        <w:tc>
          <w:tcPr>
            <w:tcW w:w="89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5～10</w:t>
            </w:r>
          </w:p>
        </w:tc>
        <w:tc>
          <w:tcPr>
            <w:tcW w:w="716" w:type="dxa"/>
            <w:tcBorders>
              <w:tl2br w:val="nil"/>
              <w:tr2bl w:val="nil"/>
            </w:tcBorders>
            <w:tcMar>
              <w:top w:w="15" w:type="dxa"/>
              <w:left w:w="15" w:type="dxa"/>
              <w:right w:w="15" w:type="dxa"/>
            </w:tcMar>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w:t>
            </w:r>
          </w:p>
        </w:tc>
        <w:tc>
          <w:tcPr>
            <w:tcW w:w="776"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3～15</w:t>
            </w:r>
          </w:p>
        </w:tc>
        <w:tc>
          <w:tcPr>
            <w:tcW w:w="101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15～150</w:t>
            </w:r>
          </w:p>
        </w:tc>
        <w:tc>
          <w:tcPr>
            <w:tcW w:w="89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低～一般</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683"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79</w:t>
            </w:r>
          </w:p>
        </w:tc>
        <w:tc>
          <w:tcPr>
            <w:tcW w:w="828" w:type="dxa"/>
            <w:vMerge w:val="continue"/>
            <w:tcBorders>
              <w:tl2br w:val="nil"/>
              <w:tr2bl w:val="nil"/>
            </w:tcBorders>
            <w:noWrap/>
            <w:tcMar>
              <w:top w:w="15" w:type="dxa"/>
              <w:left w:w="15" w:type="dxa"/>
              <w:right w:w="15" w:type="dxa"/>
            </w:tcMar>
            <w:vAlign w:val="center"/>
          </w:tcPr>
          <w:p>
            <w:pPr>
              <w:snapToGrid w:val="0"/>
              <w:jc w:val="center"/>
              <w:rPr>
                <w:rFonts w:cs="宋体" w:asciiTheme="minorEastAsia" w:hAnsiTheme="minorEastAsia" w:eastAsiaTheme="minorEastAsia"/>
                <w:sz w:val="18"/>
                <w:szCs w:val="18"/>
              </w:rPr>
            </w:pPr>
          </w:p>
        </w:tc>
        <w:tc>
          <w:tcPr>
            <w:tcW w:w="1157" w:type="dxa"/>
            <w:vMerge w:val="continue"/>
            <w:tcBorders>
              <w:tl2br w:val="nil"/>
              <w:tr2bl w:val="nil"/>
            </w:tcBorders>
            <w:tcMar>
              <w:top w:w="15" w:type="dxa"/>
              <w:left w:w="15" w:type="dxa"/>
              <w:right w:w="15" w:type="dxa"/>
            </w:tcMar>
            <w:vAlign w:val="center"/>
          </w:tcPr>
          <w:p>
            <w:pPr>
              <w:snapToGrid w:val="0"/>
              <w:jc w:val="center"/>
              <w:rPr>
                <w:rFonts w:cs="宋体" w:asciiTheme="minorEastAsia" w:hAnsiTheme="minorEastAsia" w:eastAsiaTheme="minorEastAsia"/>
                <w:sz w:val="18"/>
                <w:szCs w:val="18"/>
              </w:rPr>
            </w:pPr>
          </w:p>
        </w:tc>
        <w:tc>
          <w:tcPr>
            <w:tcW w:w="1562"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人员基本支出和工程维修养护经费落实</w:t>
            </w:r>
          </w:p>
        </w:tc>
        <w:tc>
          <w:tcPr>
            <w:tcW w:w="2121"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经费未落实</w:t>
            </w:r>
          </w:p>
        </w:tc>
        <w:tc>
          <w:tcPr>
            <w:tcW w:w="2779" w:type="dxa"/>
            <w:gridSpan w:val="2"/>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影响工程运行管理</w:t>
            </w:r>
          </w:p>
        </w:tc>
        <w:tc>
          <w:tcPr>
            <w:tcW w:w="89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LS法</w:t>
            </w:r>
          </w:p>
        </w:tc>
        <w:tc>
          <w:tcPr>
            <w:tcW w:w="89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5～30</w:t>
            </w:r>
          </w:p>
        </w:tc>
        <w:tc>
          <w:tcPr>
            <w:tcW w:w="716" w:type="dxa"/>
            <w:tcBorders>
              <w:tl2br w:val="nil"/>
              <w:tr2bl w:val="nil"/>
            </w:tcBorders>
            <w:tcMar>
              <w:top w:w="15" w:type="dxa"/>
              <w:left w:w="15" w:type="dxa"/>
              <w:right w:w="15" w:type="dxa"/>
            </w:tcMar>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w:t>
            </w:r>
          </w:p>
        </w:tc>
        <w:tc>
          <w:tcPr>
            <w:tcW w:w="776"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3～15</w:t>
            </w:r>
          </w:p>
        </w:tc>
        <w:tc>
          <w:tcPr>
            <w:tcW w:w="101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15～450</w:t>
            </w:r>
          </w:p>
        </w:tc>
        <w:tc>
          <w:tcPr>
            <w:tcW w:w="89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低～重大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683"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80</w:t>
            </w:r>
          </w:p>
        </w:tc>
        <w:tc>
          <w:tcPr>
            <w:tcW w:w="828" w:type="dxa"/>
            <w:vMerge w:val="continue"/>
            <w:tcBorders>
              <w:tl2br w:val="nil"/>
              <w:tr2bl w:val="nil"/>
            </w:tcBorders>
            <w:noWrap/>
            <w:tcMar>
              <w:top w:w="15" w:type="dxa"/>
              <w:left w:w="15" w:type="dxa"/>
              <w:right w:w="15" w:type="dxa"/>
            </w:tcMar>
            <w:vAlign w:val="center"/>
          </w:tcPr>
          <w:p>
            <w:pPr>
              <w:snapToGrid w:val="0"/>
              <w:jc w:val="center"/>
              <w:rPr>
                <w:rFonts w:cs="宋体" w:asciiTheme="minorEastAsia" w:hAnsiTheme="minorEastAsia" w:eastAsiaTheme="minorEastAsia"/>
                <w:sz w:val="18"/>
                <w:szCs w:val="18"/>
              </w:rPr>
            </w:pPr>
          </w:p>
        </w:tc>
        <w:tc>
          <w:tcPr>
            <w:tcW w:w="1157" w:type="dxa"/>
            <w:vMerge w:val="continue"/>
            <w:tcBorders>
              <w:tl2br w:val="nil"/>
              <w:tr2bl w:val="nil"/>
            </w:tcBorders>
            <w:tcMar>
              <w:top w:w="15" w:type="dxa"/>
              <w:left w:w="15" w:type="dxa"/>
              <w:right w:w="15" w:type="dxa"/>
            </w:tcMar>
            <w:vAlign w:val="center"/>
          </w:tcPr>
          <w:p>
            <w:pPr>
              <w:snapToGrid w:val="0"/>
              <w:jc w:val="center"/>
              <w:rPr>
                <w:rFonts w:cs="宋体" w:asciiTheme="minorEastAsia" w:hAnsiTheme="minorEastAsia" w:eastAsiaTheme="minorEastAsia"/>
                <w:sz w:val="18"/>
                <w:szCs w:val="18"/>
              </w:rPr>
            </w:pPr>
          </w:p>
        </w:tc>
        <w:tc>
          <w:tcPr>
            <w:tcW w:w="1562"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管理、作业人员教育培训</w:t>
            </w:r>
          </w:p>
        </w:tc>
        <w:tc>
          <w:tcPr>
            <w:tcW w:w="2121"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培训不到位</w:t>
            </w:r>
          </w:p>
        </w:tc>
        <w:tc>
          <w:tcPr>
            <w:tcW w:w="2779" w:type="dxa"/>
            <w:gridSpan w:val="2"/>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影响工程运行安全、人员作业安全</w:t>
            </w:r>
          </w:p>
        </w:tc>
        <w:tc>
          <w:tcPr>
            <w:tcW w:w="89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LS法</w:t>
            </w:r>
          </w:p>
        </w:tc>
        <w:tc>
          <w:tcPr>
            <w:tcW w:w="89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5～30</w:t>
            </w:r>
          </w:p>
        </w:tc>
        <w:tc>
          <w:tcPr>
            <w:tcW w:w="716" w:type="dxa"/>
            <w:tcBorders>
              <w:tl2br w:val="nil"/>
              <w:tr2bl w:val="nil"/>
            </w:tcBorders>
            <w:tcMar>
              <w:top w:w="15" w:type="dxa"/>
              <w:left w:w="15" w:type="dxa"/>
              <w:right w:w="15" w:type="dxa"/>
            </w:tcMar>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w:t>
            </w:r>
          </w:p>
        </w:tc>
        <w:tc>
          <w:tcPr>
            <w:tcW w:w="776"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3～15</w:t>
            </w:r>
          </w:p>
        </w:tc>
        <w:tc>
          <w:tcPr>
            <w:tcW w:w="101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15～450</w:t>
            </w:r>
          </w:p>
        </w:tc>
        <w:tc>
          <w:tcPr>
            <w:tcW w:w="89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低～重大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683"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81</w:t>
            </w:r>
          </w:p>
        </w:tc>
        <w:tc>
          <w:tcPr>
            <w:tcW w:w="828" w:type="dxa"/>
            <w:vMerge w:val="restart"/>
            <w:tcBorders>
              <w:tl2br w:val="nil"/>
              <w:tr2bl w:val="nil"/>
            </w:tcBorders>
            <w:noWrap/>
            <w:tcMar>
              <w:top w:w="15" w:type="dxa"/>
              <w:left w:w="15" w:type="dxa"/>
              <w:right w:w="15" w:type="dxa"/>
            </w:tcMar>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管理类</w:t>
            </w:r>
          </w:p>
        </w:tc>
        <w:tc>
          <w:tcPr>
            <w:tcW w:w="1157" w:type="dxa"/>
            <w:vMerge w:val="restart"/>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运行管理</w:t>
            </w:r>
          </w:p>
        </w:tc>
        <w:tc>
          <w:tcPr>
            <w:tcW w:w="1562"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观测与监测</w:t>
            </w:r>
          </w:p>
        </w:tc>
        <w:tc>
          <w:tcPr>
            <w:tcW w:w="2121"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未按规定开展</w:t>
            </w:r>
          </w:p>
        </w:tc>
        <w:tc>
          <w:tcPr>
            <w:tcW w:w="2779" w:type="dxa"/>
            <w:gridSpan w:val="2"/>
            <w:vMerge w:val="restart"/>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设备设施严重损（破）坏</w:t>
            </w:r>
          </w:p>
        </w:tc>
        <w:tc>
          <w:tcPr>
            <w:tcW w:w="89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LS法</w:t>
            </w:r>
          </w:p>
        </w:tc>
        <w:tc>
          <w:tcPr>
            <w:tcW w:w="89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5～30</w:t>
            </w:r>
          </w:p>
        </w:tc>
        <w:tc>
          <w:tcPr>
            <w:tcW w:w="716" w:type="dxa"/>
            <w:tcBorders>
              <w:tl2br w:val="nil"/>
              <w:tr2bl w:val="nil"/>
            </w:tcBorders>
            <w:tcMar>
              <w:top w:w="15" w:type="dxa"/>
              <w:left w:w="15" w:type="dxa"/>
              <w:right w:w="15" w:type="dxa"/>
            </w:tcMar>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w:t>
            </w:r>
          </w:p>
        </w:tc>
        <w:tc>
          <w:tcPr>
            <w:tcW w:w="776"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3～15</w:t>
            </w:r>
          </w:p>
        </w:tc>
        <w:tc>
          <w:tcPr>
            <w:tcW w:w="101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15～450</w:t>
            </w:r>
          </w:p>
        </w:tc>
        <w:tc>
          <w:tcPr>
            <w:tcW w:w="89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低～重大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683"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82</w:t>
            </w:r>
          </w:p>
        </w:tc>
        <w:tc>
          <w:tcPr>
            <w:tcW w:w="828" w:type="dxa"/>
            <w:vMerge w:val="continue"/>
            <w:tcBorders>
              <w:tl2br w:val="nil"/>
              <w:tr2bl w:val="nil"/>
            </w:tcBorders>
            <w:noWrap/>
            <w:tcMar>
              <w:top w:w="15" w:type="dxa"/>
              <w:left w:w="15" w:type="dxa"/>
              <w:right w:w="15" w:type="dxa"/>
            </w:tcMar>
            <w:vAlign w:val="center"/>
          </w:tcPr>
          <w:p>
            <w:pPr>
              <w:snapToGrid w:val="0"/>
              <w:jc w:val="center"/>
              <w:rPr>
                <w:rFonts w:cs="宋体" w:asciiTheme="minorEastAsia" w:hAnsiTheme="minorEastAsia" w:eastAsiaTheme="minorEastAsia"/>
                <w:sz w:val="18"/>
                <w:szCs w:val="18"/>
              </w:rPr>
            </w:pPr>
          </w:p>
        </w:tc>
        <w:tc>
          <w:tcPr>
            <w:tcW w:w="1157" w:type="dxa"/>
            <w:vMerge w:val="continue"/>
            <w:tcBorders>
              <w:tl2br w:val="nil"/>
              <w:tr2bl w:val="nil"/>
            </w:tcBorders>
            <w:tcMar>
              <w:top w:w="15" w:type="dxa"/>
              <w:left w:w="15" w:type="dxa"/>
              <w:right w:w="15" w:type="dxa"/>
            </w:tcMar>
            <w:vAlign w:val="center"/>
          </w:tcPr>
          <w:p>
            <w:pPr>
              <w:snapToGrid w:val="0"/>
              <w:jc w:val="center"/>
              <w:rPr>
                <w:rFonts w:cs="宋体" w:asciiTheme="minorEastAsia" w:hAnsiTheme="minorEastAsia" w:eastAsiaTheme="minorEastAsia"/>
                <w:sz w:val="18"/>
                <w:szCs w:val="18"/>
              </w:rPr>
            </w:pPr>
          </w:p>
        </w:tc>
        <w:tc>
          <w:tcPr>
            <w:tcW w:w="1562"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安全检查制度执行</w:t>
            </w:r>
          </w:p>
        </w:tc>
        <w:tc>
          <w:tcPr>
            <w:tcW w:w="2121"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未按规定开展或检查不到位</w:t>
            </w:r>
          </w:p>
        </w:tc>
        <w:tc>
          <w:tcPr>
            <w:tcW w:w="2779" w:type="dxa"/>
            <w:gridSpan w:val="2"/>
            <w:vMerge w:val="continue"/>
            <w:tcBorders>
              <w:tl2br w:val="nil"/>
              <w:tr2bl w:val="nil"/>
            </w:tcBorders>
            <w:tcMar>
              <w:top w:w="15" w:type="dxa"/>
              <w:left w:w="15" w:type="dxa"/>
              <w:right w:w="15" w:type="dxa"/>
            </w:tcMar>
            <w:vAlign w:val="center"/>
          </w:tcPr>
          <w:p>
            <w:pPr>
              <w:snapToGrid w:val="0"/>
              <w:jc w:val="center"/>
              <w:rPr>
                <w:rFonts w:cs="宋体" w:asciiTheme="minorEastAsia" w:hAnsiTheme="minorEastAsia" w:eastAsiaTheme="minorEastAsia"/>
                <w:sz w:val="18"/>
                <w:szCs w:val="18"/>
              </w:rPr>
            </w:pPr>
          </w:p>
        </w:tc>
        <w:tc>
          <w:tcPr>
            <w:tcW w:w="89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LS法</w:t>
            </w:r>
          </w:p>
        </w:tc>
        <w:tc>
          <w:tcPr>
            <w:tcW w:w="89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5～10</w:t>
            </w:r>
          </w:p>
        </w:tc>
        <w:tc>
          <w:tcPr>
            <w:tcW w:w="716" w:type="dxa"/>
            <w:tcBorders>
              <w:tl2br w:val="nil"/>
              <w:tr2bl w:val="nil"/>
            </w:tcBorders>
            <w:tcMar>
              <w:top w:w="15" w:type="dxa"/>
              <w:left w:w="15" w:type="dxa"/>
              <w:right w:w="15" w:type="dxa"/>
            </w:tcMar>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w:t>
            </w:r>
          </w:p>
        </w:tc>
        <w:tc>
          <w:tcPr>
            <w:tcW w:w="776"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3～15</w:t>
            </w:r>
          </w:p>
        </w:tc>
        <w:tc>
          <w:tcPr>
            <w:tcW w:w="101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15～150</w:t>
            </w:r>
          </w:p>
        </w:tc>
        <w:tc>
          <w:tcPr>
            <w:tcW w:w="89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低～一般</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683"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83</w:t>
            </w:r>
          </w:p>
        </w:tc>
        <w:tc>
          <w:tcPr>
            <w:tcW w:w="828" w:type="dxa"/>
            <w:vMerge w:val="continue"/>
            <w:tcBorders>
              <w:tl2br w:val="nil"/>
              <w:tr2bl w:val="nil"/>
            </w:tcBorders>
            <w:noWrap/>
            <w:tcMar>
              <w:top w:w="15" w:type="dxa"/>
              <w:left w:w="15" w:type="dxa"/>
              <w:right w:w="15" w:type="dxa"/>
            </w:tcMar>
            <w:vAlign w:val="center"/>
          </w:tcPr>
          <w:p>
            <w:pPr>
              <w:snapToGrid w:val="0"/>
              <w:jc w:val="center"/>
              <w:rPr>
                <w:rFonts w:cs="宋体" w:asciiTheme="minorEastAsia" w:hAnsiTheme="minorEastAsia" w:eastAsiaTheme="minorEastAsia"/>
                <w:sz w:val="18"/>
                <w:szCs w:val="18"/>
              </w:rPr>
            </w:pPr>
          </w:p>
        </w:tc>
        <w:tc>
          <w:tcPr>
            <w:tcW w:w="1157" w:type="dxa"/>
            <w:vMerge w:val="continue"/>
            <w:tcBorders>
              <w:tl2br w:val="nil"/>
              <w:tr2bl w:val="nil"/>
            </w:tcBorders>
            <w:tcMar>
              <w:top w:w="15" w:type="dxa"/>
              <w:left w:w="15" w:type="dxa"/>
              <w:right w:w="15" w:type="dxa"/>
            </w:tcMar>
            <w:vAlign w:val="center"/>
          </w:tcPr>
          <w:p>
            <w:pPr>
              <w:snapToGrid w:val="0"/>
              <w:jc w:val="center"/>
              <w:rPr>
                <w:rFonts w:cs="宋体" w:asciiTheme="minorEastAsia" w:hAnsiTheme="minorEastAsia" w:eastAsiaTheme="minorEastAsia"/>
                <w:sz w:val="18"/>
                <w:szCs w:val="18"/>
              </w:rPr>
            </w:pPr>
          </w:p>
        </w:tc>
        <w:tc>
          <w:tcPr>
            <w:tcW w:w="1562"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外部人员的活动</w:t>
            </w:r>
          </w:p>
        </w:tc>
        <w:tc>
          <w:tcPr>
            <w:tcW w:w="2121"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活动未经许可</w:t>
            </w:r>
          </w:p>
        </w:tc>
        <w:tc>
          <w:tcPr>
            <w:tcW w:w="2779" w:type="dxa"/>
            <w:gridSpan w:val="2"/>
            <w:vMerge w:val="continue"/>
            <w:tcBorders>
              <w:tl2br w:val="nil"/>
              <w:tr2bl w:val="nil"/>
            </w:tcBorders>
            <w:tcMar>
              <w:top w:w="15" w:type="dxa"/>
              <w:left w:w="15" w:type="dxa"/>
              <w:right w:w="15" w:type="dxa"/>
            </w:tcMar>
            <w:vAlign w:val="center"/>
          </w:tcPr>
          <w:p>
            <w:pPr>
              <w:snapToGrid w:val="0"/>
              <w:jc w:val="center"/>
              <w:rPr>
                <w:rFonts w:cs="宋体" w:asciiTheme="minorEastAsia" w:hAnsiTheme="minorEastAsia" w:eastAsiaTheme="minorEastAsia"/>
                <w:sz w:val="18"/>
                <w:szCs w:val="18"/>
              </w:rPr>
            </w:pPr>
          </w:p>
        </w:tc>
        <w:tc>
          <w:tcPr>
            <w:tcW w:w="89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LS法</w:t>
            </w:r>
          </w:p>
        </w:tc>
        <w:tc>
          <w:tcPr>
            <w:tcW w:w="89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5～30</w:t>
            </w:r>
          </w:p>
        </w:tc>
        <w:tc>
          <w:tcPr>
            <w:tcW w:w="716" w:type="dxa"/>
            <w:tcBorders>
              <w:tl2br w:val="nil"/>
              <w:tr2bl w:val="nil"/>
            </w:tcBorders>
            <w:tcMar>
              <w:top w:w="15" w:type="dxa"/>
              <w:left w:w="15" w:type="dxa"/>
              <w:right w:w="15" w:type="dxa"/>
            </w:tcMar>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w:t>
            </w:r>
          </w:p>
        </w:tc>
        <w:tc>
          <w:tcPr>
            <w:tcW w:w="776"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3～15</w:t>
            </w:r>
          </w:p>
        </w:tc>
        <w:tc>
          <w:tcPr>
            <w:tcW w:w="101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15～450</w:t>
            </w:r>
          </w:p>
        </w:tc>
        <w:tc>
          <w:tcPr>
            <w:tcW w:w="89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低～重大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683"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84</w:t>
            </w:r>
          </w:p>
        </w:tc>
        <w:tc>
          <w:tcPr>
            <w:tcW w:w="828" w:type="dxa"/>
            <w:vMerge w:val="continue"/>
            <w:tcBorders>
              <w:tl2br w:val="nil"/>
              <w:tr2bl w:val="nil"/>
            </w:tcBorders>
            <w:noWrap/>
            <w:tcMar>
              <w:top w:w="15" w:type="dxa"/>
              <w:left w:w="15" w:type="dxa"/>
              <w:right w:w="15" w:type="dxa"/>
            </w:tcMar>
            <w:vAlign w:val="center"/>
          </w:tcPr>
          <w:p>
            <w:pPr>
              <w:snapToGrid w:val="0"/>
              <w:jc w:val="center"/>
              <w:rPr>
                <w:rFonts w:cs="宋体" w:asciiTheme="minorEastAsia" w:hAnsiTheme="minorEastAsia" w:eastAsiaTheme="minorEastAsia"/>
                <w:sz w:val="18"/>
                <w:szCs w:val="18"/>
              </w:rPr>
            </w:pPr>
          </w:p>
        </w:tc>
        <w:tc>
          <w:tcPr>
            <w:tcW w:w="1157" w:type="dxa"/>
            <w:vMerge w:val="continue"/>
            <w:tcBorders>
              <w:tl2br w:val="nil"/>
              <w:tr2bl w:val="nil"/>
            </w:tcBorders>
            <w:tcMar>
              <w:top w:w="15" w:type="dxa"/>
              <w:left w:w="15" w:type="dxa"/>
              <w:right w:w="15" w:type="dxa"/>
            </w:tcMar>
            <w:vAlign w:val="center"/>
          </w:tcPr>
          <w:p>
            <w:pPr>
              <w:snapToGrid w:val="0"/>
              <w:jc w:val="center"/>
              <w:rPr>
                <w:rFonts w:cs="宋体" w:asciiTheme="minorEastAsia" w:hAnsiTheme="minorEastAsia" w:eastAsiaTheme="minorEastAsia"/>
                <w:sz w:val="18"/>
                <w:szCs w:val="18"/>
              </w:rPr>
            </w:pPr>
          </w:p>
        </w:tc>
        <w:tc>
          <w:tcPr>
            <w:tcW w:w="1562"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泄洪、放水或冲沙等</w:t>
            </w:r>
          </w:p>
        </w:tc>
        <w:tc>
          <w:tcPr>
            <w:tcW w:w="2121"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警示、预警工作不到位</w:t>
            </w:r>
          </w:p>
        </w:tc>
        <w:tc>
          <w:tcPr>
            <w:tcW w:w="2779" w:type="dxa"/>
            <w:gridSpan w:val="2"/>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影响公共安全</w:t>
            </w:r>
          </w:p>
        </w:tc>
        <w:tc>
          <w:tcPr>
            <w:tcW w:w="89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LS法</w:t>
            </w:r>
          </w:p>
        </w:tc>
        <w:tc>
          <w:tcPr>
            <w:tcW w:w="89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5～30</w:t>
            </w:r>
          </w:p>
        </w:tc>
        <w:tc>
          <w:tcPr>
            <w:tcW w:w="716" w:type="dxa"/>
            <w:tcBorders>
              <w:tl2br w:val="nil"/>
              <w:tr2bl w:val="nil"/>
            </w:tcBorders>
            <w:tcMar>
              <w:top w:w="15" w:type="dxa"/>
              <w:left w:w="15" w:type="dxa"/>
              <w:right w:w="15" w:type="dxa"/>
            </w:tcMar>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w:t>
            </w:r>
          </w:p>
        </w:tc>
        <w:tc>
          <w:tcPr>
            <w:tcW w:w="776"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3～15</w:t>
            </w:r>
          </w:p>
        </w:tc>
        <w:tc>
          <w:tcPr>
            <w:tcW w:w="101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15～450</w:t>
            </w:r>
          </w:p>
        </w:tc>
        <w:tc>
          <w:tcPr>
            <w:tcW w:w="89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低～重大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683"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85</w:t>
            </w:r>
          </w:p>
        </w:tc>
        <w:tc>
          <w:tcPr>
            <w:tcW w:w="828" w:type="dxa"/>
            <w:vMerge w:val="continue"/>
            <w:tcBorders>
              <w:tl2br w:val="nil"/>
              <w:tr2bl w:val="nil"/>
            </w:tcBorders>
            <w:noWrap/>
            <w:tcMar>
              <w:top w:w="15" w:type="dxa"/>
              <w:left w:w="15" w:type="dxa"/>
              <w:right w:w="15" w:type="dxa"/>
            </w:tcMar>
            <w:vAlign w:val="center"/>
          </w:tcPr>
          <w:p>
            <w:pPr>
              <w:snapToGrid w:val="0"/>
              <w:jc w:val="center"/>
              <w:rPr>
                <w:rFonts w:cs="宋体" w:asciiTheme="minorEastAsia" w:hAnsiTheme="minorEastAsia" w:eastAsiaTheme="minorEastAsia"/>
                <w:sz w:val="18"/>
                <w:szCs w:val="18"/>
              </w:rPr>
            </w:pPr>
          </w:p>
        </w:tc>
        <w:tc>
          <w:tcPr>
            <w:tcW w:w="1157" w:type="dxa"/>
            <w:vMerge w:val="continue"/>
            <w:tcBorders>
              <w:tl2br w:val="nil"/>
              <w:tr2bl w:val="nil"/>
            </w:tcBorders>
            <w:tcMar>
              <w:top w:w="15" w:type="dxa"/>
              <w:left w:w="15" w:type="dxa"/>
              <w:right w:w="15" w:type="dxa"/>
            </w:tcMar>
            <w:vAlign w:val="center"/>
          </w:tcPr>
          <w:p>
            <w:pPr>
              <w:snapToGrid w:val="0"/>
              <w:jc w:val="center"/>
              <w:rPr>
                <w:rFonts w:cs="宋体" w:asciiTheme="minorEastAsia" w:hAnsiTheme="minorEastAsia" w:eastAsiaTheme="minorEastAsia"/>
                <w:sz w:val="18"/>
                <w:szCs w:val="18"/>
              </w:rPr>
            </w:pPr>
          </w:p>
        </w:tc>
        <w:tc>
          <w:tcPr>
            <w:tcW w:w="1562"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管理和保护范围划定</w:t>
            </w:r>
          </w:p>
        </w:tc>
        <w:tc>
          <w:tcPr>
            <w:tcW w:w="2121"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范围不明确</w:t>
            </w:r>
          </w:p>
        </w:tc>
        <w:tc>
          <w:tcPr>
            <w:tcW w:w="2779" w:type="dxa"/>
            <w:gridSpan w:val="2"/>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影响工程运行管理</w:t>
            </w:r>
          </w:p>
        </w:tc>
        <w:tc>
          <w:tcPr>
            <w:tcW w:w="895"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LS法</w:t>
            </w:r>
          </w:p>
        </w:tc>
        <w:tc>
          <w:tcPr>
            <w:tcW w:w="89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5～30</w:t>
            </w:r>
          </w:p>
        </w:tc>
        <w:tc>
          <w:tcPr>
            <w:tcW w:w="716" w:type="dxa"/>
            <w:tcBorders>
              <w:tl2br w:val="nil"/>
              <w:tr2bl w:val="nil"/>
            </w:tcBorders>
            <w:tcMar>
              <w:top w:w="15" w:type="dxa"/>
              <w:left w:w="15" w:type="dxa"/>
              <w:right w:w="15" w:type="dxa"/>
            </w:tcMar>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w:t>
            </w:r>
          </w:p>
        </w:tc>
        <w:tc>
          <w:tcPr>
            <w:tcW w:w="776"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3～15</w:t>
            </w:r>
          </w:p>
        </w:tc>
        <w:tc>
          <w:tcPr>
            <w:tcW w:w="101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15～450</w:t>
            </w:r>
          </w:p>
        </w:tc>
        <w:tc>
          <w:tcPr>
            <w:tcW w:w="89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低～重大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683"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86</w:t>
            </w:r>
          </w:p>
        </w:tc>
        <w:tc>
          <w:tcPr>
            <w:tcW w:w="828" w:type="dxa"/>
            <w:vMerge w:val="continue"/>
            <w:tcBorders>
              <w:tl2br w:val="nil"/>
              <w:tr2bl w:val="nil"/>
            </w:tcBorders>
            <w:noWrap/>
            <w:tcMar>
              <w:top w:w="15" w:type="dxa"/>
              <w:left w:w="15" w:type="dxa"/>
              <w:right w:w="15" w:type="dxa"/>
            </w:tcMar>
            <w:vAlign w:val="center"/>
          </w:tcPr>
          <w:p>
            <w:pPr>
              <w:snapToGrid w:val="0"/>
              <w:jc w:val="center"/>
              <w:rPr>
                <w:rFonts w:cs="宋体" w:asciiTheme="minorEastAsia" w:hAnsiTheme="minorEastAsia" w:eastAsiaTheme="minorEastAsia"/>
                <w:sz w:val="18"/>
                <w:szCs w:val="18"/>
              </w:rPr>
            </w:pPr>
          </w:p>
        </w:tc>
        <w:tc>
          <w:tcPr>
            <w:tcW w:w="1157" w:type="dxa"/>
            <w:vMerge w:val="continue"/>
            <w:tcBorders>
              <w:tl2br w:val="nil"/>
              <w:tr2bl w:val="nil"/>
            </w:tcBorders>
            <w:tcMar>
              <w:top w:w="15" w:type="dxa"/>
              <w:left w:w="15" w:type="dxa"/>
              <w:right w:w="15" w:type="dxa"/>
            </w:tcMar>
            <w:vAlign w:val="center"/>
          </w:tcPr>
          <w:p>
            <w:pPr>
              <w:snapToGrid w:val="0"/>
              <w:jc w:val="center"/>
              <w:rPr>
                <w:rFonts w:cs="宋体" w:asciiTheme="minorEastAsia" w:hAnsiTheme="minorEastAsia" w:eastAsiaTheme="minorEastAsia"/>
                <w:sz w:val="18"/>
                <w:szCs w:val="18"/>
              </w:rPr>
            </w:pPr>
          </w:p>
        </w:tc>
        <w:tc>
          <w:tcPr>
            <w:tcW w:w="1562"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应急预案编制、报批、演练</w:t>
            </w:r>
          </w:p>
        </w:tc>
        <w:tc>
          <w:tcPr>
            <w:tcW w:w="2121"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未编制、报批或演练</w:t>
            </w:r>
          </w:p>
        </w:tc>
        <w:tc>
          <w:tcPr>
            <w:tcW w:w="2779" w:type="dxa"/>
            <w:gridSpan w:val="2"/>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影响工程防汛抢险</w:t>
            </w:r>
          </w:p>
        </w:tc>
        <w:tc>
          <w:tcPr>
            <w:tcW w:w="895"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LS法</w:t>
            </w:r>
          </w:p>
        </w:tc>
        <w:tc>
          <w:tcPr>
            <w:tcW w:w="895"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5～30</w:t>
            </w:r>
          </w:p>
        </w:tc>
        <w:tc>
          <w:tcPr>
            <w:tcW w:w="716" w:type="dxa"/>
            <w:tcBorders>
              <w:tl2br w:val="nil"/>
              <w:tr2bl w:val="nil"/>
            </w:tcBorders>
            <w:tcMar>
              <w:top w:w="15" w:type="dxa"/>
              <w:left w:w="15" w:type="dxa"/>
              <w:right w:w="15" w:type="dxa"/>
            </w:tcMar>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w:t>
            </w:r>
          </w:p>
        </w:tc>
        <w:tc>
          <w:tcPr>
            <w:tcW w:w="776"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3～15</w:t>
            </w:r>
          </w:p>
        </w:tc>
        <w:tc>
          <w:tcPr>
            <w:tcW w:w="101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15～450</w:t>
            </w:r>
          </w:p>
        </w:tc>
        <w:tc>
          <w:tcPr>
            <w:tcW w:w="89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低～重大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683"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87</w:t>
            </w:r>
          </w:p>
        </w:tc>
        <w:tc>
          <w:tcPr>
            <w:tcW w:w="828" w:type="dxa"/>
            <w:vMerge w:val="continue"/>
            <w:tcBorders>
              <w:tl2br w:val="nil"/>
              <w:tr2bl w:val="nil"/>
            </w:tcBorders>
            <w:noWrap/>
            <w:tcMar>
              <w:top w:w="15" w:type="dxa"/>
              <w:left w:w="15" w:type="dxa"/>
              <w:right w:w="15" w:type="dxa"/>
            </w:tcMar>
            <w:vAlign w:val="center"/>
          </w:tcPr>
          <w:p>
            <w:pPr>
              <w:snapToGrid w:val="0"/>
              <w:jc w:val="center"/>
              <w:rPr>
                <w:rFonts w:cs="宋体" w:asciiTheme="minorEastAsia" w:hAnsiTheme="minorEastAsia" w:eastAsiaTheme="minorEastAsia"/>
                <w:sz w:val="18"/>
                <w:szCs w:val="18"/>
              </w:rPr>
            </w:pPr>
          </w:p>
        </w:tc>
        <w:tc>
          <w:tcPr>
            <w:tcW w:w="1157" w:type="dxa"/>
            <w:vMerge w:val="continue"/>
            <w:tcBorders>
              <w:tl2br w:val="nil"/>
              <w:tr2bl w:val="nil"/>
            </w:tcBorders>
            <w:tcMar>
              <w:top w:w="15" w:type="dxa"/>
              <w:left w:w="15" w:type="dxa"/>
              <w:right w:w="15" w:type="dxa"/>
            </w:tcMar>
            <w:vAlign w:val="center"/>
          </w:tcPr>
          <w:p>
            <w:pPr>
              <w:snapToGrid w:val="0"/>
              <w:jc w:val="center"/>
              <w:rPr>
                <w:rFonts w:cs="宋体" w:asciiTheme="minorEastAsia" w:hAnsiTheme="minorEastAsia" w:eastAsiaTheme="minorEastAsia"/>
                <w:sz w:val="18"/>
                <w:szCs w:val="18"/>
              </w:rPr>
            </w:pPr>
          </w:p>
        </w:tc>
        <w:tc>
          <w:tcPr>
            <w:tcW w:w="1562"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调度规程编制</w:t>
            </w:r>
          </w:p>
        </w:tc>
        <w:tc>
          <w:tcPr>
            <w:tcW w:w="2121"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未编制、报批</w:t>
            </w:r>
          </w:p>
        </w:tc>
        <w:tc>
          <w:tcPr>
            <w:tcW w:w="2779" w:type="dxa"/>
            <w:gridSpan w:val="2"/>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影响工程调度</w:t>
            </w:r>
          </w:p>
        </w:tc>
        <w:tc>
          <w:tcPr>
            <w:tcW w:w="895"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LS法</w:t>
            </w:r>
          </w:p>
        </w:tc>
        <w:tc>
          <w:tcPr>
            <w:tcW w:w="895"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5～30</w:t>
            </w:r>
          </w:p>
        </w:tc>
        <w:tc>
          <w:tcPr>
            <w:tcW w:w="716" w:type="dxa"/>
            <w:tcBorders>
              <w:tl2br w:val="nil"/>
              <w:tr2bl w:val="nil"/>
            </w:tcBorders>
            <w:tcMar>
              <w:top w:w="15" w:type="dxa"/>
              <w:left w:w="15" w:type="dxa"/>
              <w:right w:w="15" w:type="dxa"/>
            </w:tcMar>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w:t>
            </w:r>
          </w:p>
        </w:tc>
        <w:tc>
          <w:tcPr>
            <w:tcW w:w="776"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3～15</w:t>
            </w:r>
          </w:p>
        </w:tc>
        <w:tc>
          <w:tcPr>
            <w:tcW w:w="101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15～450</w:t>
            </w:r>
          </w:p>
        </w:tc>
        <w:tc>
          <w:tcPr>
            <w:tcW w:w="89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低～重大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683"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88</w:t>
            </w:r>
          </w:p>
        </w:tc>
        <w:tc>
          <w:tcPr>
            <w:tcW w:w="828" w:type="dxa"/>
            <w:vMerge w:val="continue"/>
            <w:tcBorders>
              <w:tl2br w:val="nil"/>
              <w:tr2bl w:val="nil"/>
            </w:tcBorders>
            <w:noWrap/>
            <w:tcMar>
              <w:top w:w="15" w:type="dxa"/>
              <w:left w:w="15" w:type="dxa"/>
              <w:right w:w="15" w:type="dxa"/>
            </w:tcMar>
            <w:vAlign w:val="center"/>
          </w:tcPr>
          <w:p>
            <w:pPr>
              <w:snapToGrid w:val="0"/>
              <w:jc w:val="center"/>
              <w:rPr>
                <w:rFonts w:cs="宋体" w:asciiTheme="minorEastAsia" w:hAnsiTheme="minorEastAsia" w:eastAsiaTheme="minorEastAsia"/>
                <w:sz w:val="18"/>
                <w:szCs w:val="18"/>
              </w:rPr>
            </w:pPr>
          </w:p>
        </w:tc>
        <w:tc>
          <w:tcPr>
            <w:tcW w:w="1157" w:type="dxa"/>
            <w:vMerge w:val="continue"/>
            <w:tcBorders>
              <w:tl2br w:val="nil"/>
              <w:tr2bl w:val="nil"/>
            </w:tcBorders>
            <w:tcMar>
              <w:top w:w="15" w:type="dxa"/>
              <w:left w:w="15" w:type="dxa"/>
              <w:right w:w="15" w:type="dxa"/>
            </w:tcMar>
            <w:vAlign w:val="center"/>
          </w:tcPr>
          <w:p>
            <w:pPr>
              <w:snapToGrid w:val="0"/>
              <w:jc w:val="center"/>
              <w:rPr>
                <w:rFonts w:cs="宋体" w:asciiTheme="minorEastAsia" w:hAnsiTheme="minorEastAsia" w:eastAsiaTheme="minorEastAsia"/>
                <w:sz w:val="18"/>
                <w:szCs w:val="18"/>
              </w:rPr>
            </w:pPr>
          </w:p>
        </w:tc>
        <w:tc>
          <w:tcPr>
            <w:tcW w:w="1562"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维修养护计划制定</w:t>
            </w:r>
          </w:p>
        </w:tc>
        <w:tc>
          <w:tcPr>
            <w:tcW w:w="2121"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未制定</w:t>
            </w:r>
          </w:p>
        </w:tc>
        <w:tc>
          <w:tcPr>
            <w:tcW w:w="2779" w:type="dxa"/>
            <w:gridSpan w:val="2"/>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不能及时消除工程隐患</w:t>
            </w:r>
          </w:p>
        </w:tc>
        <w:tc>
          <w:tcPr>
            <w:tcW w:w="895"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LS法</w:t>
            </w:r>
          </w:p>
        </w:tc>
        <w:tc>
          <w:tcPr>
            <w:tcW w:w="895"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5～10</w:t>
            </w:r>
          </w:p>
        </w:tc>
        <w:tc>
          <w:tcPr>
            <w:tcW w:w="716" w:type="dxa"/>
            <w:tcBorders>
              <w:tl2br w:val="nil"/>
              <w:tr2bl w:val="nil"/>
            </w:tcBorders>
            <w:tcMar>
              <w:top w:w="15" w:type="dxa"/>
              <w:left w:w="15" w:type="dxa"/>
              <w:right w:w="15" w:type="dxa"/>
            </w:tcMar>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w:t>
            </w:r>
          </w:p>
        </w:tc>
        <w:tc>
          <w:tcPr>
            <w:tcW w:w="776"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3～15</w:t>
            </w:r>
          </w:p>
        </w:tc>
        <w:tc>
          <w:tcPr>
            <w:tcW w:w="101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15～150</w:t>
            </w:r>
          </w:p>
        </w:tc>
        <w:tc>
          <w:tcPr>
            <w:tcW w:w="89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低～一般</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683"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89</w:t>
            </w:r>
          </w:p>
        </w:tc>
        <w:tc>
          <w:tcPr>
            <w:tcW w:w="828" w:type="dxa"/>
            <w:vMerge w:val="continue"/>
            <w:tcBorders>
              <w:tl2br w:val="nil"/>
              <w:tr2bl w:val="nil"/>
            </w:tcBorders>
            <w:noWrap/>
            <w:tcMar>
              <w:top w:w="15" w:type="dxa"/>
              <w:left w:w="15" w:type="dxa"/>
              <w:right w:w="15" w:type="dxa"/>
            </w:tcMar>
            <w:vAlign w:val="center"/>
          </w:tcPr>
          <w:p>
            <w:pPr>
              <w:snapToGrid w:val="0"/>
              <w:jc w:val="center"/>
              <w:rPr>
                <w:rFonts w:cs="宋体" w:asciiTheme="minorEastAsia" w:hAnsiTheme="minorEastAsia" w:eastAsiaTheme="minorEastAsia"/>
                <w:sz w:val="18"/>
                <w:szCs w:val="18"/>
              </w:rPr>
            </w:pPr>
          </w:p>
        </w:tc>
        <w:tc>
          <w:tcPr>
            <w:tcW w:w="1157" w:type="dxa"/>
            <w:vMerge w:val="continue"/>
            <w:tcBorders>
              <w:tl2br w:val="nil"/>
              <w:tr2bl w:val="nil"/>
            </w:tcBorders>
            <w:tcMar>
              <w:top w:w="15" w:type="dxa"/>
              <w:left w:w="15" w:type="dxa"/>
              <w:right w:w="15" w:type="dxa"/>
            </w:tcMar>
            <w:vAlign w:val="center"/>
          </w:tcPr>
          <w:p>
            <w:pPr>
              <w:snapToGrid w:val="0"/>
              <w:jc w:val="center"/>
              <w:rPr>
                <w:rFonts w:cs="宋体" w:asciiTheme="minorEastAsia" w:hAnsiTheme="minorEastAsia" w:eastAsiaTheme="minorEastAsia"/>
                <w:sz w:val="18"/>
                <w:szCs w:val="18"/>
              </w:rPr>
            </w:pPr>
          </w:p>
        </w:tc>
        <w:tc>
          <w:tcPr>
            <w:tcW w:w="1562"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采用新技术、新材料、新设备、新工艺</w:t>
            </w:r>
          </w:p>
        </w:tc>
        <w:tc>
          <w:tcPr>
            <w:tcW w:w="2121"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缺少相关标准和经验</w:t>
            </w:r>
          </w:p>
        </w:tc>
        <w:tc>
          <w:tcPr>
            <w:tcW w:w="2779" w:type="dxa"/>
            <w:gridSpan w:val="2"/>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故障、设备损坏、人员伤害</w:t>
            </w:r>
          </w:p>
        </w:tc>
        <w:tc>
          <w:tcPr>
            <w:tcW w:w="89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LS法</w:t>
            </w:r>
          </w:p>
        </w:tc>
        <w:tc>
          <w:tcPr>
            <w:tcW w:w="89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5～30</w:t>
            </w:r>
          </w:p>
        </w:tc>
        <w:tc>
          <w:tcPr>
            <w:tcW w:w="716" w:type="dxa"/>
            <w:tcBorders>
              <w:tl2br w:val="nil"/>
              <w:tr2bl w:val="nil"/>
            </w:tcBorders>
            <w:tcMar>
              <w:top w:w="15" w:type="dxa"/>
              <w:left w:w="15" w:type="dxa"/>
              <w:right w:w="15" w:type="dxa"/>
            </w:tcMar>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w:t>
            </w:r>
          </w:p>
        </w:tc>
        <w:tc>
          <w:tcPr>
            <w:tcW w:w="776"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3～15</w:t>
            </w:r>
          </w:p>
        </w:tc>
        <w:tc>
          <w:tcPr>
            <w:tcW w:w="101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15～450</w:t>
            </w:r>
          </w:p>
        </w:tc>
        <w:tc>
          <w:tcPr>
            <w:tcW w:w="89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低～重大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683"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90</w:t>
            </w:r>
          </w:p>
        </w:tc>
        <w:tc>
          <w:tcPr>
            <w:tcW w:w="828" w:type="dxa"/>
            <w:vMerge w:val="continue"/>
            <w:tcBorders>
              <w:tl2br w:val="nil"/>
              <w:tr2bl w:val="nil"/>
            </w:tcBorders>
            <w:noWrap/>
            <w:tcMar>
              <w:top w:w="15" w:type="dxa"/>
              <w:left w:w="15" w:type="dxa"/>
              <w:right w:w="15" w:type="dxa"/>
            </w:tcMar>
            <w:vAlign w:val="center"/>
          </w:tcPr>
          <w:p>
            <w:pPr>
              <w:snapToGrid w:val="0"/>
              <w:jc w:val="center"/>
              <w:rPr>
                <w:rFonts w:cs="宋体" w:asciiTheme="minorEastAsia" w:hAnsiTheme="minorEastAsia" w:eastAsiaTheme="minorEastAsia"/>
                <w:sz w:val="18"/>
                <w:szCs w:val="18"/>
              </w:rPr>
            </w:pPr>
          </w:p>
        </w:tc>
        <w:tc>
          <w:tcPr>
            <w:tcW w:w="1157" w:type="dxa"/>
            <w:vMerge w:val="continue"/>
            <w:tcBorders>
              <w:tl2br w:val="nil"/>
              <w:tr2bl w:val="nil"/>
            </w:tcBorders>
            <w:tcMar>
              <w:top w:w="15" w:type="dxa"/>
              <w:left w:w="15" w:type="dxa"/>
              <w:right w:w="15" w:type="dxa"/>
            </w:tcMar>
            <w:vAlign w:val="center"/>
          </w:tcPr>
          <w:p>
            <w:pPr>
              <w:snapToGrid w:val="0"/>
              <w:jc w:val="center"/>
              <w:rPr>
                <w:rFonts w:cs="宋体" w:asciiTheme="minorEastAsia" w:hAnsiTheme="minorEastAsia" w:eastAsiaTheme="minorEastAsia"/>
                <w:sz w:val="18"/>
                <w:szCs w:val="18"/>
              </w:rPr>
            </w:pPr>
          </w:p>
        </w:tc>
        <w:tc>
          <w:tcPr>
            <w:tcW w:w="1562"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警示、警告标识设置</w:t>
            </w:r>
          </w:p>
        </w:tc>
        <w:tc>
          <w:tcPr>
            <w:tcW w:w="2121"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缺失</w:t>
            </w:r>
          </w:p>
        </w:tc>
        <w:tc>
          <w:tcPr>
            <w:tcW w:w="2779" w:type="dxa"/>
            <w:gridSpan w:val="2"/>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影响工程安全运行、人员安全</w:t>
            </w:r>
          </w:p>
        </w:tc>
        <w:tc>
          <w:tcPr>
            <w:tcW w:w="89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LS法</w:t>
            </w:r>
          </w:p>
        </w:tc>
        <w:tc>
          <w:tcPr>
            <w:tcW w:w="89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5～30</w:t>
            </w:r>
          </w:p>
        </w:tc>
        <w:tc>
          <w:tcPr>
            <w:tcW w:w="716" w:type="dxa"/>
            <w:tcBorders>
              <w:tl2br w:val="nil"/>
              <w:tr2bl w:val="nil"/>
            </w:tcBorders>
            <w:tcMar>
              <w:top w:w="15" w:type="dxa"/>
              <w:left w:w="15" w:type="dxa"/>
              <w:right w:w="15" w:type="dxa"/>
            </w:tcMar>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w:t>
            </w:r>
          </w:p>
        </w:tc>
        <w:tc>
          <w:tcPr>
            <w:tcW w:w="776"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3～15</w:t>
            </w:r>
          </w:p>
        </w:tc>
        <w:tc>
          <w:tcPr>
            <w:tcW w:w="101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15～450</w:t>
            </w:r>
          </w:p>
        </w:tc>
        <w:tc>
          <w:tcPr>
            <w:tcW w:w="89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低～重大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683"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91</w:t>
            </w:r>
          </w:p>
        </w:tc>
        <w:tc>
          <w:tcPr>
            <w:tcW w:w="828" w:type="dxa"/>
            <w:vMerge w:val="restart"/>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环境类</w:t>
            </w:r>
          </w:p>
        </w:tc>
        <w:tc>
          <w:tcPr>
            <w:tcW w:w="1157" w:type="dxa"/>
            <w:vMerge w:val="restart"/>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工作环境</w:t>
            </w:r>
          </w:p>
        </w:tc>
        <w:tc>
          <w:tcPr>
            <w:tcW w:w="1562"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疏散逃生通道</w:t>
            </w:r>
          </w:p>
        </w:tc>
        <w:tc>
          <w:tcPr>
            <w:tcW w:w="2121"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通道堵塞</w:t>
            </w:r>
          </w:p>
        </w:tc>
        <w:tc>
          <w:tcPr>
            <w:tcW w:w="2779" w:type="dxa"/>
            <w:gridSpan w:val="2"/>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发生火灾时人员无法及时撤离</w:t>
            </w:r>
          </w:p>
        </w:tc>
        <w:tc>
          <w:tcPr>
            <w:tcW w:w="89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LS法</w:t>
            </w:r>
          </w:p>
        </w:tc>
        <w:tc>
          <w:tcPr>
            <w:tcW w:w="89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5～30</w:t>
            </w:r>
          </w:p>
        </w:tc>
        <w:tc>
          <w:tcPr>
            <w:tcW w:w="716" w:type="dxa"/>
            <w:tcBorders>
              <w:tl2br w:val="nil"/>
              <w:tr2bl w:val="nil"/>
            </w:tcBorders>
            <w:tcMar>
              <w:top w:w="15" w:type="dxa"/>
              <w:left w:w="15" w:type="dxa"/>
              <w:right w:w="15" w:type="dxa"/>
            </w:tcMar>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w:t>
            </w:r>
          </w:p>
        </w:tc>
        <w:tc>
          <w:tcPr>
            <w:tcW w:w="776"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3～15</w:t>
            </w:r>
          </w:p>
        </w:tc>
        <w:tc>
          <w:tcPr>
            <w:tcW w:w="101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15～450</w:t>
            </w:r>
          </w:p>
        </w:tc>
        <w:tc>
          <w:tcPr>
            <w:tcW w:w="89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低～重大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683"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92</w:t>
            </w:r>
          </w:p>
        </w:tc>
        <w:tc>
          <w:tcPr>
            <w:tcW w:w="828" w:type="dxa"/>
            <w:vMerge w:val="continue"/>
            <w:tcBorders>
              <w:tl2br w:val="nil"/>
              <w:tr2bl w:val="nil"/>
            </w:tcBorders>
            <w:tcMar>
              <w:top w:w="15" w:type="dxa"/>
              <w:left w:w="15" w:type="dxa"/>
              <w:right w:w="15" w:type="dxa"/>
            </w:tcMar>
            <w:vAlign w:val="center"/>
          </w:tcPr>
          <w:p>
            <w:pPr>
              <w:snapToGrid w:val="0"/>
              <w:jc w:val="center"/>
              <w:rPr>
                <w:rFonts w:cs="宋体" w:asciiTheme="minorEastAsia" w:hAnsiTheme="minorEastAsia" w:eastAsiaTheme="minorEastAsia"/>
                <w:sz w:val="18"/>
                <w:szCs w:val="18"/>
              </w:rPr>
            </w:pPr>
          </w:p>
        </w:tc>
        <w:tc>
          <w:tcPr>
            <w:tcW w:w="1157" w:type="dxa"/>
            <w:vMerge w:val="continue"/>
            <w:tcBorders>
              <w:tl2br w:val="nil"/>
              <w:tr2bl w:val="nil"/>
            </w:tcBorders>
            <w:tcMar>
              <w:top w:w="15" w:type="dxa"/>
              <w:left w:w="15" w:type="dxa"/>
              <w:right w:w="15" w:type="dxa"/>
            </w:tcMar>
            <w:vAlign w:val="center"/>
          </w:tcPr>
          <w:p>
            <w:pPr>
              <w:snapToGrid w:val="0"/>
              <w:jc w:val="center"/>
              <w:rPr>
                <w:rFonts w:cs="宋体" w:asciiTheme="minorEastAsia" w:hAnsiTheme="minorEastAsia" w:eastAsiaTheme="minorEastAsia"/>
                <w:sz w:val="18"/>
                <w:szCs w:val="18"/>
              </w:rPr>
            </w:pPr>
          </w:p>
        </w:tc>
        <w:tc>
          <w:tcPr>
            <w:tcW w:w="1562"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消防通道</w:t>
            </w:r>
          </w:p>
        </w:tc>
        <w:tc>
          <w:tcPr>
            <w:tcW w:w="2121"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消防通道不满足要求</w:t>
            </w:r>
          </w:p>
        </w:tc>
        <w:tc>
          <w:tcPr>
            <w:tcW w:w="2779" w:type="dxa"/>
            <w:gridSpan w:val="2"/>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发生火灾时不能即时扑灭</w:t>
            </w:r>
          </w:p>
        </w:tc>
        <w:tc>
          <w:tcPr>
            <w:tcW w:w="89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LS法</w:t>
            </w:r>
          </w:p>
        </w:tc>
        <w:tc>
          <w:tcPr>
            <w:tcW w:w="89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5～30</w:t>
            </w:r>
          </w:p>
        </w:tc>
        <w:tc>
          <w:tcPr>
            <w:tcW w:w="716" w:type="dxa"/>
            <w:tcBorders>
              <w:tl2br w:val="nil"/>
              <w:tr2bl w:val="nil"/>
            </w:tcBorders>
            <w:tcMar>
              <w:top w:w="15" w:type="dxa"/>
              <w:left w:w="15" w:type="dxa"/>
              <w:right w:w="15" w:type="dxa"/>
            </w:tcMar>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w:t>
            </w:r>
          </w:p>
        </w:tc>
        <w:tc>
          <w:tcPr>
            <w:tcW w:w="776"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3～15</w:t>
            </w:r>
          </w:p>
        </w:tc>
        <w:tc>
          <w:tcPr>
            <w:tcW w:w="101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15～450</w:t>
            </w:r>
          </w:p>
        </w:tc>
        <w:tc>
          <w:tcPr>
            <w:tcW w:w="89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低～重大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683"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93</w:t>
            </w:r>
          </w:p>
        </w:tc>
        <w:tc>
          <w:tcPr>
            <w:tcW w:w="828" w:type="dxa"/>
            <w:vMerge w:val="continue"/>
            <w:tcBorders>
              <w:tl2br w:val="nil"/>
              <w:tr2bl w:val="nil"/>
            </w:tcBorders>
            <w:tcMar>
              <w:top w:w="15" w:type="dxa"/>
              <w:left w:w="15" w:type="dxa"/>
              <w:right w:w="15" w:type="dxa"/>
            </w:tcMar>
            <w:vAlign w:val="center"/>
          </w:tcPr>
          <w:p>
            <w:pPr>
              <w:snapToGrid w:val="0"/>
              <w:jc w:val="center"/>
              <w:rPr>
                <w:rFonts w:cs="宋体" w:asciiTheme="minorEastAsia" w:hAnsiTheme="minorEastAsia" w:eastAsiaTheme="minorEastAsia"/>
                <w:sz w:val="18"/>
                <w:szCs w:val="18"/>
              </w:rPr>
            </w:pPr>
          </w:p>
        </w:tc>
        <w:tc>
          <w:tcPr>
            <w:tcW w:w="1157" w:type="dxa"/>
            <w:vMerge w:val="continue"/>
            <w:tcBorders>
              <w:tl2br w:val="nil"/>
              <w:tr2bl w:val="nil"/>
            </w:tcBorders>
            <w:tcMar>
              <w:top w:w="15" w:type="dxa"/>
              <w:left w:w="15" w:type="dxa"/>
              <w:right w:w="15" w:type="dxa"/>
            </w:tcMar>
            <w:vAlign w:val="center"/>
          </w:tcPr>
          <w:p>
            <w:pPr>
              <w:snapToGrid w:val="0"/>
              <w:jc w:val="center"/>
              <w:rPr>
                <w:rFonts w:cs="宋体" w:asciiTheme="minorEastAsia" w:hAnsiTheme="minorEastAsia" w:eastAsiaTheme="minorEastAsia"/>
                <w:sz w:val="18"/>
                <w:szCs w:val="18"/>
              </w:rPr>
            </w:pPr>
          </w:p>
        </w:tc>
        <w:tc>
          <w:tcPr>
            <w:tcW w:w="1562"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油浸式变压器贮油池卵石层</w:t>
            </w:r>
          </w:p>
        </w:tc>
        <w:tc>
          <w:tcPr>
            <w:tcW w:w="2121"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贮油池内鹅卵石间缝隙被杂物堵塞或鹅卵石尺寸或厚度不满足要求，喷出的绝缘油不能快速下渗</w:t>
            </w:r>
          </w:p>
        </w:tc>
        <w:tc>
          <w:tcPr>
            <w:tcW w:w="2779" w:type="dxa"/>
            <w:gridSpan w:val="2"/>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火灾发生后可能持续燃烧</w:t>
            </w:r>
          </w:p>
        </w:tc>
        <w:tc>
          <w:tcPr>
            <w:tcW w:w="89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LS法</w:t>
            </w:r>
          </w:p>
        </w:tc>
        <w:tc>
          <w:tcPr>
            <w:tcW w:w="89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5～10</w:t>
            </w:r>
          </w:p>
        </w:tc>
        <w:tc>
          <w:tcPr>
            <w:tcW w:w="716" w:type="dxa"/>
            <w:tcBorders>
              <w:tl2br w:val="nil"/>
              <w:tr2bl w:val="nil"/>
            </w:tcBorders>
            <w:tcMar>
              <w:top w:w="15" w:type="dxa"/>
              <w:left w:w="15" w:type="dxa"/>
              <w:right w:w="15" w:type="dxa"/>
            </w:tcMar>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w:t>
            </w:r>
          </w:p>
        </w:tc>
        <w:tc>
          <w:tcPr>
            <w:tcW w:w="776"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3～15</w:t>
            </w:r>
          </w:p>
        </w:tc>
        <w:tc>
          <w:tcPr>
            <w:tcW w:w="101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15～150</w:t>
            </w:r>
          </w:p>
        </w:tc>
        <w:tc>
          <w:tcPr>
            <w:tcW w:w="89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低～一般</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683"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94</w:t>
            </w:r>
          </w:p>
        </w:tc>
        <w:tc>
          <w:tcPr>
            <w:tcW w:w="828" w:type="dxa"/>
            <w:vMerge w:val="continue"/>
            <w:tcBorders>
              <w:tl2br w:val="nil"/>
              <w:tr2bl w:val="nil"/>
            </w:tcBorders>
            <w:tcMar>
              <w:top w:w="15" w:type="dxa"/>
              <w:left w:w="15" w:type="dxa"/>
              <w:right w:w="15" w:type="dxa"/>
            </w:tcMar>
            <w:vAlign w:val="center"/>
          </w:tcPr>
          <w:p>
            <w:pPr>
              <w:snapToGrid w:val="0"/>
              <w:jc w:val="center"/>
              <w:rPr>
                <w:rFonts w:cs="宋体" w:asciiTheme="minorEastAsia" w:hAnsiTheme="minorEastAsia" w:eastAsiaTheme="minorEastAsia"/>
                <w:sz w:val="18"/>
                <w:szCs w:val="18"/>
              </w:rPr>
            </w:pPr>
          </w:p>
        </w:tc>
        <w:tc>
          <w:tcPr>
            <w:tcW w:w="1157" w:type="dxa"/>
            <w:vMerge w:val="continue"/>
            <w:tcBorders>
              <w:tl2br w:val="nil"/>
              <w:tr2bl w:val="nil"/>
            </w:tcBorders>
            <w:tcMar>
              <w:top w:w="15" w:type="dxa"/>
              <w:left w:w="15" w:type="dxa"/>
              <w:right w:w="15" w:type="dxa"/>
            </w:tcMar>
            <w:vAlign w:val="center"/>
          </w:tcPr>
          <w:p>
            <w:pPr>
              <w:snapToGrid w:val="0"/>
              <w:jc w:val="center"/>
              <w:rPr>
                <w:rFonts w:cs="宋体" w:asciiTheme="minorEastAsia" w:hAnsiTheme="minorEastAsia" w:eastAsiaTheme="minorEastAsia"/>
                <w:sz w:val="18"/>
                <w:szCs w:val="18"/>
              </w:rPr>
            </w:pPr>
          </w:p>
        </w:tc>
        <w:tc>
          <w:tcPr>
            <w:tcW w:w="1562"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斜坡、步梯、通道、作业场地</w:t>
            </w:r>
          </w:p>
        </w:tc>
        <w:tc>
          <w:tcPr>
            <w:tcW w:w="2121"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结冰或湿滑</w:t>
            </w:r>
          </w:p>
        </w:tc>
        <w:tc>
          <w:tcPr>
            <w:tcW w:w="2779" w:type="dxa"/>
            <w:gridSpan w:val="2"/>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高处坠落、扭伤、摔伤</w:t>
            </w:r>
          </w:p>
        </w:tc>
        <w:tc>
          <w:tcPr>
            <w:tcW w:w="89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LEC法</w:t>
            </w:r>
          </w:p>
        </w:tc>
        <w:tc>
          <w:tcPr>
            <w:tcW w:w="89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0.5～3</w:t>
            </w:r>
          </w:p>
        </w:tc>
        <w:tc>
          <w:tcPr>
            <w:tcW w:w="716"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2～6</w:t>
            </w:r>
          </w:p>
        </w:tc>
        <w:tc>
          <w:tcPr>
            <w:tcW w:w="776"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3～7</w:t>
            </w:r>
          </w:p>
        </w:tc>
        <w:tc>
          <w:tcPr>
            <w:tcW w:w="1015"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3～126</w:t>
            </w:r>
          </w:p>
        </w:tc>
        <w:tc>
          <w:tcPr>
            <w:tcW w:w="895"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低～一般</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683"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95</w:t>
            </w:r>
          </w:p>
        </w:tc>
        <w:tc>
          <w:tcPr>
            <w:tcW w:w="828" w:type="dxa"/>
            <w:vMerge w:val="continue"/>
            <w:tcBorders>
              <w:tl2br w:val="nil"/>
              <w:tr2bl w:val="nil"/>
            </w:tcBorders>
            <w:tcMar>
              <w:top w:w="15" w:type="dxa"/>
              <w:left w:w="15" w:type="dxa"/>
              <w:right w:w="15" w:type="dxa"/>
            </w:tcMar>
            <w:vAlign w:val="center"/>
          </w:tcPr>
          <w:p>
            <w:pPr>
              <w:snapToGrid w:val="0"/>
              <w:jc w:val="center"/>
              <w:rPr>
                <w:rFonts w:cs="宋体" w:asciiTheme="minorEastAsia" w:hAnsiTheme="minorEastAsia" w:eastAsiaTheme="minorEastAsia"/>
                <w:sz w:val="18"/>
                <w:szCs w:val="18"/>
              </w:rPr>
            </w:pPr>
          </w:p>
        </w:tc>
        <w:tc>
          <w:tcPr>
            <w:tcW w:w="1157" w:type="dxa"/>
            <w:vMerge w:val="continue"/>
            <w:tcBorders>
              <w:tl2br w:val="nil"/>
              <w:tr2bl w:val="nil"/>
            </w:tcBorders>
            <w:tcMar>
              <w:top w:w="15" w:type="dxa"/>
              <w:left w:w="15" w:type="dxa"/>
              <w:right w:w="15" w:type="dxa"/>
            </w:tcMar>
            <w:vAlign w:val="center"/>
          </w:tcPr>
          <w:p>
            <w:pPr>
              <w:snapToGrid w:val="0"/>
              <w:jc w:val="center"/>
              <w:rPr>
                <w:rFonts w:cs="宋体" w:asciiTheme="minorEastAsia" w:hAnsiTheme="minorEastAsia" w:eastAsiaTheme="minorEastAsia"/>
                <w:sz w:val="18"/>
                <w:szCs w:val="18"/>
              </w:rPr>
            </w:pPr>
          </w:p>
        </w:tc>
        <w:tc>
          <w:tcPr>
            <w:tcW w:w="1562"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孔洞、临边、临水部位</w:t>
            </w:r>
          </w:p>
        </w:tc>
        <w:tc>
          <w:tcPr>
            <w:tcW w:w="2121"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防护栏杆缺失，井、坑、孔、洞、沟道没覆以地面齐平盖板或照明不足</w:t>
            </w:r>
          </w:p>
        </w:tc>
        <w:tc>
          <w:tcPr>
            <w:tcW w:w="2779" w:type="dxa"/>
            <w:gridSpan w:val="2"/>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高处坠落、淹溺</w:t>
            </w:r>
          </w:p>
        </w:tc>
        <w:tc>
          <w:tcPr>
            <w:tcW w:w="89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LEC法</w:t>
            </w:r>
          </w:p>
        </w:tc>
        <w:tc>
          <w:tcPr>
            <w:tcW w:w="89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0.5～3</w:t>
            </w:r>
          </w:p>
        </w:tc>
        <w:tc>
          <w:tcPr>
            <w:tcW w:w="716"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2～6</w:t>
            </w:r>
          </w:p>
        </w:tc>
        <w:tc>
          <w:tcPr>
            <w:tcW w:w="776"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3～7</w:t>
            </w:r>
          </w:p>
        </w:tc>
        <w:tc>
          <w:tcPr>
            <w:tcW w:w="101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3～126</w:t>
            </w:r>
          </w:p>
        </w:tc>
        <w:tc>
          <w:tcPr>
            <w:tcW w:w="895"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低～一般</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683"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96</w:t>
            </w:r>
          </w:p>
        </w:tc>
        <w:tc>
          <w:tcPr>
            <w:tcW w:w="828" w:type="dxa"/>
            <w:vMerge w:val="continue"/>
            <w:tcBorders>
              <w:tl2br w:val="nil"/>
              <w:tr2bl w:val="nil"/>
            </w:tcBorders>
            <w:tcMar>
              <w:top w:w="15" w:type="dxa"/>
              <w:left w:w="15" w:type="dxa"/>
              <w:right w:w="15" w:type="dxa"/>
            </w:tcMar>
            <w:vAlign w:val="center"/>
          </w:tcPr>
          <w:p>
            <w:pPr>
              <w:snapToGrid w:val="0"/>
              <w:jc w:val="center"/>
              <w:rPr>
                <w:rFonts w:cs="宋体" w:asciiTheme="minorEastAsia" w:hAnsiTheme="minorEastAsia" w:eastAsiaTheme="minorEastAsia"/>
                <w:sz w:val="18"/>
                <w:szCs w:val="18"/>
              </w:rPr>
            </w:pPr>
          </w:p>
        </w:tc>
        <w:tc>
          <w:tcPr>
            <w:tcW w:w="1157" w:type="dxa"/>
            <w:vMerge w:val="restart"/>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自然环境</w:t>
            </w:r>
          </w:p>
        </w:tc>
        <w:tc>
          <w:tcPr>
            <w:tcW w:w="1562" w:type="dxa"/>
            <w:vMerge w:val="restart"/>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管理和保护范围内山体（土体）存在潜在滑坡、落石区域</w:t>
            </w:r>
          </w:p>
        </w:tc>
        <w:tc>
          <w:tcPr>
            <w:tcW w:w="2121" w:type="dxa"/>
            <w:vMerge w:val="restart"/>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大风、暴雨、洪水等</w:t>
            </w:r>
          </w:p>
        </w:tc>
        <w:tc>
          <w:tcPr>
            <w:tcW w:w="2779" w:type="dxa"/>
            <w:gridSpan w:val="2"/>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坍塌、物体打击</w:t>
            </w:r>
          </w:p>
        </w:tc>
        <w:tc>
          <w:tcPr>
            <w:tcW w:w="89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LEC法</w:t>
            </w:r>
          </w:p>
        </w:tc>
        <w:tc>
          <w:tcPr>
            <w:tcW w:w="89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0.5～3</w:t>
            </w:r>
          </w:p>
        </w:tc>
        <w:tc>
          <w:tcPr>
            <w:tcW w:w="716"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0.5～3</w:t>
            </w:r>
          </w:p>
        </w:tc>
        <w:tc>
          <w:tcPr>
            <w:tcW w:w="776"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3～15</w:t>
            </w:r>
          </w:p>
        </w:tc>
        <w:tc>
          <w:tcPr>
            <w:tcW w:w="101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0.75～135</w:t>
            </w:r>
          </w:p>
        </w:tc>
        <w:tc>
          <w:tcPr>
            <w:tcW w:w="895"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低～一般</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683"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97</w:t>
            </w:r>
          </w:p>
        </w:tc>
        <w:tc>
          <w:tcPr>
            <w:tcW w:w="828" w:type="dxa"/>
            <w:vMerge w:val="continue"/>
            <w:tcBorders>
              <w:tl2br w:val="nil"/>
              <w:tr2bl w:val="nil"/>
            </w:tcBorders>
            <w:tcMar>
              <w:top w:w="15" w:type="dxa"/>
              <w:left w:w="15" w:type="dxa"/>
              <w:right w:w="15" w:type="dxa"/>
            </w:tcMar>
            <w:vAlign w:val="center"/>
          </w:tcPr>
          <w:p>
            <w:pPr>
              <w:snapToGrid w:val="0"/>
              <w:jc w:val="center"/>
              <w:rPr>
                <w:rFonts w:cs="宋体" w:asciiTheme="minorEastAsia" w:hAnsiTheme="minorEastAsia" w:eastAsiaTheme="minorEastAsia"/>
                <w:sz w:val="18"/>
                <w:szCs w:val="18"/>
              </w:rPr>
            </w:pPr>
          </w:p>
        </w:tc>
        <w:tc>
          <w:tcPr>
            <w:tcW w:w="1157" w:type="dxa"/>
            <w:vMerge w:val="continue"/>
            <w:tcBorders>
              <w:tl2br w:val="nil"/>
              <w:tr2bl w:val="nil"/>
            </w:tcBorders>
            <w:tcMar>
              <w:top w:w="15" w:type="dxa"/>
              <w:left w:w="15" w:type="dxa"/>
              <w:right w:w="15" w:type="dxa"/>
            </w:tcMar>
            <w:vAlign w:val="center"/>
          </w:tcPr>
          <w:p>
            <w:pPr>
              <w:snapToGrid w:val="0"/>
              <w:jc w:val="center"/>
              <w:rPr>
                <w:rFonts w:cs="宋体" w:asciiTheme="minorEastAsia" w:hAnsiTheme="minorEastAsia" w:eastAsiaTheme="minorEastAsia"/>
                <w:sz w:val="18"/>
                <w:szCs w:val="18"/>
              </w:rPr>
            </w:pPr>
          </w:p>
        </w:tc>
        <w:tc>
          <w:tcPr>
            <w:tcW w:w="1562" w:type="dxa"/>
            <w:vMerge w:val="continue"/>
            <w:tcBorders>
              <w:tl2br w:val="nil"/>
              <w:tr2bl w:val="nil"/>
            </w:tcBorders>
            <w:tcMar>
              <w:top w:w="15" w:type="dxa"/>
              <w:left w:w="15" w:type="dxa"/>
              <w:right w:w="15" w:type="dxa"/>
            </w:tcMar>
            <w:vAlign w:val="center"/>
          </w:tcPr>
          <w:p>
            <w:pPr>
              <w:snapToGrid w:val="0"/>
              <w:jc w:val="center"/>
              <w:rPr>
                <w:rFonts w:cs="宋体" w:asciiTheme="minorEastAsia" w:hAnsiTheme="minorEastAsia" w:eastAsiaTheme="minorEastAsia"/>
                <w:sz w:val="18"/>
                <w:szCs w:val="18"/>
              </w:rPr>
            </w:pPr>
          </w:p>
        </w:tc>
        <w:tc>
          <w:tcPr>
            <w:tcW w:w="2121" w:type="dxa"/>
            <w:vMerge w:val="continue"/>
            <w:tcBorders>
              <w:tl2br w:val="nil"/>
              <w:tr2bl w:val="nil"/>
            </w:tcBorders>
            <w:tcMar>
              <w:top w:w="15" w:type="dxa"/>
              <w:left w:w="15" w:type="dxa"/>
              <w:right w:w="15" w:type="dxa"/>
            </w:tcMar>
            <w:vAlign w:val="center"/>
          </w:tcPr>
          <w:p>
            <w:pPr>
              <w:snapToGrid w:val="0"/>
              <w:jc w:val="center"/>
              <w:rPr>
                <w:rFonts w:cs="宋体" w:asciiTheme="minorEastAsia" w:hAnsiTheme="minorEastAsia" w:eastAsiaTheme="minorEastAsia"/>
                <w:sz w:val="18"/>
                <w:szCs w:val="18"/>
              </w:rPr>
            </w:pPr>
          </w:p>
        </w:tc>
        <w:tc>
          <w:tcPr>
            <w:tcW w:w="2779" w:type="dxa"/>
            <w:gridSpan w:val="2"/>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浪涌破坏</w:t>
            </w:r>
          </w:p>
        </w:tc>
        <w:tc>
          <w:tcPr>
            <w:tcW w:w="89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LS法</w:t>
            </w:r>
          </w:p>
        </w:tc>
        <w:tc>
          <w:tcPr>
            <w:tcW w:w="89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5～10</w:t>
            </w:r>
          </w:p>
        </w:tc>
        <w:tc>
          <w:tcPr>
            <w:tcW w:w="716" w:type="dxa"/>
            <w:tcBorders>
              <w:tl2br w:val="nil"/>
              <w:tr2bl w:val="nil"/>
            </w:tcBorders>
            <w:tcMar>
              <w:top w:w="15" w:type="dxa"/>
              <w:left w:w="15" w:type="dxa"/>
              <w:right w:w="15" w:type="dxa"/>
            </w:tcMar>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w:t>
            </w:r>
          </w:p>
        </w:tc>
        <w:tc>
          <w:tcPr>
            <w:tcW w:w="776"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3～15</w:t>
            </w:r>
          </w:p>
        </w:tc>
        <w:tc>
          <w:tcPr>
            <w:tcW w:w="101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15～150</w:t>
            </w:r>
          </w:p>
        </w:tc>
        <w:tc>
          <w:tcPr>
            <w:tcW w:w="89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低～一般</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683"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98</w:t>
            </w:r>
          </w:p>
        </w:tc>
        <w:tc>
          <w:tcPr>
            <w:tcW w:w="828" w:type="dxa"/>
            <w:vMerge w:val="restart"/>
            <w:tcBorders>
              <w:tl2br w:val="nil"/>
              <w:tr2bl w:val="nil"/>
            </w:tcBorders>
            <w:tcMar>
              <w:top w:w="15" w:type="dxa"/>
              <w:left w:w="15" w:type="dxa"/>
              <w:right w:w="15" w:type="dxa"/>
            </w:tcMar>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环境类</w:t>
            </w:r>
          </w:p>
        </w:tc>
        <w:tc>
          <w:tcPr>
            <w:tcW w:w="1157" w:type="dxa"/>
            <w:vMerge w:val="restart"/>
            <w:tcBorders>
              <w:tl2br w:val="nil"/>
              <w:tr2bl w:val="nil"/>
            </w:tcBorders>
            <w:tcMar>
              <w:top w:w="15" w:type="dxa"/>
              <w:left w:w="15" w:type="dxa"/>
              <w:right w:w="15" w:type="dxa"/>
            </w:tcMar>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自然环境</w:t>
            </w:r>
          </w:p>
        </w:tc>
        <w:tc>
          <w:tcPr>
            <w:tcW w:w="1562"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结构受侵蚀性介质作用</w:t>
            </w:r>
          </w:p>
        </w:tc>
        <w:tc>
          <w:tcPr>
            <w:tcW w:w="2121"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侵蚀性介质接触</w:t>
            </w:r>
          </w:p>
        </w:tc>
        <w:tc>
          <w:tcPr>
            <w:tcW w:w="2779" w:type="dxa"/>
            <w:gridSpan w:val="2"/>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建筑物结构损坏</w:t>
            </w:r>
          </w:p>
        </w:tc>
        <w:tc>
          <w:tcPr>
            <w:tcW w:w="89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LS法</w:t>
            </w:r>
          </w:p>
        </w:tc>
        <w:tc>
          <w:tcPr>
            <w:tcW w:w="89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5～30</w:t>
            </w:r>
          </w:p>
        </w:tc>
        <w:tc>
          <w:tcPr>
            <w:tcW w:w="716" w:type="dxa"/>
            <w:tcBorders>
              <w:tl2br w:val="nil"/>
              <w:tr2bl w:val="nil"/>
            </w:tcBorders>
            <w:tcMar>
              <w:top w:w="15" w:type="dxa"/>
              <w:left w:w="15" w:type="dxa"/>
              <w:right w:w="15" w:type="dxa"/>
            </w:tcMar>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w:t>
            </w:r>
          </w:p>
        </w:tc>
        <w:tc>
          <w:tcPr>
            <w:tcW w:w="776"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3～15</w:t>
            </w:r>
          </w:p>
        </w:tc>
        <w:tc>
          <w:tcPr>
            <w:tcW w:w="101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15～450</w:t>
            </w:r>
          </w:p>
        </w:tc>
        <w:tc>
          <w:tcPr>
            <w:tcW w:w="89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低～重大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683"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99</w:t>
            </w:r>
          </w:p>
        </w:tc>
        <w:tc>
          <w:tcPr>
            <w:tcW w:w="828" w:type="dxa"/>
            <w:vMerge w:val="continue"/>
            <w:tcBorders>
              <w:tl2br w:val="nil"/>
              <w:tr2bl w:val="nil"/>
            </w:tcBorders>
            <w:tcMar>
              <w:top w:w="15" w:type="dxa"/>
              <w:left w:w="15" w:type="dxa"/>
              <w:right w:w="15" w:type="dxa"/>
            </w:tcMar>
            <w:vAlign w:val="center"/>
          </w:tcPr>
          <w:p>
            <w:pPr>
              <w:snapToGrid w:val="0"/>
              <w:jc w:val="center"/>
              <w:rPr>
                <w:rFonts w:cs="宋体" w:asciiTheme="minorEastAsia" w:hAnsiTheme="minorEastAsia" w:eastAsiaTheme="minorEastAsia"/>
                <w:sz w:val="18"/>
                <w:szCs w:val="18"/>
              </w:rPr>
            </w:pPr>
          </w:p>
        </w:tc>
        <w:tc>
          <w:tcPr>
            <w:tcW w:w="1157" w:type="dxa"/>
            <w:vMerge w:val="continue"/>
            <w:tcBorders>
              <w:tl2br w:val="nil"/>
              <w:tr2bl w:val="nil"/>
            </w:tcBorders>
            <w:tcMar>
              <w:top w:w="15" w:type="dxa"/>
              <w:left w:w="15" w:type="dxa"/>
              <w:right w:w="15" w:type="dxa"/>
            </w:tcMar>
            <w:vAlign w:val="center"/>
          </w:tcPr>
          <w:p>
            <w:pPr>
              <w:snapToGrid w:val="0"/>
              <w:jc w:val="center"/>
              <w:rPr>
                <w:rFonts w:cs="宋体" w:asciiTheme="minorEastAsia" w:hAnsiTheme="minorEastAsia" w:eastAsiaTheme="minorEastAsia"/>
                <w:sz w:val="18"/>
                <w:szCs w:val="18"/>
              </w:rPr>
            </w:pPr>
          </w:p>
        </w:tc>
        <w:tc>
          <w:tcPr>
            <w:tcW w:w="1562"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水生生物</w:t>
            </w:r>
          </w:p>
        </w:tc>
        <w:tc>
          <w:tcPr>
            <w:tcW w:w="2121"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吸附在闸门、门槽上</w:t>
            </w:r>
          </w:p>
        </w:tc>
        <w:tc>
          <w:tcPr>
            <w:tcW w:w="2779" w:type="dxa"/>
            <w:gridSpan w:val="2"/>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影响闸门启闭</w:t>
            </w:r>
          </w:p>
        </w:tc>
        <w:tc>
          <w:tcPr>
            <w:tcW w:w="89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LS法</w:t>
            </w:r>
          </w:p>
        </w:tc>
        <w:tc>
          <w:tcPr>
            <w:tcW w:w="89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5～30</w:t>
            </w:r>
          </w:p>
        </w:tc>
        <w:tc>
          <w:tcPr>
            <w:tcW w:w="716" w:type="dxa"/>
            <w:tcBorders>
              <w:tl2br w:val="nil"/>
              <w:tr2bl w:val="nil"/>
            </w:tcBorders>
            <w:tcMar>
              <w:top w:w="15" w:type="dxa"/>
              <w:left w:w="15" w:type="dxa"/>
              <w:right w:w="15" w:type="dxa"/>
            </w:tcMar>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w:t>
            </w:r>
          </w:p>
        </w:tc>
        <w:tc>
          <w:tcPr>
            <w:tcW w:w="776"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3～15</w:t>
            </w:r>
          </w:p>
        </w:tc>
        <w:tc>
          <w:tcPr>
            <w:tcW w:w="101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15～450</w:t>
            </w:r>
          </w:p>
        </w:tc>
        <w:tc>
          <w:tcPr>
            <w:tcW w:w="89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低～重大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683"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100</w:t>
            </w:r>
          </w:p>
        </w:tc>
        <w:tc>
          <w:tcPr>
            <w:tcW w:w="828" w:type="dxa"/>
            <w:vMerge w:val="continue"/>
            <w:tcBorders>
              <w:tl2br w:val="nil"/>
              <w:tr2bl w:val="nil"/>
            </w:tcBorders>
            <w:tcMar>
              <w:top w:w="15" w:type="dxa"/>
              <w:left w:w="15" w:type="dxa"/>
              <w:right w:w="15" w:type="dxa"/>
            </w:tcMar>
            <w:vAlign w:val="center"/>
          </w:tcPr>
          <w:p>
            <w:pPr>
              <w:snapToGrid w:val="0"/>
              <w:jc w:val="center"/>
              <w:rPr>
                <w:rFonts w:cs="宋体" w:asciiTheme="minorEastAsia" w:hAnsiTheme="minorEastAsia" w:eastAsiaTheme="minorEastAsia"/>
                <w:sz w:val="18"/>
                <w:szCs w:val="18"/>
              </w:rPr>
            </w:pPr>
          </w:p>
        </w:tc>
        <w:tc>
          <w:tcPr>
            <w:tcW w:w="1157" w:type="dxa"/>
            <w:vMerge w:val="continue"/>
            <w:tcBorders>
              <w:tl2br w:val="nil"/>
              <w:tr2bl w:val="nil"/>
            </w:tcBorders>
            <w:tcMar>
              <w:top w:w="15" w:type="dxa"/>
              <w:left w:w="15" w:type="dxa"/>
              <w:right w:w="15" w:type="dxa"/>
            </w:tcMar>
            <w:vAlign w:val="center"/>
          </w:tcPr>
          <w:p>
            <w:pPr>
              <w:snapToGrid w:val="0"/>
              <w:jc w:val="center"/>
              <w:rPr>
                <w:rFonts w:cs="宋体" w:asciiTheme="minorEastAsia" w:hAnsiTheme="minorEastAsia" w:eastAsiaTheme="minorEastAsia"/>
                <w:sz w:val="18"/>
                <w:szCs w:val="18"/>
              </w:rPr>
            </w:pPr>
          </w:p>
        </w:tc>
        <w:tc>
          <w:tcPr>
            <w:tcW w:w="1562"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水面漂浮物、垃圾</w:t>
            </w:r>
          </w:p>
        </w:tc>
        <w:tc>
          <w:tcPr>
            <w:tcW w:w="2121"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在门槽附近堆积</w:t>
            </w:r>
          </w:p>
        </w:tc>
        <w:tc>
          <w:tcPr>
            <w:tcW w:w="2779" w:type="dxa"/>
            <w:gridSpan w:val="2"/>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影响闸门启闭</w:t>
            </w:r>
          </w:p>
        </w:tc>
        <w:tc>
          <w:tcPr>
            <w:tcW w:w="89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LS法</w:t>
            </w:r>
          </w:p>
        </w:tc>
        <w:tc>
          <w:tcPr>
            <w:tcW w:w="89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5～30</w:t>
            </w:r>
          </w:p>
        </w:tc>
        <w:tc>
          <w:tcPr>
            <w:tcW w:w="716" w:type="dxa"/>
            <w:tcBorders>
              <w:tl2br w:val="nil"/>
              <w:tr2bl w:val="nil"/>
            </w:tcBorders>
            <w:tcMar>
              <w:top w:w="15" w:type="dxa"/>
              <w:left w:w="15" w:type="dxa"/>
              <w:right w:w="15" w:type="dxa"/>
            </w:tcMar>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w:t>
            </w:r>
          </w:p>
        </w:tc>
        <w:tc>
          <w:tcPr>
            <w:tcW w:w="776"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3～15</w:t>
            </w:r>
          </w:p>
        </w:tc>
        <w:tc>
          <w:tcPr>
            <w:tcW w:w="101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15～450</w:t>
            </w:r>
          </w:p>
        </w:tc>
        <w:tc>
          <w:tcPr>
            <w:tcW w:w="89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低～重大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683"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101</w:t>
            </w:r>
          </w:p>
        </w:tc>
        <w:tc>
          <w:tcPr>
            <w:tcW w:w="828" w:type="dxa"/>
            <w:vMerge w:val="continue"/>
            <w:tcBorders>
              <w:tl2br w:val="nil"/>
              <w:tr2bl w:val="nil"/>
            </w:tcBorders>
            <w:tcMar>
              <w:top w:w="15" w:type="dxa"/>
              <w:left w:w="15" w:type="dxa"/>
              <w:right w:w="15" w:type="dxa"/>
            </w:tcMar>
            <w:vAlign w:val="center"/>
          </w:tcPr>
          <w:p>
            <w:pPr>
              <w:snapToGrid w:val="0"/>
              <w:jc w:val="center"/>
              <w:rPr>
                <w:rFonts w:cs="宋体" w:asciiTheme="minorEastAsia" w:hAnsiTheme="minorEastAsia" w:eastAsiaTheme="minorEastAsia"/>
                <w:sz w:val="18"/>
                <w:szCs w:val="18"/>
              </w:rPr>
            </w:pPr>
          </w:p>
        </w:tc>
        <w:tc>
          <w:tcPr>
            <w:tcW w:w="1157" w:type="dxa"/>
            <w:vMerge w:val="continue"/>
            <w:tcBorders>
              <w:tl2br w:val="nil"/>
              <w:tr2bl w:val="nil"/>
            </w:tcBorders>
            <w:tcMar>
              <w:top w:w="15" w:type="dxa"/>
              <w:left w:w="15" w:type="dxa"/>
              <w:right w:w="15" w:type="dxa"/>
            </w:tcMar>
            <w:vAlign w:val="center"/>
          </w:tcPr>
          <w:p>
            <w:pPr>
              <w:snapToGrid w:val="0"/>
              <w:jc w:val="center"/>
              <w:rPr>
                <w:rFonts w:cs="宋体" w:asciiTheme="minorEastAsia" w:hAnsiTheme="minorEastAsia" w:eastAsiaTheme="minorEastAsia"/>
                <w:sz w:val="18"/>
                <w:szCs w:val="18"/>
              </w:rPr>
            </w:pPr>
          </w:p>
        </w:tc>
        <w:tc>
          <w:tcPr>
            <w:tcW w:w="1562"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杨柳絮、老鼠、蛇等</w:t>
            </w:r>
          </w:p>
        </w:tc>
        <w:tc>
          <w:tcPr>
            <w:tcW w:w="2121"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未采取措施防止动物、杨柳絮进入</w:t>
            </w:r>
          </w:p>
        </w:tc>
        <w:tc>
          <w:tcPr>
            <w:tcW w:w="2779" w:type="dxa"/>
            <w:gridSpan w:val="2"/>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短路、设备损坏</w:t>
            </w:r>
          </w:p>
        </w:tc>
        <w:tc>
          <w:tcPr>
            <w:tcW w:w="89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LS法</w:t>
            </w:r>
          </w:p>
        </w:tc>
        <w:tc>
          <w:tcPr>
            <w:tcW w:w="89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5～30</w:t>
            </w:r>
          </w:p>
        </w:tc>
        <w:tc>
          <w:tcPr>
            <w:tcW w:w="716" w:type="dxa"/>
            <w:tcBorders>
              <w:tl2br w:val="nil"/>
              <w:tr2bl w:val="nil"/>
            </w:tcBorders>
            <w:tcMar>
              <w:top w:w="15" w:type="dxa"/>
              <w:left w:w="15" w:type="dxa"/>
              <w:right w:w="15" w:type="dxa"/>
            </w:tcMar>
            <w:vAlign w:val="center"/>
          </w:tcPr>
          <w:p>
            <w:pPr>
              <w:snapToGrid w:val="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w:t>
            </w:r>
          </w:p>
        </w:tc>
        <w:tc>
          <w:tcPr>
            <w:tcW w:w="776"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3～15</w:t>
            </w:r>
          </w:p>
        </w:tc>
        <w:tc>
          <w:tcPr>
            <w:tcW w:w="101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15～450</w:t>
            </w:r>
          </w:p>
        </w:tc>
        <w:tc>
          <w:tcPr>
            <w:tcW w:w="89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低～重大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683"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102</w:t>
            </w:r>
          </w:p>
        </w:tc>
        <w:tc>
          <w:tcPr>
            <w:tcW w:w="828" w:type="dxa"/>
            <w:vMerge w:val="continue"/>
            <w:tcBorders>
              <w:tl2br w:val="nil"/>
              <w:tr2bl w:val="nil"/>
            </w:tcBorders>
            <w:tcMar>
              <w:top w:w="15" w:type="dxa"/>
              <w:left w:w="15" w:type="dxa"/>
              <w:right w:w="15" w:type="dxa"/>
            </w:tcMar>
            <w:vAlign w:val="center"/>
          </w:tcPr>
          <w:p>
            <w:pPr>
              <w:snapToGrid w:val="0"/>
              <w:jc w:val="center"/>
              <w:rPr>
                <w:rFonts w:cs="宋体" w:asciiTheme="minorEastAsia" w:hAnsiTheme="minorEastAsia" w:eastAsiaTheme="minorEastAsia"/>
                <w:sz w:val="18"/>
                <w:szCs w:val="18"/>
              </w:rPr>
            </w:pPr>
          </w:p>
        </w:tc>
        <w:tc>
          <w:tcPr>
            <w:tcW w:w="1157" w:type="dxa"/>
            <w:vMerge w:val="continue"/>
            <w:tcBorders>
              <w:tl2br w:val="nil"/>
              <w:tr2bl w:val="nil"/>
            </w:tcBorders>
            <w:tcMar>
              <w:top w:w="15" w:type="dxa"/>
              <w:left w:w="15" w:type="dxa"/>
              <w:right w:w="15" w:type="dxa"/>
            </w:tcMar>
            <w:vAlign w:val="center"/>
          </w:tcPr>
          <w:p>
            <w:pPr>
              <w:snapToGrid w:val="0"/>
              <w:jc w:val="center"/>
              <w:rPr>
                <w:rFonts w:cs="宋体" w:asciiTheme="minorEastAsia" w:hAnsiTheme="minorEastAsia" w:eastAsiaTheme="minorEastAsia"/>
                <w:sz w:val="18"/>
                <w:szCs w:val="18"/>
              </w:rPr>
            </w:pPr>
          </w:p>
        </w:tc>
        <w:tc>
          <w:tcPr>
            <w:tcW w:w="1562"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有毒有害气体、废弃物</w:t>
            </w:r>
          </w:p>
        </w:tc>
        <w:tc>
          <w:tcPr>
            <w:tcW w:w="2121"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溢出，处理不当</w:t>
            </w:r>
          </w:p>
        </w:tc>
        <w:tc>
          <w:tcPr>
            <w:tcW w:w="2779" w:type="dxa"/>
            <w:gridSpan w:val="2"/>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中毒、人员伤亡、污染水体</w:t>
            </w:r>
          </w:p>
        </w:tc>
        <w:tc>
          <w:tcPr>
            <w:tcW w:w="89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LS法</w:t>
            </w:r>
          </w:p>
        </w:tc>
        <w:tc>
          <w:tcPr>
            <w:tcW w:w="89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0.5～3</w:t>
            </w:r>
          </w:p>
        </w:tc>
        <w:tc>
          <w:tcPr>
            <w:tcW w:w="716" w:type="dxa"/>
            <w:tcBorders>
              <w:tl2br w:val="nil"/>
              <w:tr2bl w:val="nil"/>
            </w:tcBorders>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2～6</w:t>
            </w:r>
          </w:p>
        </w:tc>
        <w:tc>
          <w:tcPr>
            <w:tcW w:w="776"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3～7</w:t>
            </w:r>
          </w:p>
        </w:tc>
        <w:tc>
          <w:tcPr>
            <w:tcW w:w="101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3～126</w:t>
            </w:r>
          </w:p>
        </w:tc>
        <w:tc>
          <w:tcPr>
            <w:tcW w:w="895" w:type="dxa"/>
            <w:tcBorders>
              <w:tl2br w:val="nil"/>
              <w:tr2bl w:val="nil"/>
            </w:tcBorders>
            <w:noWrap/>
            <w:tcMar>
              <w:top w:w="15" w:type="dxa"/>
              <w:left w:w="15" w:type="dxa"/>
              <w:right w:w="15" w:type="dxa"/>
            </w:tcMar>
            <w:vAlign w:val="center"/>
          </w:tcPr>
          <w:p>
            <w:pPr>
              <w:snapToGrid w:val="0"/>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低～一般</w:t>
            </w:r>
          </w:p>
        </w:tc>
      </w:tr>
    </w:tbl>
    <w:p>
      <w:pPr>
        <w:rPr>
          <w:rFonts w:asciiTheme="minorEastAsia" w:hAnsiTheme="minorEastAsia" w:eastAsiaTheme="minorEastAsia"/>
          <w:sz w:val="21"/>
          <w:szCs w:val="21"/>
        </w:rPr>
        <w:sectPr>
          <w:pgSz w:w="16838" w:h="11906" w:orient="landscape"/>
          <w:pgMar w:top="1797" w:right="1440" w:bottom="1797" w:left="1440" w:header="851" w:footer="992" w:gutter="0"/>
          <w:cols w:space="425" w:num="1"/>
          <w:docGrid w:type="lines" w:linePitch="435" w:charSpace="0"/>
        </w:sectPr>
      </w:pPr>
    </w:p>
    <w:p>
      <w:pPr>
        <w:jc w:val="center"/>
        <w:outlineLvl w:val="0"/>
        <w:rPr>
          <w:rFonts w:ascii="方正小标宋_GBK" w:hAnsi="黑体" w:eastAsia="方正小标宋_GBK"/>
          <w:b/>
          <w:bCs/>
          <w:sz w:val="28"/>
          <w:szCs w:val="28"/>
        </w:rPr>
      </w:pPr>
      <w:bookmarkStart w:id="118" w:name="_Toc117541311"/>
      <w:bookmarkStart w:id="119" w:name="_Hlk117455974"/>
      <w:bookmarkStart w:id="120" w:name="_Toc119336592"/>
      <w:r>
        <w:rPr>
          <w:rFonts w:hint="eastAsia" w:ascii="方正小标宋_GBK" w:hAnsi="黑体" w:eastAsia="方正小标宋_GBK"/>
          <w:b/>
          <w:bCs/>
          <w:sz w:val="28"/>
          <w:szCs w:val="28"/>
        </w:rPr>
        <w:t>附录A.10</w:t>
      </w:r>
      <w:bookmarkEnd w:id="118"/>
      <w:bookmarkEnd w:id="119"/>
      <w:bookmarkEnd w:id="120"/>
    </w:p>
    <w:p>
      <w:pPr>
        <w:jc w:val="center"/>
        <w:rPr>
          <w:rFonts w:ascii="方正小标宋_GBK" w:hAnsi="黑体" w:eastAsia="方正小标宋_GBK"/>
          <w:b/>
          <w:bCs/>
          <w:sz w:val="28"/>
          <w:szCs w:val="28"/>
        </w:rPr>
      </w:pPr>
      <w:r>
        <w:rPr>
          <w:rFonts w:hint="eastAsia" w:ascii="方正小标宋_GBK" w:hAnsi="黑体" w:eastAsia="方正小标宋_GBK"/>
          <w:b/>
          <w:bCs/>
          <w:sz w:val="28"/>
          <w:szCs w:val="28"/>
        </w:rPr>
        <w:t>（资料性附录）</w:t>
      </w:r>
    </w:p>
    <w:p>
      <w:pPr>
        <w:jc w:val="center"/>
        <w:rPr>
          <w:rFonts w:ascii="方正小标宋_GBK" w:hAnsi="黑体" w:eastAsia="方正小标宋_GBK"/>
          <w:b/>
          <w:bCs/>
          <w:sz w:val="28"/>
          <w:szCs w:val="28"/>
        </w:rPr>
      </w:pPr>
    </w:p>
    <w:p>
      <w:pPr>
        <w:jc w:val="center"/>
        <w:outlineLvl w:val="1"/>
        <w:rPr>
          <w:rFonts w:ascii="方正小标宋_GBK" w:hAnsi="黑体" w:eastAsia="方正小标宋_GBK"/>
          <w:b/>
          <w:bCs/>
          <w:sz w:val="28"/>
          <w:szCs w:val="28"/>
        </w:rPr>
      </w:pPr>
      <w:bookmarkStart w:id="121" w:name="_Toc119336593"/>
      <w:bookmarkStart w:id="122" w:name="_Toc117541312"/>
      <w:r>
        <w:rPr>
          <w:rFonts w:hint="eastAsia" w:ascii="方正小标宋_GBK" w:hAnsi="黑体" w:eastAsia="方正小标宋_GBK"/>
          <w:b/>
          <w:bCs/>
          <w:sz w:val="28"/>
          <w:szCs w:val="28"/>
        </w:rPr>
        <w:t>泵站工程运行一般危险源风险评价赋分表（指南）</w:t>
      </w:r>
      <w:bookmarkEnd w:id="121"/>
      <w:bookmarkEnd w:id="122"/>
    </w:p>
    <w:tbl>
      <w:tblPr>
        <w:tblStyle w:val="34"/>
        <w:tblW w:w="1441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74"/>
        <w:gridCol w:w="1095"/>
        <w:gridCol w:w="1184"/>
        <w:gridCol w:w="1607"/>
        <w:gridCol w:w="2437"/>
        <w:gridCol w:w="2189"/>
        <w:gridCol w:w="901"/>
        <w:gridCol w:w="901"/>
        <w:gridCol w:w="721"/>
        <w:gridCol w:w="781"/>
        <w:gridCol w:w="1021"/>
        <w:gridCol w:w="90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20" w:hRule="atLeast"/>
          <w:tblHeader/>
        </w:trPr>
        <w:tc>
          <w:tcPr>
            <w:tcW w:w="637" w:type="dxa"/>
            <w:tcBorders>
              <w:tl2br w:val="nil"/>
              <w:tr2bl w:val="nil"/>
            </w:tcBorders>
            <w:noWrap/>
            <w:tcMar>
              <w:top w:w="15" w:type="dxa"/>
              <w:left w:w="15" w:type="dxa"/>
              <w:right w:w="15" w:type="dxa"/>
            </w:tcMar>
            <w:vAlign w:val="center"/>
          </w:tcPr>
          <w:p>
            <w:pPr>
              <w:snapToGrid w:val="0"/>
              <w:jc w:val="center"/>
              <w:textAlignment w:val="center"/>
              <w:rPr>
                <w:rFonts w:ascii="宋体" w:hAnsi="宋体" w:eastAsia="宋体" w:cs="黑体"/>
                <w:b/>
                <w:sz w:val="18"/>
                <w:szCs w:val="18"/>
              </w:rPr>
            </w:pPr>
            <w:r>
              <w:rPr>
                <w:rFonts w:hint="eastAsia" w:ascii="宋体" w:hAnsi="宋体" w:eastAsia="宋体" w:cs="黑体"/>
                <w:b/>
                <w:sz w:val="18"/>
                <w:szCs w:val="18"/>
                <w:lang w:bidi="ar"/>
              </w:rPr>
              <w:t>序号</w:t>
            </w:r>
          </w:p>
        </w:tc>
        <w:tc>
          <w:tcPr>
            <w:tcW w:w="1033" w:type="dxa"/>
            <w:tcBorders>
              <w:tl2br w:val="nil"/>
              <w:tr2bl w:val="nil"/>
            </w:tcBorders>
            <w:noWrap/>
            <w:tcMar>
              <w:top w:w="15" w:type="dxa"/>
              <w:left w:w="15" w:type="dxa"/>
              <w:right w:w="15" w:type="dxa"/>
            </w:tcMar>
            <w:vAlign w:val="center"/>
          </w:tcPr>
          <w:p>
            <w:pPr>
              <w:snapToGrid w:val="0"/>
              <w:jc w:val="center"/>
              <w:textAlignment w:val="center"/>
              <w:rPr>
                <w:rFonts w:ascii="宋体" w:hAnsi="宋体" w:eastAsia="宋体" w:cs="黑体"/>
                <w:b/>
                <w:sz w:val="18"/>
                <w:szCs w:val="18"/>
              </w:rPr>
            </w:pPr>
            <w:r>
              <w:rPr>
                <w:rFonts w:hint="eastAsia" w:ascii="宋体" w:hAnsi="宋体" w:eastAsia="宋体" w:cs="黑体"/>
                <w:b/>
                <w:sz w:val="18"/>
                <w:szCs w:val="18"/>
                <w:lang w:bidi="ar"/>
              </w:rPr>
              <w:t>类别</w:t>
            </w:r>
          </w:p>
        </w:tc>
        <w:tc>
          <w:tcPr>
            <w:tcW w:w="1117" w:type="dxa"/>
            <w:tcBorders>
              <w:tl2br w:val="nil"/>
              <w:tr2bl w:val="nil"/>
            </w:tcBorders>
            <w:noWrap/>
            <w:tcMar>
              <w:top w:w="15" w:type="dxa"/>
              <w:left w:w="15" w:type="dxa"/>
              <w:right w:w="15" w:type="dxa"/>
            </w:tcMar>
            <w:vAlign w:val="center"/>
          </w:tcPr>
          <w:p>
            <w:pPr>
              <w:snapToGrid w:val="0"/>
              <w:jc w:val="center"/>
              <w:textAlignment w:val="center"/>
              <w:rPr>
                <w:rFonts w:ascii="宋体" w:hAnsi="宋体" w:eastAsia="宋体" w:cs="黑体"/>
                <w:b/>
                <w:sz w:val="18"/>
                <w:szCs w:val="18"/>
              </w:rPr>
            </w:pPr>
            <w:r>
              <w:rPr>
                <w:rFonts w:hint="eastAsia" w:ascii="宋体" w:hAnsi="宋体" w:eastAsia="宋体" w:cs="黑体"/>
                <w:b/>
                <w:sz w:val="18"/>
                <w:szCs w:val="18"/>
                <w:lang w:bidi="ar"/>
              </w:rPr>
              <w:t>项  目</w:t>
            </w:r>
          </w:p>
        </w:tc>
        <w:tc>
          <w:tcPr>
            <w:tcW w:w="1517"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黑体"/>
                <w:b/>
                <w:sz w:val="18"/>
                <w:szCs w:val="18"/>
              </w:rPr>
            </w:pPr>
            <w:r>
              <w:rPr>
                <w:rFonts w:hint="eastAsia" w:ascii="宋体" w:hAnsi="宋体" w:eastAsia="宋体" w:cs="黑体"/>
                <w:b/>
                <w:sz w:val="18"/>
                <w:szCs w:val="18"/>
                <w:lang w:bidi="ar"/>
              </w:rPr>
              <w:t>一般危险源</w:t>
            </w:r>
          </w:p>
        </w:tc>
        <w:tc>
          <w:tcPr>
            <w:tcW w:w="230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黑体"/>
                <w:b/>
                <w:sz w:val="18"/>
                <w:szCs w:val="18"/>
              </w:rPr>
            </w:pPr>
            <w:r>
              <w:rPr>
                <w:rFonts w:hint="eastAsia" w:ascii="宋体" w:hAnsi="宋体" w:eastAsia="宋体" w:cs="黑体"/>
                <w:b/>
                <w:sz w:val="18"/>
                <w:szCs w:val="18"/>
                <w:lang w:bidi="ar"/>
              </w:rPr>
              <w:t>事故诱因</w:t>
            </w:r>
          </w:p>
        </w:tc>
        <w:tc>
          <w:tcPr>
            <w:tcW w:w="2066" w:type="dxa"/>
            <w:tcBorders>
              <w:tl2br w:val="nil"/>
              <w:tr2bl w:val="nil"/>
            </w:tcBorders>
            <w:noWrap/>
            <w:tcMar>
              <w:top w:w="15" w:type="dxa"/>
              <w:left w:w="15" w:type="dxa"/>
              <w:right w:w="15" w:type="dxa"/>
            </w:tcMar>
            <w:vAlign w:val="center"/>
          </w:tcPr>
          <w:p>
            <w:pPr>
              <w:snapToGrid w:val="0"/>
              <w:jc w:val="center"/>
              <w:textAlignment w:val="center"/>
              <w:rPr>
                <w:rFonts w:ascii="宋体" w:hAnsi="宋体" w:eastAsia="宋体" w:cs="黑体"/>
                <w:b/>
                <w:sz w:val="18"/>
                <w:szCs w:val="18"/>
              </w:rPr>
            </w:pPr>
            <w:r>
              <w:rPr>
                <w:rFonts w:hint="eastAsia" w:ascii="宋体" w:hAnsi="宋体" w:eastAsia="宋体" w:cs="黑体"/>
                <w:b/>
                <w:sz w:val="18"/>
                <w:szCs w:val="18"/>
                <w:lang w:bidi="ar"/>
              </w:rPr>
              <w:t>可能导致的后果</w:t>
            </w:r>
          </w:p>
        </w:tc>
        <w:tc>
          <w:tcPr>
            <w:tcW w:w="85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黑体"/>
                <w:b/>
                <w:sz w:val="18"/>
                <w:szCs w:val="18"/>
              </w:rPr>
            </w:pPr>
            <w:r>
              <w:rPr>
                <w:rFonts w:hint="eastAsia" w:ascii="宋体" w:hAnsi="宋体" w:eastAsia="宋体" w:cs="黑体"/>
                <w:b/>
                <w:sz w:val="18"/>
                <w:szCs w:val="18"/>
                <w:lang w:bidi="ar"/>
              </w:rPr>
              <w:t>风险评价方法</w:t>
            </w:r>
          </w:p>
        </w:tc>
        <w:tc>
          <w:tcPr>
            <w:tcW w:w="85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黑体"/>
                <w:b/>
                <w:sz w:val="18"/>
                <w:szCs w:val="18"/>
              </w:rPr>
            </w:pPr>
            <w:r>
              <w:rPr>
                <w:rFonts w:hint="eastAsia" w:ascii="宋体" w:hAnsi="宋体" w:eastAsia="宋体" w:cs="黑体"/>
                <w:b/>
                <w:sz w:val="18"/>
                <w:szCs w:val="18"/>
                <w:lang w:bidi="ar"/>
              </w:rPr>
              <w:t>L值范围</w:t>
            </w:r>
          </w:p>
        </w:tc>
        <w:tc>
          <w:tcPr>
            <w:tcW w:w="68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黑体"/>
                <w:b/>
                <w:sz w:val="18"/>
                <w:szCs w:val="18"/>
              </w:rPr>
            </w:pPr>
            <w:r>
              <w:rPr>
                <w:rFonts w:hint="eastAsia" w:ascii="宋体" w:hAnsi="宋体" w:eastAsia="宋体" w:cs="黑体"/>
                <w:b/>
                <w:sz w:val="18"/>
                <w:szCs w:val="18"/>
                <w:lang w:bidi="ar"/>
              </w:rPr>
              <w:t>E值范围</w:t>
            </w:r>
          </w:p>
        </w:tc>
        <w:tc>
          <w:tcPr>
            <w:tcW w:w="737"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黑体"/>
                <w:b/>
                <w:sz w:val="18"/>
                <w:szCs w:val="18"/>
                <w:lang w:bidi="ar"/>
              </w:rPr>
            </w:pPr>
            <w:r>
              <w:rPr>
                <w:rFonts w:hint="eastAsia" w:ascii="宋体" w:hAnsi="宋体" w:eastAsia="宋体" w:cs="黑体"/>
                <w:b/>
                <w:sz w:val="18"/>
                <w:szCs w:val="18"/>
                <w:lang w:bidi="ar"/>
              </w:rPr>
              <w:t>S值或</w:t>
            </w:r>
          </w:p>
          <w:p>
            <w:pPr>
              <w:snapToGrid w:val="0"/>
              <w:jc w:val="center"/>
              <w:textAlignment w:val="center"/>
              <w:rPr>
                <w:rFonts w:ascii="宋体" w:hAnsi="宋体" w:eastAsia="宋体" w:cs="黑体"/>
                <w:b/>
                <w:sz w:val="18"/>
                <w:szCs w:val="18"/>
              </w:rPr>
            </w:pPr>
            <w:r>
              <w:rPr>
                <w:rFonts w:hint="eastAsia" w:ascii="宋体" w:hAnsi="宋体" w:eastAsia="宋体" w:cs="黑体"/>
                <w:b/>
                <w:sz w:val="18"/>
                <w:szCs w:val="18"/>
                <w:lang w:bidi="ar"/>
              </w:rPr>
              <w:t>C值范围</w:t>
            </w:r>
          </w:p>
        </w:tc>
        <w:tc>
          <w:tcPr>
            <w:tcW w:w="964"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黑体"/>
                <w:b/>
                <w:sz w:val="18"/>
                <w:szCs w:val="18"/>
                <w:lang w:bidi="ar"/>
              </w:rPr>
            </w:pPr>
            <w:r>
              <w:rPr>
                <w:rFonts w:hint="eastAsia" w:ascii="宋体" w:hAnsi="宋体" w:eastAsia="宋体" w:cs="黑体"/>
                <w:b/>
                <w:sz w:val="18"/>
                <w:szCs w:val="18"/>
                <w:lang w:bidi="ar"/>
              </w:rPr>
              <w:t>R值或</w:t>
            </w:r>
          </w:p>
          <w:p>
            <w:pPr>
              <w:snapToGrid w:val="0"/>
              <w:jc w:val="center"/>
              <w:textAlignment w:val="center"/>
              <w:rPr>
                <w:rFonts w:ascii="宋体" w:hAnsi="宋体" w:eastAsia="宋体" w:cs="黑体"/>
                <w:b/>
                <w:sz w:val="18"/>
                <w:szCs w:val="18"/>
              </w:rPr>
            </w:pPr>
            <w:r>
              <w:rPr>
                <w:rFonts w:hint="eastAsia" w:ascii="宋体" w:hAnsi="宋体" w:eastAsia="宋体" w:cs="黑体"/>
                <w:b/>
                <w:sz w:val="18"/>
                <w:szCs w:val="18"/>
                <w:lang w:bidi="ar"/>
              </w:rPr>
              <w:t>D值范围</w:t>
            </w:r>
          </w:p>
        </w:tc>
        <w:tc>
          <w:tcPr>
            <w:tcW w:w="85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黑体"/>
                <w:b/>
                <w:sz w:val="18"/>
                <w:szCs w:val="18"/>
              </w:rPr>
            </w:pPr>
            <w:r>
              <w:rPr>
                <w:rFonts w:hint="eastAsia" w:ascii="宋体" w:hAnsi="宋体" w:eastAsia="宋体" w:cs="黑体"/>
                <w:b/>
                <w:sz w:val="18"/>
                <w:szCs w:val="18"/>
                <w:lang w:bidi="ar"/>
              </w:rPr>
              <w:t>风险等级范围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20" w:hRule="atLeast"/>
        </w:trPr>
        <w:tc>
          <w:tcPr>
            <w:tcW w:w="637" w:type="dxa"/>
            <w:tcBorders>
              <w:tl2br w:val="nil"/>
              <w:tr2bl w:val="nil"/>
            </w:tcBorders>
            <w:noWrap/>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1</w:t>
            </w:r>
          </w:p>
        </w:tc>
        <w:tc>
          <w:tcPr>
            <w:tcW w:w="1033" w:type="dxa"/>
            <w:vMerge w:val="restart"/>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构（建）筑物类</w:t>
            </w:r>
          </w:p>
        </w:tc>
        <w:tc>
          <w:tcPr>
            <w:tcW w:w="1117" w:type="dxa"/>
            <w:vMerge w:val="restart"/>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进出水建筑物</w:t>
            </w:r>
          </w:p>
        </w:tc>
        <w:tc>
          <w:tcPr>
            <w:tcW w:w="1517"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进出水渠</w:t>
            </w:r>
          </w:p>
        </w:tc>
        <w:tc>
          <w:tcPr>
            <w:tcW w:w="230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冲刷、变形、渗漏</w:t>
            </w:r>
          </w:p>
        </w:tc>
        <w:tc>
          <w:tcPr>
            <w:tcW w:w="2066"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淤积、坍塌</w:t>
            </w:r>
          </w:p>
        </w:tc>
        <w:tc>
          <w:tcPr>
            <w:tcW w:w="85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LS法</w:t>
            </w:r>
          </w:p>
        </w:tc>
        <w:tc>
          <w:tcPr>
            <w:tcW w:w="85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5～10</w:t>
            </w:r>
          </w:p>
        </w:tc>
        <w:tc>
          <w:tcPr>
            <w:tcW w:w="680" w:type="dxa"/>
            <w:tcBorders>
              <w:tl2br w:val="nil"/>
              <w:tr2bl w:val="nil"/>
            </w:tcBorders>
            <w:tcMar>
              <w:top w:w="15" w:type="dxa"/>
              <w:left w:w="15" w:type="dxa"/>
              <w:right w:w="15" w:type="dxa"/>
            </w:tcMar>
            <w:vAlign w:val="center"/>
          </w:tcPr>
          <w:p>
            <w:pPr>
              <w:snapToGrid w:val="0"/>
              <w:jc w:val="center"/>
              <w:rPr>
                <w:rFonts w:ascii="宋体" w:hAnsi="宋体" w:eastAsia="宋体" w:cs="宋体"/>
                <w:sz w:val="18"/>
                <w:szCs w:val="18"/>
              </w:rPr>
            </w:pPr>
            <w:r>
              <w:rPr>
                <w:rFonts w:hint="eastAsia" w:ascii="宋体" w:hAnsi="宋体" w:eastAsia="宋体" w:cs="宋体"/>
                <w:sz w:val="18"/>
                <w:szCs w:val="18"/>
              </w:rPr>
              <w:t>/</w:t>
            </w:r>
          </w:p>
        </w:tc>
        <w:tc>
          <w:tcPr>
            <w:tcW w:w="737"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3～15</w:t>
            </w:r>
          </w:p>
        </w:tc>
        <w:tc>
          <w:tcPr>
            <w:tcW w:w="964"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15～150</w:t>
            </w:r>
          </w:p>
        </w:tc>
        <w:tc>
          <w:tcPr>
            <w:tcW w:w="850" w:type="dxa"/>
            <w:tcBorders>
              <w:tl2br w:val="nil"/>
              <w:tr2bl w:val="nil"/>
            </w:tcBorders>
            <w:noWrap/>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低～一般</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20" w:hRule="atLeast"/>
        </w:trPr>
        <w:tc>
          <w:tcPr>
            <w:tcW w:w="637" w:type="dxa"/>
            <w:tcBorders>
              <w:tl2br w:val="nil"/>
              <w:tr2bl w:val="nil"/>
            </w:tcBorders>
            <w:shd w:val="clear" w:color="auto" w:fill="auto"/>
            <w:noWrap/>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2</w:t>
            </w:r>
          </w:p>
        </w:tc>
        <w:tc>
          <w:tcPr>
            <w:tcW w:w="1033" w:type="dxa"/>
            <w:vMerge w:val="continue"/>
            <w:tcBorders>
              <w:tl2br w:val="nil"/>
              <w:tr2bl w:val="nil"/>
            </w:tcBorders>
            <w:shd w:val="clear" w:color="auto" w:fill="auto"/>
            <w:tcMar>
              <w:top w:w="15" w:type="dxa"/>
              <w:left w:w="15" w:type="dxa"/>
              <w:right w:w="15" w:type="dxa"/>
            </w:tcMar>
            <w:vAlign w:val="center"/>
          </w:tcPr>
          <w:p>
            <w:pPr>
              <w:snapToGrid w:val="0"/>
              <w:jc w:val="center"/>
              <w:rPr>
                <w:rFonts w:ascii="宋体" w:hAnsi="宋体" w:eastAsia="宋体" w:cs="宋体"/>
                <w:sz w:val="18"/>
                <w:szCs w:val="18"/>
              </w:rPr>
            </w:pPr>
          </w:p>
        </w:tc>
        <w:tc>
          <w:tcPr>
            <w:tcW w:w="1117" w:type="dxa"/>
            <w:vMerge w:val="continue"/>
            <w:tcBorders>
              <w:tl2br w:val="nil"/>
              <w:tr2bl w:val="nil"/>
            </w:tcBorders>
            <w:shd w:val="clear" w:color="auto" w:fill="auto"/>
            <w:tcMar>
              <w:top w:w="15" w:type="dxa"/>
              <w:left w:w="15" w:type="dxa"/>
              <w:right w:w="15" w:type="dxa"/>
            </w:tcMar>
            <w:vAlign w:val="center"/>
          </w:tcPr>
          <w:p>
            <w:pPr>
              <w:snapToGrid w:val="0"/>
              <w:jc w:val="center"/>
              <w:rPr>
                <w:rFonts w:ascii="宋体" w:hAnsi="宋体" w:eastAsia="宋体" w:cs="宋体"/>
                <w:sz w:val="18"/>
                <w:szCs w:val="18"/>
              </w:rPr>
            </w:pPr>
          </w:p>
        </w:tc>
        <w:tc>
          <w:tcPr>
            <w:tcW w:w="1517" w:type="dxa"/>
            <w:tcBorders>
              <w:tl2br w:val="nil"/>
              <w:tr2bl w:val="nil"/>
            </w:tcBorders>
            <w:shd w:val="clear" w:color="auto" w:fill="auto"/>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前池、进水池</w:t>
            </w:r>
          </w:p>
        </w:tc>
        <w:tc>
          <w:tcPr>
            <w:tcW w:w="2300" w:type="dxa"/>
            <w:tcBorders>
              <w:tl2br w:val="nil"/>
              <w:tr2bl w:val="nil"/>
            </w:tcBorders>
            <w:shd w:val="clear" w:color="auto" w:fill="auto"/>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渗漏、水位骤降</w:t>
            </w:r>
          </w:p>
        </w:tc>
        <w:tc>
          <w:tcPr>
            <w:tcW w:w="2066" w:type="dxa"/>
            <w:tcBorders>
              <w:tl2br w:val="nil"/>
              <w:tr2bl w:val="nil"/>
            </w:tcBorders>
            <w:shd w:val="clear" w:color="auto" w:fill="auto"/>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隆起、开裂破坏</w:t>
            </w:r>
          </w:p>
        </w:tc>
        <w:tc>
          <w:tcPr>
            <w:tcW w:w="850" w:type="dxa"/>
            <w:tcBorders>
              <w:tl2br w:val="nil"/>
              <w:tr2bl w:val="nil"/>
            </w:tcBorders>
            <w:shd w:val="clear" w:color="auto" w:fill="FFFFFF"/>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LS法</w:t>
            </w:r>
          </w:p>
        </w:tc>
        <w:tc>
          <w:tcPr>
            <w:tcW w:w="850" w:type="dxa"/>
            <w:tcBorders>
              <w:tl2br w:val="nil"/>
              <w:tr2bl w:val="nil"/>
            </w:tcBorders>
            <w:shd w:val="clear" w:color="auto" w:fill="auto"/>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5～10</w:t>
            </w:r>
          </w:p>
        </w:tc>
        <w:tc>
          <w:tcPr>
            <w:tcW w:w="680" w:type="dxa"/>
            <w:tcBorders>
              <w:tl2br w:val="nil"/>
              <w:tr2bl w:val="nil"/>
            </w:tcBorders>
            <w:shd w:val="clear" w:color="auto" w:fill="FFFFFF"/>
            <w:tcMar>
              <w:top w:w="15" w:type="dxa"/>
              <w:left w:w="15" w:type="dxa"/>
              <w:right w:w="15" w:type="dxa"/>
            </w:tcMar>
            <w:vAlign w:val="center"/>
          </w:tcPr>
          <w:p>
            <w:pPr>
              <w:snapToGrid w:val="0"/>
              <w:jc w:val="center"/>
              <w:rPr>
                <w:rFonts w:ascii="宋体" w:hAnsi="宋体" w:eastAsia="宋体" w:cs="宋体"/>
                <w:sz w:val="18"/>
                <w:szCs w:val="18"/>
              </w:rPr>
            </w:pPr>
            <w:r>
              <w:rPr>
                <w:rFonts w:hint="eastAsia" w:ascii="宋体" w:hAnsi="宋体" w:eastAsia="宋体" w:cs="宋体"/>
                <w:sz w:val="18"/>
                <w:szCs w:val="18"/>
              </w:rPr>
              <w:t>/</w:t>
            </w:r>
          </w:p>
        </w:tc>
        <w:tc>
          <w:tcPr>
            <w:tcW w:w="737"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3～15</w:t>
            </w:r>
          </w:p>
        </w:tc>
        <w:tc>
          <w:tcPr>
            <w:tcW w:w="964"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15～150</w:t>
            </w:r>
          </w:p>
        </w:tc>
        <w:tc>
          <w:tcPr>
            <w:tcW w:w="850" w:type="dxa"/>
            <w:tcBorders>
              <w:tl2br w:val="nil"/>
              <w:tr2bl w:val="nil"/>
            </w:tcBorders>
            <w:noWrap/>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低～一般</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20" w:hRule="atLeast"/>
        </w:trPr>
        <w:tc>
          <w:tcPr>
            <w:tcW w:w="637" w:type="dxa"/>
            <w:tcBorders>
              <w:tl2br w:val="nil"/>
              <w:tr2bl w:val="nil"/>
            </w:tcBorders>
            <w:noWrap/>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3</w:t>
            </w:r>
          </w:p>
        </w:tc>
        <w:tc>
          <w:tcPr>
            <w:tcW w:w="1033" w:type="dxa"/>
            <w:vMerge w:val="continue"/>
            <w:tcBorders>
              <w:tl2br w:val="nil"/>
              <w:tr2bl w:val="nil"/>
            </w:tcBorders>
            <w:tcMar>
              <w:top w:w="15" w:type="dxa"/>
              <w:left w:w="15" w:type="dxa"/>
              <w:right w:w="15" w:type="dxa"/>
            </w:tcMar>
            <w:vAlign w:val="center"/>
          </w:tcPr>
          <w:p>
            <w:pPr>
              <w:snapToGrid w:val="0"/>
              <w:jc w:val="center"/>
              <w:rPr>
                <w:rFonts w:ascii="宋体" w:hAnsi="宋体" w:eastAsia="宋体" w:cs="宋体"/>
                <w:sz w:val="18"/>
                <w:szCs w:val="18"/>
              </w:rPr>
            </w:pPr>
          </w:p>
        </w:tc>
        <w:tc>
          <w:tcPr>
            <w:tcW w:w="1117" w:type="dxa"/>
            <w:vMerge w:val="continue"/>
            <w:tcBorders>
              <w:tl2br w:val="nil"/>
              <w:tr2bl w:val="nil"/>
            </w:tcBorders>
            <w:tcMar>
              <w:top w:w="15" w:type="dxa"/>
              <w:left w:w="15" w:type="dxa"/>
              <w:right w:w="15" w:type="dxa"/>
            </w:tcMar>
            <w:vAlign w:val="center"/>
          </w:tcPr>
          <w:p>
            <w:pPr>
              <w:snapToGrid w:val="0"/>
              <w:jc w:val="center"/>
              <w:rPr>
                <w:rFonts w:ascii="宋体" w:hAnsi="宋体" w:eastAsia="宋体" w:cs="宋体"/>
                <w:sz w:val="18"/>
                <w:szCs w:val="18"/>
              </w:rPr>
            </w:pPr>
          </w:p>
        </w:tc>
        <w:tc>
          <w:tcPr>
            <w:tcW w:w="1517"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进水流道</w:t>
            </w:r>
          </w:p>
        </w:tc>
        <w:tc>
          <w:tcPr>
            <w:tcW w:w="230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进水流道淤积</w:t>
            </w:r>
          </w:p>
        </w:tc>
        <w:tc>
          <w:tcPr>
            <w:tcW w:w="2066"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堵塞、设备受损</w:t>
            </w:r>
          </w:p>
        </w:tc>
        <w:tc>
          <w:tcPr>
            <w:tcW w:w="850" w:type="dxa"/>
            <w:tcBorders>
              <w:tl2br w:val="nil"/>
              <w:tr2bl w:val="nil"/>
            </w:tcBorders>
            <w:noWrap/>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LS法</w:t>
            </w:r>
          </w:p>
        </w:tc>
        <w:tc>
          <w:tcPr>
            <w:tcW w:w="85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5～5</w:t>
            </w:r>
          </w:p>
        </w:tc>
        <w:tc>
          <w:tcPr>
            <w:tcW w:w="680" w:type="dxa"/>
            <w:tcBorders>
              <w:tl2br w:val="nil"/>
              <w:tr2bl w:val="nil"/>
            </w:tcBorders>
            <w:tcMar>
              <w:top w:w="15" w:type="dxa"/>
              <w:left w:w="15" w:type="dxa"/>
              <w:right w:w="15" w:type="dxa"/>
            </w:tcMar>
            <w:vAlign w:val="center"/>
          </w:tcPr>
          <w:p>
            <w:pPr>
              <w:snapToGrid w:val="0"/>
              <w:jc w:val="center"/>
              <w:rPr>
                <w:rFonts w:ascii="宋体" w:hAnsi="宋体" w:eastAsia="宋体" w:cs="宋体"/>
                <w:sz w:val="18"/>
                <w:szCs w:val="18"/>
              </w:rPr>
            </w:pPr>
            <w:r>
              <w:rPr>
                <w:rFonts w:hint="eastAsia" w:ascii="宋体" w:hAnsi="宋体" w:eastAsia="宋体" w:cs="宋体"/>
                <w:sz w:val="18"/>
                <w:szCs w:val="18"/>
              </w:rPr>
              <w:t>/</w:t>
            </w:r>
          </w:p>
        </w:tc>
        <w:tc>
          <w:tcPr>
            <w:tcW w:w="737"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3～15</w:t>
            </w:r>
          </w:p>
        </w:tc>
        <w:tc>
          <w:tcPr>
            <w:tcW w:w="964"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15～75</w:t>
            </w:r>
          </w:p>
        </w:tc>
        <w:tc>
          <w:tcPr>
            <w:tcW w:w="850" w:type="dxa"/>
            <w:tcBorders>
              <w:tl2br w:val="nil"/>
              <w:tr2bl w:val="nil"/>
            </w:tcBorders>
            <w:noWrap/>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低～一般</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20" w:hRule="atLeast"/>
        </w:trPr>
        <w:tc>
          <w:tcPr>
            <w:tcW w:w="637" w:type="dxa"/>
            <w:tcBorders>
              <w:tl2br w:val="nil"/>
              <w:tr2bl w:val="nil"/>
            </w:tcBorders>
            <w:noWrap/>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4</w:t>
            </w:r>
          </w:p>
        </w:tc>
        <w:tc>
          <w:tcPr>
            <w:tcW w:w="1033" w:type="dxa"/>
            <w:vMerge w:val="continue"/>
            <w:tcBorders>
              <w:tl2br w:val="nil"/>
              <w:tr2bl w:val="nil"/>
            </w:tcBorders>
            <w:tcMar>
              <w:top w:w="15" w:type="dxa"/>
              <w:left w:w="15" w:type="dxa"/>
              <w:right w:w="15" w:type="dxa"/>
            </w:tcMar>
            <w:vAlign w:val="center"/>
          </w:tcPr>
          <w:p>
            <w:pPr>
              <w:snapToGrid w:val="0"/>
              <w:jc w:val="center"/>
              <w:rPr>
                <w:rFonts w:ascii="宋体" w:hAnsi="宋体" w:eastAsia="宋体" w:cs="宋体"/>
                <w:sz w:val="18"/>
                <w:szCs w:val="18"/>
              </w:rPr>
            </w:pPr>
          </w:p>
        </w:tc>
        <w:tc>
          <w:tcPr>
            <w:tcW w:w="1117" w:type="dxa"/>
            <w:vMerge w:val="continue"/>
            <w:tcBorders>
              <w:tl2br w:val="nil"/>
              <w:tr2bl w:val="nil"/>
            </w:tcBorders>
            <w:tcMar>
              <w:top w:w="15" w:type="dxa"/>
              <w:left w:w="15" w:type="dxa"/>
              <w:right w:w="15" w:type="dxa"/>
            </w:tcMar>
            <w:vAlign w:val="center"/>
          </w:tcPr>
          <w:p>
            <w:pPr>
              <w:snapToGrid w:val="0"/>
              <w:jc w:val="center"/>
              <w:rPr>
                <w:rFonts w:ascii="宋体" w:hAnsi="宋体" w:eastAsia="宋体" w:cs="宋体"/>
                <w:sz w:val="18"/>
                <w:szCs w:val="18"/>
              </w:rPr>
            </w:pPr>
          </w:p>
        </w:tc>
        <w:tc>
          <w:tcPr>
            <w:tcW w:w="1517"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出水流道</w:t>
            </w:r>
          </w:p>
        </w:tc>
        <w:tc>
          <w:tcPr>
            <w:tcW w:w="230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沉降变形</w:t>
            </w:r>
          </w:p>
        </w:tc>
        <w:tc>
          <w:tcPr>
            <w:tcW w:w="2066"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渗水、漫溢、水淹厂房</w:t>
            </w:r>
          </w:p>
        </w:tc>
        <w:tc>
          <w:tcPr>
            <w:tcW w:w="85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LS法</w:t>
            </w:r>
          </w:p>
        </w:tc>
        <w:tc>
          <w:tcPr>
            <w:tcW w:w="85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5～5</w:t>
            </w:r>
          </w:p>
        </w:tc>
        <w:tc>
          <w:tcPr>
            <w:tcW w:w="680" w:type="dxa"/>
            <w:tcBorders>
              <w:tl2br w:val="nil"/>
              <w:tr2bl w:val="nil"/>
            </w:tcBorders>
            <w:tcMar>
              <w:top w:w="15" w:type="dxa"/>
              <w:left w:w="15" w:type="dxa"/>
              <w:right w:w="15" w:type="dxa"/>
            </w:tcMar>
            <w:vAlign w:val="center"/>
          </w:tcPr>
          <w:p>
            <w:pPr>
              <w:snapToGrid w:val="0"/>
              <w:jc w:val="center"/>
              <w:rPr>
                <w:rFonts w:ascii="宋体" w:hAnsi="宋体" w:eastAsia="宋体" w:cs="宋体"/>
                <w:sz w:val="18"/>
                <w:szCs w:val="18"/>
              </w:rPr>
            </w:pPr>
            <w:r>
              <w:rPr>
                <w:rFonts w:hint="eastAsia" w:ascii="宋体" w:hAnsi="宋体" w:eastAsia="宋体" w:cs="宋体"/>
                <w:sz w:val="18"/>
                <w:szCs w:val="18"/>
              </w:rPr>
              <w:t>/</w:t>
            </w:r>
          </w:p>
        </w:tc>
        <w:tc>
          <w:tcPr>
            <w:tcW w:w="737"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3～15</w:t>
            </w:r>
          </w:p>
        </w:tc>
        <w:tc>
          <w:tcPr>
            <w:tcW w:w="964"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15～75</w:t>
            </w:r>
          </w:p>
        </w:tc>
        <w:tc>
          <w:tcPr>
            <w:tcW w:w="850" w:type="dxa"/>
            <w:tcBorders>
              <w:tl2br w:val="nil"/>
              <w:tr2bl w:val="nil"/>
            </w:tcBorders>
            <w:noWrap/>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低～一般</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20" w:hRule="atLeast"/>
        </w:trPr>
        <w:tc>
          <w:tcPr>
            <w:tcW w:w="637" w:type="dxa"/>
            <w:tcBorders>
              <w:tl2br w:val="nil"/>
              <w:tr2bl w:val="nil"/>
            </w:tcBorders>
            <w:noWrap/>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5</w:t>
            </w:r>
          </w:p>
        </w:tc>
        <w:tc>
          <w:tcPr>
            <w:tcW w:w="1033" w:type="dxa"/>
            <w:vMerge w:val="continue"/>
            <w:tcBorders>
              <w:tl2br w:val="nil"/>
              <w:tr2bl w:val="nil"/>
            </w:tcBorders>
            <w:tcMar>
              <w:top w:w="15" w:type="dxa"/>
              <w:left w:w="15" w:type="dxa"/>
              <w:right w:w="15" w:type="dxa"/>
            </w:tcMar>
            <w:vAlign w:val="center"/>
          </w:tcPr>
          <w:p>
            <w:pPr>
              <w:snapToGrid w:val="0"/>
              <w:jc w:val="center"/>
              <w:rPr>
                <w:rFonts w:ascii="宋体" w:hAnsi="宋体" w:eastAsia="宋体" w:cs="宋体"/>
                <w:sz w:val="18"/>
                <w:szCs w:val="18"/>
              </w:rPr>
            </w:pPr>
          </w:p>
        </w:tc>
        <w:tc>
          <w:tcPr>
            <w:tcW w:w="1117" w:type="dxa"/>
            <w:vMerge w:val="continue"/>
            <w:tcBorders>
              <w:tl2br w:val="nil"/>
              <w:tr2bl w:val="nil"/>
            </w:tcBorders>
            <w:tcMar>
              <w:top w:w="15" w:type="dxa"/>
              <w:left w:w="15" w:type="dxa"/>
              <w:right w:w="15" w:type="dxa"/>
            </w:tcMar>
            <w:vAlign w:val="center"/>
          </w:tcPr>
          <w:p>
            <w:pPr>
              <w:snapToGrid w:val="0"/>
              <w:jc w:val="center"/>
              <w:rPr>
                <w:rFonts w:ascii="宋体" w:hAnsi="宋体" w:eastAsia="宋体" w:cs="宋体"/>
                <w:sz w:val="18"/>
                <w:szCs w:val="18"/>
              </w:rPr>
            </w:pPr>
          </w:p>
        </w:tc>
        <w:tc>
          <w:tcPr>
            <w:tcW w:w="1517"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压力水箱</w:t>
            </w:r>
          </w:p>
        </w:tc>
        <w:tc>
          <w:tcPr>
            <w:tcW w:w="230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沉降变形、止水失效</w:t>
            </w:r>
          </w:p>
        </w:tc>
        <w:tc>
          <w:tcPr>
            <w:tcW w:w="2066"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水淹厂房、设备受损</w:t>
            </w:r>
          </w:p>
        </w:tc>
        <w:tc>
          <w:tcPr>
            <w:tcW w:w="85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LS法</w:t>
            </w:r>
          </w:p>
        </w:tc>
        <w:tc>
          <w:tcPr>
            <w:tcW w:w="85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5～30</w:t>
            </w:r>
          </w:p>
        </w:tc>
        <w:tc>
          <w:tcPr>
            <w:tcW w:w="680" w:type="dxa"/>
            <w:tcBorders>
              <w:tl2br w:val="nil"/>
              <w:tr2bl w:val="nil"/>
            </w:tcBorders>
            <w:tcMar>
              <w:top w:w="15" w:type="dxa"/>
              <w:left w:w="15" w:type="dxa"/>
              <w:right w:w="15" w:type="dxa"/>
            </w:tcMar>
            <w:vAlign w:val="center"/>
          </w:tcPr>
          <w:p>
            <w:pPr>
              <w:snapToGrid w:val="0"/>
              <w:jc w:val="center"/>
              <w:rPr>
                <w:rFonts w:ascii="宋体" w:hAnsi="宋体" w:eastAsia="宋体" w:cs="宋体"/>
                <w:sz w:val="18"/>
                <w:szCs w:val="18"/>
              </w:rPr>
            </w:pPr>
            <w:r>
              <w:rPr>
                <w:rFonts w:hint="eastAsia" w:ascii="宋体" w:hAnsi="宋体" w:eastAsia="宋体" w:cs="宋体"/>
                <w:sz w:val="18"/>
                <w:szCs w:val="18"/>
              </w:rPr>
              <w:t>/</w:t>
            </w:r>
          </w:p>
        </w:tc>
        <w:tc>
          <w:tcPr>
            <w:tcW w:w="737"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3～15</w:t>
            </w:r>
          </w:p>
        </w:tc>
        <w:tc>
          <w:tcPr>
            <w:tcW w:w="964"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15～450</w:t>
            </w:r>
          </w:p>
        </w:tc>
        <w:tc>
          <w:tcPr>
            <w:tcW w:w="850" w:type="dxa"/>
            <w:tcBorders>
              <w:tl2br w:val="nil"/>
              <w:tr2bl w:val="nil"/>
            </w:tcBorders>
            <w:noWrap/>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低～重大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20" w:hRule="atLeast"/>
        </w:trPr>
        <w:tc>
          <w:tcPr>
            <w:tcW w:w="637" w:type="dxa"/>
            <w:tcBorders>
              <w:tl2br w:val="nil"/>
              <w:tr2bl w:val="nil"/>
            </w:tcBorders>
            <w:noWrap/>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6</w:t>
            </w:r>
          </w:p>
        </w:tc>
        <w:tc>
          <w:tcPr>
            <w:tcW w:w="1033" w:type="dxa"/>
            <w:vMerge w:val="continue"/>
            <w:tcBorders>
              <w:tl2br w:val="nil"/>
              <w:tr2bl w:val="nil"/>
            </w:tcBorders>
            <w:tcMar>
              <w:top w:w="15" w:type="dxa"/>
              <w:left w:w="15" w:type="dxa"/>
              <w:right w:w="15" w:type="dxa"/>
            </w:tcMar>
            <w:vAlign w:val="center"/>
          </w:tcPr>
          <w:p>
            <w:pPr>
              <w:snapToGrid w:val="0"/>
              <w:jc w:val="center"/>
              <w:rPr>
                <w:rFonts w:ascii="宋体" w:hAnsi="宋体" w:eastAsia="宋体" w:cs="宋体"/>
                <w:sz w:val="18"/>
                <w:szCs w:val="18"/>
              </w:rPr>
            </w:pPr>
          </w:p>
        </w:tc>
        <w:tc>
          <w:tcPr>
            <w:tcW w:w="1117" w:type="dxa"/>
            <w:vMerge w:val="continue"/>
            <w:tcBorders>
              <w:tl2br w:val="nil"/>
              <w:tr2bl w:val="nil"/>
            </w:tcBorders>
            <w:tcMar>
              <w:top w:w="15" w:type="dxa"/>
              <w:left w:w="15" w:type="dxa"/>
              <w:right w:w="15" w:type="dxa"/>
            </w:tcMar>
            <w:vAlign w:val="center"/>
          </w:tcPr>
          <w:p>
            <w:pPr>
              <w:snapToGrid w:val="0"/>
              <w:jc w:val="center"/>
              <w:rPr>
                <w:rFonts w:ascii="宋体" w:hAnsi="宋体" w:eastAsia="宋体" w:cs="宋体"/>
                <w:sz w:val="18"/>
                <w:szCs w:val="18"/>
              </w:rPr>
            </w:pPr>
          </w:p>
        </w:tc>
        <w:tc>
          <w:tcPr>
            <w:tcW w:w="1517"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进出水翼墙</w:t>
            </w:r>
          </w:p>
        </w:tc>
        <w:tc>
          <w:tcPr>
            <w:tcW w:w="230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沉降变形、渗透破坏</w:t>
            </w:r>
          </w:p>
        </w:tc>
        <w:tc>
          <w:tcPr>
            <w:tcW w:w="2066"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滑移、裂缝、变形、倾覆、倒塌</w:t>
            </w:r>
          </w:p>
        </w:tc>
        <w:tc>
          <w:tcPr>
            <w:tcW w:w="85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LS法</w:t>
            </w:r>
          </w:p>
        </w:tc>
        <w:tc>
          <w:tcPr>
            <w:tcW w:w="85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5～30</w:t>
            </w:r>
          </w:p>
        </w:tc>
        <w:tc>
          <w:tcPr>
            <w:tcW w:w="680" w:type="dxa"/>
            <w:tcBorders>
              <w:tl2br w:val="nil"/>
              <w:tr2bl w:val="nil"/>
            </w:tcBorders>
            <w:tcMar>
              <w:top w:w="15" w:type="dxa"/>
              <w:left w:w="15" w:type="dxa"/>
              <w:right w:w="15" w:type="dxa"/>
            </w:tcMar>
            <w:vAlign w:val="center"/>
          </w:tcPr>
          <w:p>
            <w:pPr>
              <w:snapToGrid w:val="0"/>
              <w:jc w:val="center"/>
              <w:rPr>
                <w:rFonts w:ascii="宋体" w:hAnsi="宋体" w:eastAsia="宋体" w:cs="宋体"/>
                <w:sz w:val="18"/>
                <w:szCs w:val="18"/>
              </w:rPr>
            </w:pPr>
            <w:r>
              <w:rPr>
                <w:rFonts w:hint="eastAsia" w:ascii="宋体" w:hAnsi="宋体" w:eastAsia="宋体" w:cs="宋体"/>
                <w:sz w:val="18"/>
                <w:szCs w:val="18"/>
              </w:rPr>
              <w:t>/</w:t>
            </w:r>
          </w:p>
        </w:tc>
        <w:tc>
          <w:tcPr>
            <w:tcW w:w="737"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3～15</w:t>
            </w:r>
          </w:p>
        </w:tc>
        <w:tc>
          <w:tcPr>
            <w:tcW w:w="964"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15～450</w:t>
            </w:r>
          </w:p>
        </w:tc>
        <w:tc>
          <w:tcPr>
            <w:tcW w:w="850" w:type="dxa"/>
            <w:tcBorders>
              <w:tl2br w:val="nil"/>
              <w:tr2bl w:val="nil"/>
            </w:tcBorders>
            <w:noWrap/>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低～重大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20" w:hRule="atLeast"/>
        </w:trPr>
        <w:tc>
          <w:tcPr>
            <w:tcW w:w="637" w:type="dxa"/>
            <w:tcBorders>
              <w:tl2br w:val="nil"/>
              <w:tr2bl w:val="nil"/>
            </w:tcBorders>
            <w:noWrap/>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7</w:t>
            </w:r>
          </w:p>
        </w:tc>
        <w:tc>
          <w:tcPr>
            <w:tcW w:w="1033" w:type="dxa"/>
            <w:vMerge w:val="continue"/>
            <w:tcBorders>
              <w:tl2br w:val="nil"/>
              <w:tr2bl w:val="nil"/>
            </w:tcBorders>
            <w:tcMar>
              <w:top w:w="15" w:type="dxa"/>
              <w:left w:w="15" w:type="dxa"/>
              <w:right w:w="15" w:type="dxa"/>
            </w:tcMar>
            <w:vAlign w:val="center"/>
          </w:tcPr>
          <w:p>
            <w:pPr>
              <w:snapToGrid w:val="0"/>
              <w:jc w:val="center"/>
              <w:rPr>
                <w:rFonts w:ascii="宋体" w:hAnsi="宋体" w:eastAsia="宋体" w:cs="宋体"/>
                <w:sz w:val="18"/>
                <w:szCs w:val="18"/>
              </w:rPr>
            </w:pPr>
          </w:p>
        </w:tc>
        <w:tc>
          <w:tcPr>
            <w:tcW w:w="1117" w:type="dxa"/>
            <w:vMerge w:val="restart"/>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泵房</w:t>
            </w:r>
          </w:p>
        </w:tc>
        <w:tc>
          <w:tcPr>
            <w:tcW w:w="1517"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站身稳定及渗流</w:t>
            </w:r>
          </w:p>
        </w:tc>
        <w:tc>
          <w:tcPr>
            <w:tcW w:w="230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抗滑不足或防渗失效</w:t>
            </w:r>
          </w:p>
        </w:tc>
        <w:tc>
          <w:tcPr>
            <w:tcW w:w="2066"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滑移、沉降、裂缝</w:t>
            </w:r>
          </w:p>
        </w:tc>
        <w:tc>
          <w:tcPr>
            <w:tcW w:w="850" w:type="dxa"/>
            <w:tcBorders>
              <w:tl2br w:val="nil"/>
              <w:tr2bl w:val="nil"/>
            </w:tcBorders>
            <w:noWrap/>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LS法</w:t>
            </w:r>
          </w:p>
        </w:tc>
        <w:tc>
          <w:tcPr>
            <w:tcW w:w="85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5～30</w:t>
            </w:r>
          </w:p>
        </w:tc>
        <w:tc>
          <w:tcPr>
            <w:tcW w:w="680" w:type="dxa"/>
            <w:tcBorders>
              <w:tl2br w:val="nil"/>
              <w:tr2bl w:val="nil"/>
            </w:tcBorders>
            <w:tcMar>
              <w:top w:w="15" w:type="dxa"/>
              <w:left w:w="15" w:type="dxa"/>
              <w:right w:w="15" w:type="dxa"/>
            </w:tcMar>
            <w:vAlign w:val="center"/>
          </w:tcPr>
          <w:p>
            <w:pPr>
              <w:snapToGrid w:val="0"/>
              <w:jc w:val="center"/>
              <w:rPr>
                <w:rFonts w:ascii="宋体" w:hAnsi="宋体" w:eastAsia="宋体" w:cs="宋体"/>
                <w:sz w:val="18"/>
                <w:szCs w:val="18"/>
              </w:rPr>
            </w:pPr>
            <w:r>
              <w:rPr>
                <w:rFonts w:hint="eastAsia" w:ascii="宋体" w:hAnsi="宋体" w:eastAsia="宋体" w:cs="宋体"/>
                <w:sz w:val="18"/>
                <w:szCs w:val="18"/>
              </w:rPr>
              <w:t>/</w:t>
            </w:r>
          </w:p>
        </w:tc>
        <w:tc>
          <w:tcPr>
            <w:tcW w:w="737"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3～15</w:t>
            </w:r>
          </w:p>
        </w:tc>
        <w:tc>
          <w:tcPr>
            <w:tcW w:w="964"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15～450</w:t>
            </w:r>
          </w:p>
        </w:tc>
        <w:tc>
          <w:tcPr>
            <w:tcW w:w="850" w:type="dxa"/>
            <w:tcBorders>
              <w:tl2br w:val="nil"/>
              <w:tr2bl w:val="nil"/>
            </w:tcBorders>
            <w:noWrap/>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低～重大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20" w:hRule="atLeast"/>
        </w:trPr>
        <w:tc>
          <w:tcPr>
            <w:tcW w:w="637" w:type="dxa"/>
            <w:tcBorders>
              <w:tl2br w:val="nil"/>
              <w:tr2bl w:val="nil"/>
            </w:tcBorders>
            <w:noWrap/>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8</w:t>
            </w:r>
          </w:p>
        </w:tc>
        <w:tc>
          <w:tcPr>
            <w:tcW w:w="1033" w:type="dxa"/>
            <w:vMerge w:val="continue"/>
            <w:tcBorders>
              <w:tl2br w:val="nil"/>
              <w:tr2bl w:val="nil"/>
            </w:tcBorders>
            <w:tcMar>
              <w:top w:w="15" w:type="dxa"/>
              <w:left w:w="15" w:type="dxa"/>
              <w:right w:w="15" w:type="dxa"/>
            </w:tcMar>
            <w:vAlign w:val="center"/>
          </w:tcPr>
          <w:p>
            <w:pPr>
              <w:snapToGrid w:val="0"/>
              <w:jc w:val="center"/>
              <w:rPr>
                <w:rFonts w:ascii="宋体" w:hAnsi="宋体" w:eastAsia="宋体" w:cs="宋体"/>
                <w:sz w:val="18"/>
                <w:szCs w:val="18"/>
              </w:rPr>
            </w:pPr>
          </w:p>
        </w:tc>
        <w:tc>
          <w:tcPr>
            <w:tcW w:w="1117" w:type="dxa"/>
            <w:vMerge w:val="continue"/>
            <w:tcBorders>
              <w:tl2br w:val="nil"/>
              <w:tr2bl w:val="nil"/>
            </w:tcBorders>
            <w:tcMar>
              <w:top w:w="15" w:type="dxa"/>
              <w:left w:w="15" w:type="dxa"/>
              <w:right w:w="15" w:type="dxa"/>
            </w:tcMar>
            <w:vAlign w:val="center"/>
          </w:tcPr>
          <w:p>
            <w:pPr>
              <w:snapToGrid w:val="0"/>
              <w:jc w:val="center"/>
              <w:rPr>
                <w:rFonts w:ascii="宋体" w:hAnsi="宋体" w:eastAsia="宋体" w:cs="宋体"/>
                <w:sz w:val="18"/>
                <w:szCs w:val="18"/>
              </w:rPr>
            </w:pPr>
          </w:p>
        </w:tc>
        <w:tc>
          <w:tcPr>
            <w:tcW w:w="1517"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厂房结构</w:t>
            </w:r>
          </w:p>
        </w:tc>
        <w:tc>
          <w:tcPr>
            <w:tcW w:w="230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使用不当、振动、裂缝、结构徐变、变形</w:t>
            </w:r>
          </w:p>
        </w:tc>
        <w:tc>
          <w:tcPr>
            <w:tcW w:w="2066"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结构破坏、渗漏</w:t>
            </w:r>
          </w:p>
        </w:tc>
        <w:tc>
          <w:tcPr>
            <w:tcW w:w="85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LS法</w:t>
            </w:r>
          </w:p>
        </w:tc>
        <w:tc>
          <w:tcPr>
            <w:tcW w:w="85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5～30</w:t>
            </w:r>
          </w:p>
        </w:tc>
        <w:tc>
          <w:tcPr>
            <w:tcW w:w="680" w:type="dxa"/>
            <w:tcBorders>
              <w:tl2br w:val="nil"/>
              <w:tr2bl w:val="nil"/>
            </w:tcBorders>
            <w:tcMar>
              <w:top w:w="15" w:type="dxa"/>
              <w:left w:w="15" w:type="dxa"/>
              <w:right w:w="15" w:type="dxa"/>
            </w:tcMar>
            <w:vAlign w:val="center"/>
          </w:tcPr>
          <w:p>
            <w:pPr>
              <w:snapToGrid w:val="0"/>
              <w:jc w:val="center"/>
              <w:rPr>
                <w:rFonts w:ascii="宋体" w:hAnsi="宋体" w:eastAsia="宋体" w:cs="宋体"/>
                <w:sz w:val="18"/>
                <w:szCs w:val="18"/>
              </w:rPr>
            </w:pPr>
            <w:r>
              <w:rPr>
                <w:rFonts w:hint="eastAsia" w:ascii="宋体" w:hAnsi="宋体" w:eastAsia="宋体" w:cs="宋体"/>
                <w:sz w:val="18"/>
                <w:szCs w:val="18"/>
              </w:rPr>
              <w:t>/</w:t>
            </w:r>
          </w:p>
        </w:tc>
        <w:tc>
          <w:tcPr>
            <w:tcW w:w="737"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3～15</w:t>
            </w:r>
          </w:p>
        </w:tc>
        <w:tc>
          <w:tcPr>
            <w:tcW w:w="964"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15～450</w:t>
            </w:r>
          </w:p>
        </w:tc>
        <w:tc>
          <w:tcPr>
            <w:tcW w:w="850" w:type="dxa"/>
            <w:tcBorders>
              <w:tl2br w:val="nil"/>
              <w:tr2bl w:val="nil"/>
            </w:tcBorders>
            <w:noWrap/>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低～重大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20" w:hRule="atLeast"/>
        </w:trPr>
        <w:tc>
          <w:tcPr>
            <w:tcW w:w="637" w:type="dxa"/>
            <w:tcBorders>
              <w:tl2br w:val="nil"/>
              <w:tr2bl w:val="nil"/>
            </w:tcBorders>
            <w:noWrap/>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9</w:t>
            </w:r>
          </w:p>
        </w:tc>
        <w:tc>
          <w:tcPr>
            <w:tcW w:w="1033" w:type="dxa"/>
            <w:vMerge w:val="continue"/>
            <w:tcBorders>
              <w:tl2br w:val="nil"/>
              <w:tr2bl w:val="nil"/>
            </w:tcBorders>
            <w:tcMar>
              <w:top w:w="15" w:type="dxa"/>
              <w:left w:w="15" w:type="dxa"/>
              <w:right w:w="15" w:type="dxa"/>
            </w:tcMar>
            <w:vAlign w:val="center"/>
          </w:tcPr>
          <w:p>
            <w:pPr>
              <w:snapToGrid w:val="0"/>
              <w:jc w:val="center"/>
              <w:rPr>
                <w:rFonts w:ascii="宋体" w:hAnsi="宋体" w:eastAsia="宋体" w:cs="宋体"/>
                <w:sz w:val="18"/>
                <w:szCs w:val="18"/>
              </w:rPr>
            </w:pPr>
          </w:p>
        </w:tc>
        <w:tc>
          <w:tcPr>
            <w:tcW w:w="1117" w:type="dxa"/>
            <w:vMerge w:val="continue"/>
            <w:tcBorders>
              <w:tl2br w:val="nil"/>
              <w:tr2bl w:val="nil"/>
            </w:tcBorders>
            <w:tcMar>
              <w:top w:w="15" w:type="dxa"/>
              <w:left w:w="15" w:type="dxa"/>
              <w:right w:w="15" w:type="dxa"/>
            </w:tcMar>
            <w:vAlign w:val="center"/>
          </w:tcPr>
          <w:p>
            <w:pPr>
              <w:snapToGrid w:val="0"/>
              <w:jc w:val="center"/>
              <w:rPr>
                <w:rFonts w:ascii="宋体" w:hAnsi="宋体" w:eastAsia="宋体" w:cs="宋体"/>
                <w:sz w:val="18"/>
                <w:szCs w:val="18"/>
              </w:rPr>
            </w:pPr>
          </w:p>
        </w:tc>
        <w:tc>
          <w:tcPr>
            <w:tcW w:w="1517"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泵房屋面及外墙防水</w:t>
            </w:r>
          </w:p>
        </w:tc>
        <w:tc>
          <w:tcPr>
            <w:tcW w:w="230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防水失效、暴雨、雨水管堵塞</w:t>
            </w:r>
          </w:p>
        </w:tc>
        <w:tc>
          <w:tcPr>
            <w:tcW w:w="2066"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漏水、设备损坏</w:t>
            </w:r>
          </w:p>
        </w:tc>
        <w:tc>
          <w:tcPr>
            <w:tcW w:w="85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LS法</w:t>
            </w:r>
          </w:p>
        </w:tc>
        <w:tc>
          <w:tcPr>
            <w:tcW w:w="85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5～30</w:t>
            </w:r>
          </w:p>
        </w:tc>
        <w:tc>
          <w:tcPr>
            <w:tcW w:w="680" w:type="dxa"/>
            <w:tcBorders>
              <w:tl2br w:val="nil"/>
              <w:tr2bl w:val="nil"/>
            </w:tcBorders>
            <w:tcMar>
              <w:top w:w="15" w:type="dxa"/>
              <w:left w:w="15" w:type="dxa"/>
              <w:right w:w="15" w:type="dxa"/>
            </w:tcMar>
            <w:vAlign w:val="center"/>
          </w:tcPr>
          <w:p>
            <w:pPr>
              <w:snapToGrid w:val="0"/>
              <w:jc w:val="center"/>
              <w:rPr>
                <w:rFonts w:ascii="宋体" w:hAnsi="宋体" w:eastAsia="宋体" w:cs="宋体"/>
                <w:sz w:val="18"/>
                <w:szCs w:val="18"/>
              </w:rPr>
            </w:pPr>
            <w:r>
              <w:rPr>
                <w:rFonts w:hint="eastAsia" w:ascii="宋体" w:hAnsi="宋体" w:eastAsia="宋体" w:cs="宋体"/>
                <w:sz w:val="18"/>
                <w:szCs w:val="18"/>
              </w:rPr>
              <w:t>/</w:t>
            </w:r>
          </w:p>
        </w:tc>
        <w:tc>
          <w:tcPr>
            <w:tcW w:w="737"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3～15</w:t>
            </w:r>
          </w:p>
        </w:tc>
        <w:tc>
          <w:tcPr>
            <w:tcW w:w="964"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15～450</w:t>
            </w:r>
          </w:p>
        </w:tc>
        <w:tc>
          <w:tcPr>
            <w:tcW w:w="850" w:type="dxa"/>
            <w:tcBorders>
              <w:tl2br w:val="nil"/>
              <w:tr2bl w:val="nil"/>
            </w:tcBorders>
            <w:noWrap/>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低～重大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20" w:hRule="atLeast"/>
        </w:trPr>
        <w:tc>
          <w:tcPr>
            <w:tcW w:w="637" w:type="dxa"/>
            <w:tcBorders>
              <w:tl2br w:val="nil"/>
              <w:tr2bl w:val="nil"/>
            </w:tcBorders>
            <w:noWrap/>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10</w:t>
            </w:r>
          </w:p>
        </w:tc>
        <w:tc>
          <w:tcPr>
            <w:tcW w:w="1033" w:type="dxa"/>
            <w:vMerge w:val="continue"/>
            <w:tcBorders>
              <w:bottom w:val="single" w:color="auto" w:sz="4" w:space="0"/>
              <w:tl2br w:val="nil"/>
              <w:tr2bl w:val="nil"/>
            </w:tcBorders>
            <w:tcMar>
              <w:top w:w="15" w:type="dxa"/>
              <w:left w:w="15" w:type="dxa"/>
              <w:right w:w="15" w:type="dxa"/>
            </w:tcMar>
            <w:vAlign w:val="center"/>
          </w:tcPr>
          <w:p>
            <w:pPr>
              <w:snapToGrid w:val="0"/>
              <w:jc w:val="center"/>
              <w:rPr>
                <w:rFonts w:ascii="宋体" w:hAnsi="宋体" w:eastAsia="宋体" w:cs="宋体"/>
                <w:sz w:val="18"/>
                <w:szCs w:val="18"/>
              </w:rPr>
            </w:pPr>
          </w:p>
        </w:tc>
        <w:tc>
          <w:tcPr>
            <w:tcW w:w="1117" w:type="dxa"/>
            <w:tcBorders>
              <w:bottom w:val="single" w:color="auto" w:sz="4" w:space="0"/>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输水建筑物</w:t>
            </w:r>
          </w:p>
        </w:tc>
        <w:tc>
          <w:tcPr>
            <w:tcW w:w="1517"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进排气设施</w:t>
            </w:r>
          </w:p>
        </w:tc>
        <w:tc>
          <w:tcPr>
            <w:tcW w:w="230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进排气通道堵塞</w:t>
            </w:r>
          </w:p>
        </w:tc>
        <w:tc>
          <w:tcPr>
            <w:tcW w:w="2066"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影响管道运行安全、爆管、渗漏</w:t>
            </w:r>
          </w:p>
        </w:tc>
        <w:tc>
          <w:tcPr>
            <w:tcW w:w="85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LS法</w:t>
            </w:r>
          </w:p>
        </w:tc>
        <w:tc>
          <w:tcPr>
            <w:tcW w:w="85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5～30</w:t>
            </w:r>
          </w:p>
        </w:tc>
        <w:tc>
          <w:tcPr>
            <w:tcW w:w="680" w:type="dxa"/>
            <w:tcBorders>
              <w:tl2br w:val="nil"/>
              <w:tr2bl w:val="nil"/>
            </w:tcBorders>
            <w:tcMar>
              <w:top w:w="15" w:type="dxa"/>
              <w:left w:w="15" w:type="dxa"/>
              <w:right w:w="15" w:type="dxa"/>
            </w:tcMar>
            <w:vAlign w:val="center"/>
          </w:tcPr>
          <w:p>
            <w:pPr>
              <w:snapToGrid w:val="0"/>
              <w:jc w:val="center"/>
              <w:rPr>
                <w:rFonts w:ascii="宋体" w:hAnsi="宋体" w:eastAsia="宋体" w:cs="宋体"/>
                <w:sz w:val="18"/>
                <w:szCs w:val="18"/>
              </w:rPr>
            </w:pPr>
            <w:r>
              <w:rPr>
                <w:rFonts w:hint="eastAsia" w:ascii="宋体" w:hAnsi="宋体" w:eastAsia="宋体" w:cs="宋体"/>
                <w:sz w:val="18"/>
                <w:szCs w:val="18"/>
              </w:rPr>
              <w:t>/</w:t>
            </w:r>
          </w:p>
        </w:tc>
        <w:tc>
          <w:tcPr>
            <w:tcW w:w="737"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3～15</w:t>
            </w:r>
          </w:p>
        </w:tc>
        <w:tc>
          <w:tcPr>
            <w:tcW w:w="964"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15～450</w:t>
            </w:r>
          </w:p>
        </w:tc>
        <w:tc>
          <w:tcPr>
            <w:tcW w:w="850" w:type="dxa"/>
            <w:tcBorders>
              <w:tl2br w:val="nil"/>
              <w:tr2bl w:val="nil"/>
            </w:tcBorders>
            <w:noWrap/>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低～重大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20" w:hRule="atLeast"/>
        </w:trPr>
        <w:tc>
          <w:tcPr>
            <w:tcW w:w="637" w:type="dxa"/>
            <w:tcBorders>
              <w:tl2br w:val="nil"/>
              <w:tr2bl w:val="nil"/>
            </w:tcBorders>
            <w:noWrap/>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11</w:t>
            </w:r>
          </w:p>
        </w:tc>
        <w:tc>
          <w:tcPr>
            <w:tcW w:w="1033" w:type="dxa"/>
            <w:vMerge w:val="restart"/>
            <w:tcBorders>
              <w:top w:val="single" w:color="auto" w:sz="4" w:space="0"/>
              <w:tl2br w:val="nil"/>
              <w:tr2bl w:val="nil"/>
            </w:tcBorders>
            <w:tcMar>
              <w:top w:w="15" w:type="dxa"/>
              <w:left w:w="15" w:type="dxa"/>
              <w:right w:w="15" w:type="dxa"/>
            </w:tcMar>
            <w:vAlign w:val="center"/>
          </w:tcPr>
          <w:p>
            <w:pPr>
              <w:snapToGrid w:val="0"/>
              <w:jc w:val="center"/>
              <w:rPr>
                <w:rFonts w:ascii="宋体" w:hAnsi="宋体" w:eastAsia="宋体" w:cs="宋体"/>
                <w:sz w:val="18"/>
                <w:szCs w:val="18"/>
              </w:rPr>
            </w:pPr>
            <w:r>
              <w:rPr>
                <w:rFonts w:hint="eastAsia" w:ascii="宋体" w:hAnsi="宋体" w:eastAsia="宋体" w:cs="宋体"/>
                <w:sz w:val="18"/>
                <w:szCs w:val="18"/>
                <w:lang w:bidi="ar"/>
              </w:rPr>
              <w:t>构（建）筑物类</w:t>
            </w:r>
          </w:p>
        </w:tc>
        <w:tc>
          <w:tcPr>
            <w:tcW w:w="1117" w:type="dxa"/>
            <w:vMerge w:val="restart"/>
            <w:tcBorders>
              <w:top w:val="single" w:color="auto" w:sz="4" w:space="0"/>
              <w:tl2br w:val="nil"/>
              <w:tr2bl w:val="nil"/>
            </w:tcBorders>
            <w:tcMar>
              <w:top w:w="15" w:type="dxa"/>
              <w:left w:w="15" w:type="dxa"/>
              <w:right w:w="15" w:type="dxa"/>
            </w:tcMar>
            <w:vAlign w:val="center"/>
          </w:tcPr>
          <w:p>
            <w:pPr>
              <w:snapToGrid w:val="0"/>
              <w:jc w:val="center"/>
              <w:rPr>
                <w:rFonts w:ascii="宋体" w:hAnsi="宋体" w:eastAsia="宋体" w:cs="宋体"/>
                <w:sz w:val="18"/>
                <w:szCs w:val="18"/>
              </w:rPr>
            </w:pPr>
            <w:r>
              <w:rPr>
                <w:rFonts w:hint="eastAsia" w:ascii="宋体" w:hAnsi="宋体" w:eastAsia="宋体" w:cs="宋体"/>
                <w:sz w:val="18"/>
                <w:szCs w:val="18"/>
                <w:lang w:bidi="ar"/>
              </w:rPr>
              <w:t>输水建筑物</w:t>
            </w:r>
          </w:p>
        </w:tc>
        <w:tc>
          <w:tcPr>
            <w:tcW w:w="1517"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出水流道真空破坏设施</w:t>
            </w:r>
          </w:p>
        </w:tc>
        <w:tc>
          <w:tcPr>
            <w:tcW w:w="230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设施功能失效</w:t>
            </w:r>
          </w:p>
        </w:tc>
        <w:tc>
          <w:tcPr>
            <w:tcW w:w="2066"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无法断流，机组飞逸</w:t>
            </w:r>
          </w:p>
        </w:tc>
        <w:tc>
          <w:tcPr>
            <w:tcW w:w="85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LS法</w:t>
            </w:r>
          </w:p>
        </w:tc>
        <w:tc>
          <w:tcPr>
            <w:tcW w:w="85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5～30</w:t>
            </w:r>
          </w:p>
        </w:tc>
        <w:tc>
          <w:tcPr>
            <w:tcW w:w="680" w:type="dxa"/>
            <w:tcBorders>
              <w:tl2br w:val="nil"/>
              <w:tr2bl w:val="nil"/>
            </w:tcBorders>
            <w:tcMar>
              <w:top w:w="15" w:type="dxa"/>
              <w:left w:w="15" w:type="dxa"/>
              <w:right w:w="15" w:type="dxa"/>
            </w:tcMar>
            <w:vAlign w:val="center"/>
          </w:tcPr>
          <w:p>
            <w:pPr>
              <w:snapToGrid w:val="0"/>
              <w:jc w:val="center"/>
              <w:rPr>
                <w:rFonts w:ascii="宋体" w:hAnsi="宋体" w:eastAsia="宋体" w:cs="宋体"/>
                <w:sz w:val="18"/>
                <w:szCs w:val="18"/>
              </w:rPr>
            </w:pPr>
            <w:r>
              <w:rPr>
                <w:rFonts w:hint="eastAsia" w:ascii="宋体" w:hAnsi="宋体" w:eastAsia="宋体" w:cs="宋体"/>
                <w:sz w:val="18"/>
                <w:szCs w:val="18"/>
              </w:rPr>
              <w:t>/</w:t>
            </w:r>
          </w:p>
        </w:tc>
        <w:tc>
          <w:tcPr>
            <w:tcW w:w="737"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3～15</w:t>
            </w:r>
          </w:p>
        </w:tc>
        <w:tc>
          <w:tcPr>
            <w:tcW w:w="964"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15～450</w:t>
            </w:r>
          </w:p>
        </w:tc>
        <w:tc>
          <w:tcPr>
            <w:tcW w:w="850" w:type="dxa"/>
            <w:tcBorders>
              <w:tl2br w:val="nil"/>
              <w:tr2bl w:val="nil"/>
            </w:tcBorders>
            <w:noWrap/>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低～重大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20" w:hRule="atLeast"/>
        </w:trPr>
        <w:tc>
          <w:tcPr>
            <w:tcW w:w="637" w:type="dxa"/>
            <w:tcBorders>
              <w:tl2br w:val="nil"/>
              <w:tr2bl w:val="nil"/>
            </w:tcBorders>
            <w:noWrap/>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12</w:t>
            </w:r>
          </w:p>
        </w:tc>
        <w:tc>
          <w:tcPr>
            <w:tcW w:w="1033" w:type="dxa"/>
            <w:vMerge w:val="continue"/>
            <w:tcBorders>
              <w:tl2br w:val="nil"/>
              <w:tr2bl w:val="nil"/>
            </w:tcBorders>
            <w:tcMar>
              <w:top w:w="15" w:type="dxa"/>
              <w:left w:w="15" w:type="dxa"/>
              <w:right w:w="15" w:type="dxa"/>
            </w:tcMar>
            <w:vAlign w:val="center"/>
          </w:tcPr>
          <w:p>
            <w:pPr>
              <w:snapToGrid w:val="0"/>
              <w:jc w:val="center"/>
              <w:rPr>
                <w:rFonts w:ascii="宋体" w:hAnsi="宋体" w:eastAsia="宋体" w:cs="宋体"/>
                <w:sz w:val="18"/>
                <w:szCs w:val="18"/>
              </w:rPr>
            </w:pPr>
          </w:p>
        </w:tc>
        <w:tc>
          <w:tcPr>
            <w:tcW w:w="1117" w:type="dxa"/>
            <w:vMerge w:val="continue"/>
            <w:tcBorders>
              <w:tl2br w:val="nil"/>
              <w:tr2bl w:val="nil"/>
            </w:tcBorders>
            <w:tcMar>
              <w:top w:w="15" w:type="dxa"/>
              <w:left w:w="15" w:type="dxa"/>
              <w:right w:w="15" w:type="dxa"/>
            </w:tcMar>
            <w:vAlign w:val="center"/>
          </w:tcPr>
          <w:p>
            <w:pPr>
              <w:snapToGrid w:val="0"/>
              <w:jc w:val="center"/>
              <w:rPr>
                <w:rFonts w:ascii="宋体" w:hAnsi="宋体" w:eastAsia="宋体" w:cs="宋体"/>
                <w:sz w:val="18"/>
                <w:szCs w:val="18"/>
              </w:rPr>
            </w:pPr>
          </w:p>
        </w:tc>
        <w:tc>
          <w:tcPr>
            <w:tcW w:w="1517"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调压塔</w:t>
            </w:r>
          </w:p>
        </w:tc>
        <w:tc>
          <w:tcPr>
            <w:tcW w:w="230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调压塔缺水、溢水、闸阀关闭不严</w:t>
            </w:r>
          </w:p>
        </w:tc>
        <w:tc>
          <w:tcPr>
            <w:tcW w:w="2066"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防水锤失效、爆管、渗漏</w:t>
            </w:r>
          </w:p>
        </w:tc>
        <w:tc>
          <w:tcPr>
            <w:tcW w:w="85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LS法</w:t>
            </w:r>
          </w:p>
        </w:tc>
        <w:tc>
          <w:tcPr>
            <w:tcW w:w="85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5～30</w:t>
            </w:r>
          </w:p>
        </w:tc>
        <w:tc>
          <w:tcPr>
            <w:tcW w:w="680" w:type="dxa"/>
            <w:tcBorders>
              <w:tl2br w:val="nil"/>
              <w:tr2bl w:val="nil"/>
            </w:tcBorders>
            <w:tcMar>
              <w:top w:w="15" w:type="dxa"/>
              <w:left w:w="15" w:type="dxa"/>
              <w:right w:w="15" w:type="dxa"/>
            </w:tcMar>
            <w:vAlign w:val="center"/>
          </w:tcPr>
          <w:p>
            <w:pPr>
              <w:snapToGrid w:val="0"/>
              <w:jc w:val="center"/>
              <w:rPr>
                <w:rFonts w:ascii="宋体" w:hAnsi="宋体" w:eastAsia="宋体" w:cs="宋体"/>
                <w:sz w:val="18"/>
                <w:szCs w:val="18"/>
              </w:rPr>
            </w:pPr>
            <w:r>
              <w:rPr>
                <w:rFonts w:hint="eastAsia" w:ascii="宋体" w:hAnsi="宋体" w:eastAsia="宋体" w:cs="宋体"/>
                <w:sz w:val="18"/>
                <w:szCs w:val="18"/>
              </w:rPr>
              <w:t>/</w:t>
            </w:r>
          </w:p>
        </w:tc>
        <w:tc>
          <w:tcPr>
            <w:tcW w:w="737"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3～15</w:t>
            </w:r>
          </w:p>
        </w:tc>
        <w:tc>
          <w:tcPr>
            <w:tcW w:w="964"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15～450</w:t>
            </w:r>
          </w:p>
        </w:tc>
        <w:tc>
          <w:tcPr>
            <w:tcW w:w="850" w:type="dxa"/>
            <w:tcBorders>
              <w:tl2br w:val="nil"/>
              <w:tr2bl w:val="nil"/>
            </w:tcBorders>
            <w:noWrap/>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低～重大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20" w:hRule="atLeast"/>
        </w:trPr>
        <w:tc>
          <w:tcPr>
            <w:tcW w:w="637" w:type="dxa"/>
            <w:tcBorders>
              <w:tl2br w:val="nil"/>
              <w:tr2bl w:val="nil"/>
            </w:tcBorders>
            <w:noWrap/>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13</w:t>
            </w:r>
          </w:p>
        </w:tc>
        <w:tc>
          <w:tcPr>
            <w:tcW w:w="1033" w:type="dxa"/>
            <w:vMerge w:val="continue"/>
            <w:tcBorders>
              <w:tl2br w:val="nil"/>
              <w:tr2bl w:val="nil"/>
            </w:tcBorders>
            <w:tcMar>
              <w:top w:w="15" w:type="dxa"/>
              <w:left w:w="15" w:type="dxa"/>
              <w:right w:w="15" w:type="dxa"/>
            </w:tcMar>
            <w:vAlign w:val="center"/>
          </w:tcPr>
          <w:p>
            <w:pPr>
              <w:snapToGrid w:val="0"/>
              <w:jc w:val="center"/>
              <w:rPr>
                <w:rFonts w:ascii="宋体" w:hAnsi="宋体" w:eastAsia="宋体" w:cs="宋体"/>
                <w:sz w:val="18"/>
                <w:szCs w:val="18"/>
              </w:rPr>
            </w:pPr>
          </w:p>
        </w:tc>
        <w:tc>
          <w:tcPr>
            <w:tcW w:w="1117" w:type="dxa"/>
            <w:vMerge w:val="continue"/>
            <w:tcBorders>
              <w:tl2br w:val="nil"/>
              <w:tr2bl w:val="nil"/>
            </w:tcBorders>
            <w:tcMar>
              <w:top w:w="15" w:type="dxa"/>
              <w:left w:w="15" w:type="dxa"/>
              <w:right w:w="15" w:type="dxa"/>
            </w:tcMar>
            <w:vAlign w:val="center"/>
          </w:tcPr>
          <w:p>
            <w:pPr>
              <w:snapToGrid w:val="0"/>
              <w:jc w:val="center"/>
              <w:rPr>
                <w:rFonts w:ascii="宋体" w:hAnsi="宋体" w:eastAsia="宋体" w:cs="宋体"/>
                <w:sz w:val="18"/>
                <w:szCs w:val="18"/>
              </w:rPr>
            </w:pPr>
          </w:p>
        </w:tc>
        <w:tc>
          <w:tcPr>
            <w:tcW w:w="1517"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压力管道</w:t>
            </w:r>
          </w:p>
        </w:tc>
        <w:tc>
          <w:tcPr>
            <w:tcW w:w="230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水锤防护设施失效</w:t>
            </w:r>
          </w:p>
        </w:tc>
        <w:tc>
          <w:tcPr>
            <w:tcW w:w="2066"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爆管、水淹厂房</w:t>
            </w:r>
          </w:p>
        </w:tc>
        <w:tc>
          <w:tcPr>
            <w:tcW w:w="85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LS法</w:t>
            </w:r>
          </w:p>
        </w:tc>
        <w:tc>
          <w:tcPr>
            <w:tcW w:w="85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5～30</w:t>
            </w:r>
          </w:p>
        </w:tc>
        <w:tc>
          <w:tcPr>
            <w:tcW w:w="680" w:type="dxa"/>
            <w:tcBorders>
              <w:tl2br w:val="nil"/>
              <w:tr2bl w:val="nil"/>
            </w:tcBorders>
            <w:tcMar>
              <w:top w:w="15" w:type="dxa"/>
              <w:left w:w="15" w:type="dxa"/>
              <w:right w:w="15" w:type="dxa"/>
            </w:tcMar>
            <w:vAlign w:val="center"/>
          </w:tcPr>
          <w:p>
            <w:pPr>
              <w:snapToGrid w:val="0"/>
              <w:jc w:val="center"/>
              <w:rPr>
                <w:rFonts w:ascii="宋体" w:hAnsi="宋体" w:eastAsia="宋体" w:cs="宋体"/>
                <w:sz w:val="18"/>
                <w:szCs w:val="18"/>
              </w:rPr>
            </w:pPr>
            <w:r>
              <w:rPr>
                <w:rFonts w:hint="eastAsia" w:ascii="宋体" w:hAnsi="宋体" w:eastAsia="宋体" w:cs="宋体"/>
                <w:sz w:val="18"/>
                <w:szCs w:val="18"/>
              </w:rPr>
              <w:t>/</w:t>
            </w:r>
          </w:p>
        </w:tc>
        <w:tc>
          <w:tcPr>
            <w:tcW w:w="737"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3～15</w:t>
            </w:r>
          </w:p>
        </w:tc>
        <w:tc>
          <w:tcPr>
            <w:tcW w:w="964"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15～450</w:t>
            </w:r>
          </w:p>
        </w:tc>
        <w:tc>
          <w:tcPr>
            <w:tcW w:w="850" w:type="dxa"/>
            <w:tcBorders>
              <w:tl2br w:val="nil"/>
              <w:tr2bl w:val="nil"/>
            </w:tcBorders>
            <w:noWrap/>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低～重大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20" w:hRule="atLeast"/>
        </w:trPr>
        <w:tc>
          <w:tcPr>
            <w:tcW w:w="637" w:type="dxa"/>
            <w:tcBorders>
              <w:tl2br w:val="nil"/>
              <w:tr2bl w:val="nil"/>
            </w:tcBorders>
            <w:noWrap/>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14</w:t>
            </w:r>
          </w:p>
        </w:tc>
        <w:tc>
          <w:tcPr>
            <w:tcW w:w="1033" w:type="dxa"/>
            <w:vMerge w:val="continue"/>
            <w:tcBorders>
              <w:tl2br w:val="nil"/>
              <w:tr2bl w:val="nil"/>
            </w:tcBorders>
            <w:tcMar>
              <w:top w:w="15" w:type="dxa"/>
              <w:left w:w="15" w:type="dxa"/>
              <w:right w:w="15" w:type="dxa"/>
            </w:tcMar>
            <w:vAlign w:val="center"/>
          </w:tcPr>
          <w:p>
            <w:pPr>
              <w:snapToGrid w:val="0"/>
              <w:jc w:val="center"/>
              <w:rPr>
                <w:rFonts w:ascii="宋体" w:hAnsi="宋体" w:eastAsia="宋体" w:cs="宋体"/>
                <w:sz w:val="18"/>
                <w:szCs w:val="18"/>
              </w:rPr>
            </w:pPr>
          </w:p>
        </w:tc>
        <w:tc>
          <w:tcPr>
            <w:tcW w:w="1117"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变电站</w:t>
            </w:r>
          </w:p>
        </w:tc>
        <w:tc>
          <w:tcPr>
            <w:tcW w:w="1517"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基础及支架</w:t>
            </w:r>
          </w:p>
        </w:tc>
        <w:tc>
          <w:tcPr>
            <w:tcW w:w="230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沉降、倾覆</w:t>
            </w:r>
          </w:p>
        </w:tc>
        <w:tc>
          <w:tcPr>
            <w:tcW w:w="2066"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设备损坏</w:t>
            </w:r>
          </w:p>
        </w:tc>
        <w:tc>
          <w:tcPr>
            <w:tcW w:w="85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LS法</w:t>
            </w:r>
          </w:p>
        </w:tc>
        <w:tc>
          <w:tcPr>
            <w:tcW w:w="85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5～30</w:t>
            </w:r>
          </w:p>
        </w:tc>
        <w:tc>
          <w:tcPr>
            <w:tcW w:w="680" w:type="dxa"/>
            <w:tcBorders>
              <w:tl2br w:val="nil"/>
              <w:tr2bl w:val="nil"/>
            </w:tcBorders>
            <w:tcMar>
              <w:top w:w="15" w:type="dxa"/>
              <w:left w:w="15" w:type="dxa"/>
              <w:right w:w="15" w:type="dxa"/>
            </w:tcMar>
            <w:vAlign w:val="center"/>
          </w:tcPr>
          <w:p>
            <w:pPr>
              <w:snapToGrid w:val="0"/>
              <w:jc w:val="center"/>
              <w:rPr>
                <w:rFonts w:ascii="宋体" w:hAnsi="宋体" w:eastAsia="宋体" w:cs="宋体"/>
                <w:sz w:val="18"/>
                <w:szCs w:val="18"/>
              </w:rPr>
            </w:pPr>
            <w:r>
              <w:rPr>
                <w:rFonts w:hint="eastAsia" w:ascii="宋体" w:hAnsi="宋体" w:eastAsia="宋体" w:cs="宋体"/>
                <w:sz w:val="18"/>
                <w:szCs w:val="18"/>
              </w:rPr>
              <w:t>/</w:t>
            </w:r>
          </w:p>
        </w:tc>
        <w:tc>
          <w:tcPr>
            <w:tcW w:w="737"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3～15</w:t>
            </w:r>
          </w:p>
        </w:tc>
        <w:tc>
          <w:tcPr>
            <w:tcW w:w="964"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15～450</w:t>
            </w:r>
          </w:p>
        </w:tc>
        <w:tc>
          <w:tcPr>
            <w:tcW w:w="850" w:type="dxa"/>
            <w:tcBorders>
              <w:tl2br w:val="nil"/>
              <w:tr2bl w:val="nil"/>
            </w:tcBorders>
            <w:noWrap/>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低～重大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20" w:hRule="atLeast"/>
        </w:trPr>
        <w:tc>
          <w:tcPr>
            <w:tcW w:w="637" w:type="dxa"/>
            <w:tcBorders>
              <w:tl2br w:val="nil"/>
              <w:tr2bl w:val="nil"/>
            </w:tcBorders>
            <w:noWrap/>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15</w:t>
            </w:r>
          </w:p>
        </w:tc>
        <w:tc>
          <w:tcPr>
            <w:tcW w:w="1033" w:type="dxa"/>
            <w:vMerge w:val="continue"/>
            <w:tcBorders>
              <w:tl2br w:val="nil"/>
              <w:tr2bl w:val="nil"/>
            </w:tcBorders>
            <w:tcMar>
              <w:top w:w="15" w:type="dxa"/>
              <w:left w:w="15" w:type="dxa"/>
              <w:right w:w="15" w:type="dxa"/>
            </w:tcMar>
            <w:vAlign w:val="center"/>
          </w:tcPr>
          <w:p>
            <w:pPr>
              <w:snapToGrid w:val="0"/>
              <w:jc w:val="center"/>
              <w:rPr>
                <w:rFonts w:ascii="宋体" w:hAnsi="宋体" w:eastAsia="宋体" w:cs="宋体"/>
                <w:sz w:val="18"/>
                <w:szCs w:val="18"/>
              </w:rPr>
            </w:pPr>
          </w:p>
        </w:tc>
        <w:tc>
          <w:tcPr>
            <w:tcW w:w="1117"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管理房</w:t>
            </w:r>
          </w:p>
        </w:tc>
        <w:tc>
          <w:tcPr>
            <w:tcW w:w="1517"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结构、屋面及外墙防水</w:t>
            </w:r>
          </w:p>
        </w:tc>
        <w:tc>
          <w:tcPr>
            <w:tcW w:w="230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变形、裂缝、渗漏、防水失效</w:t>
            </w:r>
          </w:p>
        </w:tc>
        <w:tc>
          <w:tcPr>
            <w:tcW w:w="2066"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结构破坏、渗漏、影响使用</w:t>
            </w:r>
          </w:p>
        </w:tc>
        <w:tc>
          <w:tcPr>
            <w:tcW w:w="850" w:type="dxa"/>
            <w:tcBorders>
              <w:tl2br w:val="nil"/>
              <w:tr2bl w:val="nil"/>
            </w:tcBorders>
            <w:noWrap/>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LS法</w:t>
            </w:r>
          </w:p>
        </w:tc>
        <w:tc>
          <w:tcPr>
            <w:tcW w:w="850" w:type="dxa"/>
            <w:tcBorders>
              <w:tl2br w:val="nil"/>
              <w:tr2bl w:val="nil"/>
            </w:tcBorders>
            <w:noWrap/>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5～30</w:t>
            </w:r>
          </w:p>
        </w:tc>
        <w:tc>
          <w:tcPr>
            <w:tcW w:w="680" w:type="dxa"/>
            <w:tcBorders>
              <w:tl2br w:val="nil"/>
              <w:tr2bl w:val="nil"/>
            </w:tcBorders>
            <w:tcMar>
              <w:top w:w="15" w:type="dxa"/>
              <w:left w:w="15" w:type="dxa"/>
              <w:right w:w="15" w:type="dxa"/>
            </w:tcMar>
            <w:vAlign w:val="center"/>
          </w:tcPr>
          <w:p>
            <w:pPr>
              <w:snapToGrid w:val="0"/>
              <w:jc w:val="center"/>
              <w:rPr>
                <w:rFonts w:ascii="宋体" w:hAnsi="宋体" w:eastAsia="宋体" w:cs="宋体"/>
                <w:sz w:val="18"/>
                <w:szCs w:val="18"/>
              </w:rPr>
            </w:pPr>
            <w:r>
              <w:rPr>
                <w:rFonts w:hint="eastAsia" w:ascii="宋体" w:hAnsi="宋体" w:eastAsia="宋体" w:cs="宋体"/>
                <w:sz w:val="18"/>
                <w:szCs w:val="18"/>
              </w:rPr>
              <w:t>/</w:t>
            </w:r>
          </w:p>
        </w:tc>
        <w:tc>
          <w:tcPr>
            <w:tcW w:w="737" w:type="dxa"/>
            <w:tcBorders>
              <w:tl2br w:val="nil"/>
              <w:tr2bl w:val="nil"/>
            </w:tcBorders>
            <w:noWrap/>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3～15</w:t>
            </w:r>
          </w:p>
        </w:tc>
        <w:tc>
          <w:tcPr>
            <w:tcW w:w="964" w:type="dxa"/>
            <w:tcBorders>
              <w:tl2br w:val="nil"/>
              <w:tr2bl w:val="nil"/>
            </w:tcBorders>
            <w:noWrap/>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15～450</w:t>
            </w:r>
          </w:p>
        </w:tc>
        <w:tc>
          <w:tcPr>
            <w:tcW w:w="850" w:type="dxa"/>
            <w:tcBorders>
              <w:tl2br w:val="nil"/>
              <w:tr2bl w:val="nil"/>
            </w:tcBorders>
            <w:noWrap/>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低～重大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20" w:hRule="atLeast"/>
        </w:trPr>
        <w:tc>
          <w:tcPr>
            <w:tcW w:w="637" w:type="dxa"/>
            <w:tcBorders>
              <w:tl2br w:val="nil"/>
              <w:tr2bl w:val="nil"/>
            </w:tcBorders>
            <w:noWrap/>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16</w:t>
            </w:r>
          </w:p>
        </w:tc>
        <w:tc>
          <w:tcPr>
            <w:tcW w:w="1033" w:type="dxa"/>
            <w:vMerge w:val="continue"/>
            <w:tcBorders>
              <w:tl2br w:val="nil"/>
              <w:tr2bl w:val="nil"/>
            </w:tcBorders>
            <w:tcMar>
              <w:top w:w="15" w:type="dxa"/>
              <w:left w:w="15" w:type="dxa"/>
              <w:right w:w="15" w:type="dxa"/>
            </w:tcMar>
            <w:vAlign w:val="center"/>
          </w:tcPr>
          <w:p>
            <w:pPr>
              <w:snapToGrid w:val="0"/>
              <w:jc w:val="center"/>
              <w:rPr>
                <w:rFonts w:ascii="宋体" w:hAnsi="宋体" w:eastAsia="宋体" w:cs="宋体"/>
                <w:sz w:val="18"/>
                <w:szCs w:val="18"/>
              </w:rPr>
            </w:pPr>
          </w:p>
        </w:tc>
        <w:tc>
          <w:tcPr>
            <w:tcW w:w="1117"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岸坡</w:t>
            </w:r>
          </w:p>
        </w:tc>
        <w:tc>
          <w:tcPr>
            <w:tcW w:w="1517"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岸坡</w:t>
            </w:r>
          </w:p>
        </w:tc>
        <w:tc>
          <w:tcPr>
            <w:tcW w:w="230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不良地质、水流冲刷、浸润线涨高</w:t>
            </w:r>
          </w:p>
        </w:tc>
        <w:tc>
          <w:tcPr>
            <w:tcW w:w="2066"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滑坡、失稳、坍塌</w:t>
            </w:r>
          </w:p>
        </w:tc>
        <w:tc>
          <w:tcPr>
            <w:tcW w:w="85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LS法</w:t>
            </w:r>
          </w:p>
        </w:tc>
        <w:tc>
          <w:tcPr>
            <w:tcW w:w="85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5～30</w:t>
            </w:r>
          </w:p>
        </w:tc>
        <w:tc>
          <w:tcPr>
            <w:tcW w:w="680" w:type="dxa"/>
            <w:tcBorders>
              <w:tl2br w:val="nil"/>
              <w:tr2bl w:val="nil"/>
            </w:tcBorders>
            <w:tcMar>
              <w:top w:w="15" w:type="dxa"/>
              <w:left w:w="15" w:type="dxa"/>
              <w:right w:w="15" w:type="dxa"/>
            </w:tcMar>
            <w:vAlign w:val="center"/>
          </w:tcPr>
          <w:p>
            <w:pPr>
              <w:snapToGrid w:val="0"/>
              <w:jc w:val="center"/>
              <w:rPr>
                <w:rFonts w:ascii="宋体" w:hAnsi="宋体" w:eastAsia="宋体" w:cs="宋体"/>
                <w:sz w:val="18"/>
                <w:szCs w:val="18"/>
              </w:rPr>
            </w:pPr>
            <w:r>
              <w:rPr>
                <w:rFonts w:hint="eastAsia" w:ascii="宋体" w:hAnsi="宋体" w:eastAsia="宋体" w:cs="宋体"/>
                <w:sz w:val="18"/>
                <w:szCs w:val="18"/>
              </w:rPr>
              <w:t>/</w:t>
            </w:r>
          </w:p>
        </w:tc>
        <w:tc>
          <w:tcPr>
            <w:tcW w:w="737"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3～15</w:t>
            </w:r>
          </w:p>
        </w:tc>
        <w:tc>
          <w:tcPr>
            <w:tcW w:w="964"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15～450</w:t>
            </w:r>
          </w:p>
        </w:tc>
        <w:tc>
          <w:tcPr>
            <w:tcW w:w="850" w:type="dxa"/>
            <w:tcBorders>
              <w:tl2br w:val="nil"/>
              <w:tr2bl w:val="nil"/>
            </w:tcBorders>
            <w:noWrap/>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低～重大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20" w:hRule="atLeast"/>
        </w:trPr>
        <w:tc>
          <w:tcPr>
            <w:tcW w:w="637" w:type="dxa"/>
            <w:tcBorders>
              <w:tl2br w:val="nil"/>
              <w:tr2bl w:val="nil"/>
            </w:tcBorders>
            <w:noWrap/>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17</w:t>
            </w:r>
          </w:p>
        </w:tc>
        <w:tc>
          <w:tcPr>
            <w:tcW w:w="1033" w:type="dxa"/>
            <w:vMerge w:val="restart"/>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金属结构类</w:t>
            </w:r>
          </w:p>
        </w:tc>
        <w:tc>
          <w:tcPr>
            <w:tcW w:w="1117" w:type="dxa"/>
            <w:vMerge w:val="restart"/>
            <w:tcBorders>
              <w:tl2br w:val="nil"/>
              <w:tr2bl w:val="nil"/>
            </w:tcBorders>
            <w:noWrap/>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闸门</w:t>
            </w:r>
          </w:p>
        </w:tc>
        <w:tc>
          <w:tcPr>
            <w:tcW w:w="1517"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防洪闸门</w:t>
            </w:r>
          </w:p>
        </w:tc>
        <w:tc>
          <w:tcPr>
            <w:tcW w:w="230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无法关闭</w:t>
            </w:r>
          </w:p>
        </w:tc>
        <w:tc>
          <w:tcPr>
            <w:tcW w:w="2066"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倒灌、水淹站区</w:t>
            </w:r>
          </w:p>
        </w:tc>
        <w:tc>
          <w:tcPr>
            <w:tcW w:w="85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LS法</w:t>
            </w:r>
          </w:p>
        </w:tc>
        <w:tc>
          <w:tcPr>
            <w:tcW w:w="85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5～30</w:t>
            </w:r>
          </w:p>
        </w:tc>
        <w:tc>
          <w:tcPr>
            <w:tcW w:w="680" w:type="dxa"/>
            <w:tcBorders>
              <w:tl2br w:val="nil"/>
              <w:tr2bl w:val="nil"/>
            </w:tcBorders>
            <w:tcMar>
              <w:top w:w="15" w:type="dxa"/>
              <w:left w:w="15" w:type="dxa"/>
              <w:right w:w="15" w:type="dxa"/>
            </w:tcMar>
            <w:vAlign w:val="center"/>
          </w:tcPr>
          <w:p>
            <w:pPr>
              <w:snapToGrid w:val="0"/>
              <w:jc w:val="center"/>
              <w:rPr>
                <w:rFonts w:ascii="宋体" w:hAnsi="宋体" w:eastAsia="宋体" w:cs="宋体"/>
                <w:sz w:val="18"/>
                <w:szCs w:val="18"/>
              </w:rPr>
            </w:pPr>
            <w:r>
              <w:rPr>
                <w:rFonts w:hint="eastAsia" w:ascii="宋体" w:hAnsi="宋体" w:eastAsia="宋体" w:cs="宋体"/>
                <w:sz w:val="18"/>
                <w:szCs w:val="18"/>
              </w:rPr>
              <w:t>/</w:t>
            </w:r>
          </w:p>
        </w:tc>
        <w:tc>
          <w:tcPr>
            <w:tcW w:w="737"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3～15</w:t>
            </w:r>
          </w:p>
        </w:tc>
        <w:tc>
          <w:tcPr>
            <w:tcW w:w="964"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15～450</w:t>
            </w:r>
          </w:p>
        </w:tc>
        <w:tc>
          <w:tcPr>
            <w:tcW w:w="850" w:type="dxa"/>
            <w:tcBorders>
              <w:tl2br w:val="nil"/>
              <w:tr2bl w:val="nil"/>
            </w:tcBorders>
            <w:noWrap/>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低～重大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20" w:hRule="atLeast"/>
        </w:trPr>
        <w:tc>
          <w:tcPr>
            <w:tcW w:w="637" w:type="dxa"/>
            <w:tcBorders>
              <w:tl2br w:val="nil"/>
              <w:tr2bl w:val="nil"/>
            </w:tcBorders>
            <w:noWrap/>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18</w:t>
            </w:r>
          </w:p>
        </w:tc>
        <w:tc>
          <w:tcPr>
            <w:tcW w:w="1033" w:type="dxa"/>
            <w:vMerge w:val="continue"/>
            <w:tcBorders>
              <w:tl2br w:val="nil"/>
              <w:tr2bl w:val="nil"/>
            </w:tcBorders>
            <w:tcMar>
              <w:top w:w="15" w:type="dxa"/>
              <w:left w:w="15" w:type="dxa"/>
              <w:right w:w="15" w:type="dxa"/>
            </w:tcMar>
            <w:vAlign w:val="center"/>
          </w:tcPr>
          <w:p>
            <w:pPr>
              <w:snapToGrid w:val="0"/>
              <w:jc w:val="center"/>
              <w:rPr>
                <w:rFonts w:ascii="宋体" w:hAnsi="宋体" w:eastAsia="宋体" w:cs="宋体"/>
                <w:sz w:val="18"/>
                <w:szCs w:val="18"/>
              </w:rPr>
            </w:pPr>
          </w:p>
        </w:tc>
        <w:tc>
          <w:tcPr>
            <w:tcW w:w="1117" w:type="dxa"/>
            <w:vMerge w:val="continue"/>
            <w:tcBorders>
              <w:tl2br w:val="nil"/>
              <w:tr2bl w:val="nil"/>
            </w:tcBorders>
            <w:noWrap/>
            <w:tcMar>
              <w:top w:w="15" w:type="dxa"/>
              <w:left w:w="15" w:type="dxa"/>
              <w:right w:w="15" w:type="dxa"/>
            </w:tcMar>
            <w:vAlign w:val="center"/>
          </w:tcPr>
          <w:p>
            <w:pPr>
              <w:snapToGrid w:val="0"/>
              <w:jc w:val="center"/>
              <w:rPr>
                <w:rFonts w:ascii="宋体" w:hAnsi="宋体" w:eastAsia="宋体" w:cs="宋体"/>
                <w:sz w:val="18"/>
                <w:szCs w:val="18"/>
              </w:rPr>
            </w:pPr>
          </w:p>
        </w:tc>
        <w:tc>
          <w:tcPr>
            <w:tcW w:w="1517"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快速闸门/拍门</w:t>
            </w:r>
          </w:p>
        </w:tc>
        <w:tc>
          <w:tcPr>
            <w:tcW w:w="230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出口拍门故障</w:t>
            </w:r>
          </w:p>
        </w:tc>
        <w:tc>
          <w:tcPr>
            <w:tcW w:w="2066"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机组无法启用或停机后倒转甚至飞逸</w:t>
            </w:r>
          </w:p>
        </w:tc>
        <w:tc>
          <w:tcPr>
            <w:tcW w:w="85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LS法</w:t>
            </w:r>
          </w:p>
        </w:tc>
        <w:tc>
          <w:tcPr>
            <w:tcW w:w="85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5～30</w:t>
            </w:r>
          </w:p>
        </w:tc>
        <w:tc>
          <w:tcPr>
            <w:tcW w:w="680" w:type="dxa"/>
            <w:tcBorders>
              <w:tl2br w:val="nil"/>
              <w:tr2bl w:val="nil"/>
            </w:tcBorders>
            <w:tcMar>
              <w:top w:w="15" w:type="dxa"/>
              <w:left w:w="15" w:type="dxa"/>
              <w:right w:w="15" w:type="dxa"/>
            </w:tcMar>
            <w:vAlign w:val="center"/>
          </w:tcPr>
          <w:p>
            <w:pPr>
              <w:snapToGrid w:val="0"/>
              <w:jc w:val="center"/>
              <w:rPr>
                <w:rFonts w:ascii="宋体" w:hAnsi="宋体" w:eastAsia="宋体" w:cs="宋体"/>
                <w:sz w:val="18"/>
                <w:szCs w:val="18"/>
              </w:rPr>
            </w:pPr>
            <w:r>
              <w:rPr>
                <w:rFonts w:hint="eastAsia" w:ascii="宋体" w:hAnsi="宋体" w:eastAsia="宋体" w:cs="宋体"/>
                <w:sz w:val="18"/>
                <w:szCs w:val="18"/>
              </w:rPr>
              <w:t>/</w:t>
            </w:r>
          </w:p>
        </w:tc>
        <w:tc>
          <w:tcPr>
            <w:tcW w:w="737"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3～15</w:t>
            </w:r>
          </w:p>
        </w:tc>
        <w:tc>
          <w:tcPr>
            <w:tcW w:w="964"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15～450</w:t>
            </w:r>
          </w:p>
        </w:tc>
        <w:tc>
          <w:tcPr>
            <w:tcW w:w="850" w:type="dxa"/>
            <w:tcBorders>
              <w:tl2br w:val="nil"/>
              <w:tr2bl w:val="nil"/>
            </w:tcBorders>
            <w:noWrap/>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低～重大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20" w:hRule="atLeast"/>
        </w:trPr>
        <w:tc>
          <w:tcPr>
            <w:tcW w:w="637" w:type="dxa"/>
            <w:tcBorders>
              <w:tl2br w:val="nil"/>
              <w:tr2bl w:val="nil"/>
            </w:tcBorders>
            <w:noWrap/>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19</w:t>
            </w:r>
          </w:p>
        </w:tc>
        <w:tc>
          <w:tcPr>
            <w:tcW w:w="1033" w:type="dxa"/>
            <w:vMerge w:val="continue"/>
            <w:tcBorders>
              <w:tl2br w:val="nil"/>
              <w:tr2bl w:val="nil"/>
            </w:tcBorders>
            <w:tcMar>
              <w:top w:w="15" w:type="dxa"/>
              <w:left w:w="15" w:type="dxa"/>
              <w:right w:w="15" w:type="dxa"/>
            </w:tcMar>
            <w:vAlign w:val="center"/>
          </w:tcPr>
          <w:p>
            <w:pPr>
              <w:snapToGrid w:val="0"/>
              <w:jc w:val="center"/>
              <w:rPr>
                <w:rFonts w:ascii="宋体" w:hAnsi="宋体" w:eastAsia="宋体" w:cs="宋体"/>
                <w:sz w:val="18"/>
                <w:szCs w:val="18"/>
              </w:rPr>
            </w:pPr>
          </w:p>
        </w:tc>
        <w:tc>
          <w:tcPr>
            <w:tcW w:w="1117" w:type="dxa"/>
            <w:vMerge w:val="continue"/>
            <w:tcBorders>
              <w:tl2br w:val="nil"/>
              <w:tr2bl w:val="nil"/>
            </w:tcBorders>
            <w:noWrap/>
            <w:tcMar>
              <w:top w:w="15" w:type="dxa"/>
              <w:left w:w="15" w:type="dxa"/>
              <w:right w:w="15" w:type="dxa"/>
            </w:tcMar>
            <w:vAlign w:val="center"/>
          </w:tcPr>
          <w:p>
            <w:pPr>
              <w:snapToGrid w:val="0"/>
              <w:jc w:val="center"/>
              <w:rPr>
                <w:rFonts w:ascii="宋体" w:hAnsi="宋体" w:eastAsia="宋体" w:cs="宋体"/>
                <w:sz w:val="18"/>
                <w:szCs w:val="18"/>
              </w:rPr>
            </w:pPr>
          </w:p>
        </w:tc>
        <w:tc>
          <w:tcPr>
            <w:tcW w:w="1517"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工作闸门</w:t>
            </w:r>
          </w:p>
        </w:tc>
        <w:tc>
          <w:tcPr>
            <w:tcW w:w="230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磨损、锈蚀</w:t>
            </w:r>
          </w:p>
        </w:tc>
        <w:tc>
          <w:tcPr>
            <w:tcW w:w="2066"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止水失效、锈蚀损坏</w:t>
            </w:r>
          </w:p>
        </w:tc>
        <w:tc>
          <w:tcPr>
            <w:tcW w:w="85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LS法</w:t>
            </w:r>
          </w:p>
        </w:tc>
        <w:tc>
          <w:tcPr>
            <w:tcW w:w="85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5～30</w:t>
            </w:r>
          </w:p>
        </w:tc>
        <w:tc>
          <w:tcPr>
            <w:tcW w:w="680" w:type="dxa"/>
            <w:tcBorders>
              <w:tl2br w:val="nil"/>
              <w:tr2bl w:val="nil"/>
            </w:tcBorders>
            <w:tcMar>
              <w:top w:w="15" w:type="dxa"/>
              <w:left w:w="15" w:type="dxa"/>
              <w:right w:w="15" w:type="dxa"/>
            </w:tcMar>
            <w:vAlign w:val="center"/>
          </w:tcPr>
          <w:p>
            <w:pPr>
              <w:snapToGrid w:val="0"/>
              <w:jc w:val="center"/>
              <w:rPr>
                <w:rFonts w:ascii="宋体" w:hAnsi="宋体" w:eastAsia="宋体" w:cs="宋体"/>
                <w:sz w:val="18"/>
                <w:szCs w:val="18"/>
              </w:rPr>
            </w:pPr>
            <w:r>
              <w:rPr>
                <w:rFonts w:hint="eastAsia" w:ascii="宋体" w:hAnsi="宋体" w:eastAsia="宋体" w:cs="宋体"/>
                <w:sz w:val="18"/>
                <w:szCs w:val="18"/>
              </w:rPr>
              <w:t>/</w:t>
            </w:r>
          </w:p>
        </w:tc>
        <w:tc>
          <w:tcPr>
            <w:tcW w:w="737"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3～15</w:t>
            </w:r>
          </w:p>
        </w:tc>
        <w:tc>
          <w:tcPr>
            <w:tcW w:w="964"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15～450</w:t>
            </w:r>
          </w:p>
        </w:tc>
        <w:tc>
          <w:tcPr>
            <w:tcW w:w="850" w:type="dxa"/>
            <w:tcBorders>
              <w:tl2br w:val="nil"/>
              <w:tr2bl w:val="nil"/>
            </w:tcBorders>
            <w:noWrap/>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低～重大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20" w:hRule="atLeast"/>
        </w:trPr>
        <w:tc>
          <w:tcPr>
            <w:tcW w:w="637" w:type="dxa"/>
            <w:tcBorders>
              <w:tl2br w:val="nil"/>
              <w:tr2bl w:val="nil"/>
            </w:tcBorders>
            <w:noWrap/>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20</w:t>
            </w:r>
          </w:p>
        </w:tc>
        <w:tc>
          <w:tcPr>
            <w:tcW w:w="1033" w:type="dxa"/>
            <w:vMerge w:val="continue"/>
            <w:tcBorders>
              <w:tl2br w:val="nil"/>
              <w:tr2bl w:val="nil"/>
            </w:tcBorders>
            <w:tcMar>
              <w:top w:w="15" w:type="dxa"/>
              <w:left w:w="15" w:type="dxa"/>
              <w:right w:w="15" w:type="dxa"/>
            </w:tcMar>
            <w:vAlign w:val="center"/>
          </w:tcPr>
          <w:p>
            <w:pPr>
              <w:snapToGrid w:val="0"/>
              <w:jc w:val="center"/>
              <w:rPr>
                <w:rFonts w:ascii="宋体" w:hAnsi="宋体" w:eastAsia="宋体" w:cs="宋体"/>
                <w:sz w:val="18"/>
                <w:szCs w:val="18"/>
              </w:rPr>
            </w:pPr>
          </w:p>
        </w:tc>
        <w:tc>
          <w:tcPr>
            <w:tcW w:w="1117" w:type="dxa"/>
            <w:vMerge w:val="continue"/>
            <w:tcBorders>
              <w:tl2br w:val="nil"/>
              <w:tr2bl w:val="nil"/>
            </w:tcBorders>
            <w:noWrap/>
            <w:tcMar>
              <w:top w:w="15" w:type="dxa"/>
              <w:left w:w="15" w:type="dxa"/>
              <w:right w:w="15" w:type="dxa"/>
            </w:tcMar>
            <w:vAlign w:val="center"/>
          </w:tcPr>
          <w:p>
            <w:pPr>
              <w:snapToGrid w:val="0"/>
              <w:jc w:val="center"/>
              <w:rPr>
                <w:rFonts w:ascii="宋体" w:hAnsi="宋体" w:eastAsia="宋体" w:cs="宋体"/>
                <w:sz w:val="18"/>
                <w:szCs w:val="18"/>
              </w:rPr>
            </w:pPr>
          </w:p>
        </w:tc>
        <w:tc>
          <w:tcPr>
            <w:tcW w:w="1517"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检修闸门</w:t>
            </w:r>
          </w:p>
        </w:tc>
        <w:tc>
          <w:tcPr>
            <w:tcW w:w="230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磨损、锈蚀</w:t>
            </w:r>
          </w:p>
        </w:tc>
        <w:tc>
          <w:tcPr>
            <w:tcW w:w="2066"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止水失效、锈蚀损坏</w:t>
            </w:r>
          </w:p>
        </w:tc>
        <w:tc>
          <w:tcPr>
            <w:tcW w:w="85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LS法</w:t>
            </w:r>
          </w:p>
        </w:tc>
        <w:tc>
          <w:tcPr>
            <w:tcW w:w="85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5～5</w:t>
            </w:r>
          </w:p>
        </w:tc>
        <w:tc>
          <w:tcPr>
            <w:tcW w:w="680" w:type="dxa"/>
            <w:tcBorders>
              <w:tl2br w:val="nil"/>
              <w:tr2bl w:val="nil"/>
            </w:tcBorders>
            <w:tcMar>
              <w:top w:w="15" w:type="dxa"/>
              <w:left w:w="15" w:type="dxa"/>
              <w:right w:w="15" w:type="dxa"/>
            </w:tcMar>
            <w:vAlign w:val="center"/>
          </w:tcPr>
          <w:p>
            <w:pPr>
              <w:snapToGrid w:val="0"/>
              <w:jc w:val="center"/>
              <w:rPr>
                <w:rFonts w:ascii="宋体" w:hAnsi="宋体" w:eastAsia="宋体" w:cs="宋体"/>
                <w:sz w:val="18"/>
                <w:szCs w:val="18"/>
              </w:rPr>
            </w:pPr>
            <w:r>
              <w:rPr>
                <w:rFonts w:hint="eastAsia" w:ascii="宋体" w:hAnsi="宋体" w:eastAsia="宋体" w:cs="宋体"/>
                <w:sz w:val="18"/>
                <w:szCs w:val="18"/>
              </w:rPr>
              <w:t>/</w:t>
            </w:r>
          </w:p>
        </w:tc>
        <w:tc>
          <w:tcPr>
            <w:tcW w:w="737"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3～15</w:t>
            </w:r>
          </w:p>
        </w:tc>
        <w:tc>
          <w:tcPr>
            <w:tcW w:w="964"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15～75</w:t>
            </w:r>
          </w:p>
        </w:tc>
        <w:tc>
          <w:tcPr>
            <w:tcW w:w="850" w:type="dxa"/>
            <w:tcBorders>
              <w:tl2br w:val="nil"/>
              <w:tr2bl w:val="nil"/>
            </w:tcBorders>
            <w:noWrap/>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低～一般</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20" w:hRule="atLeast"/>
        </w:trPr>
        <w:tc>
          <w:tcPr>
            <w:tcW w:w="637" w:type="dxa"/>
            <w:tcBorders>
              <w:tl2br w:val="nil"/>
              <w:tr2bl w:val="nil"/>
            </w:tcBorders>
            <w:noWrap/>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21</w:t>
            </w:r>
          </w:p>
        </w:tc>
        <w:tc>
          <w:tcPr>
            <w:tcW w:w="1033" w:type="dxa"/>
            <w:vMerge w:val="continue"/>
            <w:tcBorders>
              <w:bottom w:val="single" w:color="auto" w:sz="4" w:space="0"/>
              <w:tl2br w:val="nil"/>
              <w:tr2bl w:val="nil"/>
            </w:tcBorders>
            <w:tcMar>
              <w:top w:w="15" w:type="dxa"/>
              <w:left w:w="15" w:type="dxa"/>
              <w:right w:w="15" w:type="dxa"/>
            </w:tcMar>
            <w:vAlign w:val="center"/>
          </w:tcPr>
          <w:p>
            <w:pPr>
              <w:snapToGrid w:val="0"/>
              <w:jc w:val="center"/>
              <w:rPr>
                <w:rFonts w:ascii="宋体" w:hAnsi="宋体" w:eastAsia="宋体" w:cs="宋体"/>
                <w:sz w:val="18"/>
                <w:szCs w:val="18"/>
              </w:rPr>
            </w:pPr>
          </w:p>
        </w:tc>
        <w:tc>
          <w:tcPr>
            <w:tcW w:w="1117" w:type="dxa"/>
            <w:vMerge w:val="continue"/>
            <w:tcBorders>
              <w:bottom w:val="single" w:color="auto" w:sz="4" w:space="0"/>
              <w:tl2br w:val="nil"/>
              <w:tr2bl w:val="nil"/>
            </w:tcBorders>
            <w:noWrap/>
            <w:tcMar>
              <w:top w:w="15" w:type="dxa"/>
              <w:left w:w="15" w:type="dxa"/>
              <w:right w:w="15" w:type="dxa"/>
            </w:tcMar>
            <w:vAlign w:val="center"/>
          </w:tcPr>
          <w:p>
            <w:pPr>
              <w:snapToGrid w:val="0"/>
              <w:jc w:val="center"/>
              <w:rPr>
                <w:rFonts w:ascii="宋体" w:hAnsi="宋体" w:eastAsia="宋体" w:cs="宋体"/>
                <w:sz w:val="18"/>
                <w:szCs w:val="18"/>
              </w:rPr>
            </w:pPr>
          </w:p>
        </w:tc>
        <w:tc>
          <w:tcPr>
            <w:tcW w:w="1517"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事故闸门</w:t>
            </w:r>
          </w:p>
        </w:tc>
        <w:tc>
          <w:tcPr>
            <w:tcW w:w="230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不能及时关闭、断流失效</w:t>
            </w:r>
          </w:p>
        </w:tc>
        <w:tc>
          <w:tcPr>
            <w:tcW w:w="2066"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机组无法停机、倒转甚至飞逸</w:t>
            </w:r>
          </w:p>
        </w:tc>
        <w:tc>
          <w:tcPr>
            <w:tcW w:w="85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LS法</w:t>
            </w:r>
          </w:p>
        </w:tc>
        <w:tc>
          <w:tcPr>
            <w:tcW w:w="85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5～30</w:t>
            </w:r>
          </w:p>
        </w:tc>
        <w:tc>
          <w:tcPr>
            <w:tcW w:w="680" w:type="dxa"/>
            <w:tcBorders>
              <w:tl2br w:val="nil"/>
              <w:tr2bl w:val="nil"/>
            </w:tcBorders>
            <w:tcMar>
              <w:top w:w="15" w:type="dxa"/>
              <w:left w:w="15" w:type="dxa"/>
              <w:right w:w="15" w:type="dxa"/>
            </w:tcMar>
            <w:vAlign w:val="center"/>
          </w:tcPr>
          <w:p>
            <w:pPr>
              <w:snapToGrid w:val="0"/>
              <w:jc w:val="center"/>
              <w:rPr>
                <w:rFonts w:ascii="宋体" w:hAnsi="宋体" w:eastAsia="宋体" w:cs="宋体"/>
                <w:sz w:val="18"/>
                <w:szCs w:val="18"/>
              </w:rPr>
            </w:pPr>
            <w:r>
              <w:rPr>
                <w:rFonts w:hint="eastAsia" w:ascii="宋体" w:hAnsi="宋体" w:eastAsia="宋体" w:cs="宋体"/>
                <w:sz w:val="18"/>
                <w:szCs w:val="18"/>
              </w:rPr>
              <w:t>/</w:t>
            </w:r>
          </w:p>
        </w:tc>
        <w:tc>
          <w:tcPr>
            <w:tcW w:w="737"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3～15</w:t>
            </w:r>
          </w:p>
        </w:tc>
        <w:tc>
          <w:tcPr>
            <w:tcW w:w="964"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15～450</w:t>
            </w:r>
          </w:p>
        </w:tc>
        <w:tc>
          <w:tcPr>
            <w:tcW w:w="850" w:type="dxa"/>
            <w:tcBorders>
              <w:tl2br w:val="nil"/>
              <w:tr2bl w:val="nil"/>
            </w:tcBorders>
            <w:noWrap/>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低～重大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20" w:hRule="atLeast"/>
        </w:trPr>
        <w:tc>
          <w:tcPr>
            <w:tcW w:w="637" w:type="dxa"/>
            <w:tcBorders>
              <w:tl2br w:val="nil"/>
              <w:tr2bl w:val="nil"/>
            </w:tcBorders>
            <w:noWrap/>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22</w:t>
            </w:r>
          </w:p>
        </w:tc>
        <w:tc>
          <w:tcPr>
            <w:tcW w:w="1033" w:type="dxa"/>
            <w:vMerge w:val="restart"/>
            <w:tcBorders>
              <w:top w:val="single" w:color="auto" w:sz="4" w:space="0"/>
              <w:tl2br w:val="nil"/>
              <w:tr2bl w:val="nil"/>
            </w:tcBorders>
            <w:tcMar>
              <w:top w:w="15" w:type="dxa"/>
              <w:left w:w="15" w:type="dxa"/>
              <w:right w:w="15" w:type="dxa"/>
            </w:tcMar>
            <w:vAlign w:val="center"/>
          </w:tcPr>
          <w:p>
            <w:pPr>
              <w:snapToGrid w:val="0"/>
              <w:jc w:val="center"/>
              <w:rPr>
                <w:rFonts w:ascii="宋体" w:hAnsi="宋体" w:eastAsia="宋体" w:cs="宋体"/>
                <w:sz w:val="18"/>
                <w:szCs w:val="18"/>
              </w:rPr>
            </w:pPr>
            <w:r>
              <w:rPr>
                <w:rFonts w:hint="eastAsia" w:ascii="宋体" w:hAnsi="宋体" w:eastAsia="宋体" w:cs="宋体"/>
                <w:sz w:val="18"/>
                <w:szCs w:val="18"/>
                <w:lang w:bidi="ar"/>
              </w:rPr>
              <w:t>金属结构类</w:t>
            </w:r>
          </w:p>
        </w:tc>
        <w:tc>
          <w:tcPr>
            <w:tcW w:w="1117" w:type="dxa"/>
            <w:vMerge w:val="restart"/>
            <w:tcBorders>
              <w:top w:val="single" w:color="auto" w:sz="4" w:space="0"/>
              <w:bottom w:val="single" w:color="auto" w:sz="4" w:space="0"/>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拦污与清污设备</w:t>
            </w:r>
          </w:p>
        </w:tc>
        <w:tc>
          <w:tcPr>
            <w:tcW w:w="1517"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拦污栅</w:t>
            </w:r>
          </w:p>
        </w:tc>
        <w:tc>
          <w:tcPr>
            <w:tcW w:w="230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锈蚀、撞击损坏</w:t>
            </w:r>
          </w:p>
        </w:tc>
        <w:tc>
          <w:tcPr>
            <w:tcW w:w="2066"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设备损坏、影响机组运行</w:t>
            </w:r>
          </w:p>
        </w:tc>
        <w:tc>
          <w:tcPr>
            <w:tcW w:w="85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LS法</w:t>
            </w:r>
          </w:p>
        </w:tc>
        <w:tc>
          <w:tcPr>
            <w:tcW w:w="85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5～30</w:t>
            </w:r>
          </w:p>
        </w:tc>
        <w:tc>
          <w:tcPr>
            <w:tcW w:w="680" w:type="dxa"/>
            <w:tcBorders>
              <w:tl2br w:val="nil"/>
              <w:tr2bl w:val="nil"/>
            </w:tcBorders>
            <w:tcMar>
              <w:top w:w="15" w:type="dxa"/>
              <w:left w:w="15" w:type="dxa"/>
              <w:right w:w="15" w:type="dxa"/>
            </w:tcMar>
            <w:vAlign w:val="center"/>
          </w:tcPr>
          <w:p>
            <w:pPr>
              <w:snapToGrid w:val="0"/>
              <w:jc w:val="center"/>
              <w:rPr>
                <w:rFonts w:ascii="宋体" w:hAnsi="宋体" w:eastAsia="宋体" w:cs="宋体"/>
                <w:sz w:val="18"/>
                <w:szCs w:val="18"/>
              </w:rPr>
            </w:pPr>
            <w:r>
              <w:rPr>
                <w:rFonts w:hint="eastAsia" w:ascii="宋体" w:hAnsi="宋体" w:eastAsia="宋体" w:cs="宋体"/>
                <w:sz w:val="18"/>
                <w:szCs w:val="18"/>
              </w:rPr>
              <w:t>/</w:t>
            </w:r>
          </w:p>
        </w:tc>
        <w:tc>
          <w:tcPr>
            <w:tcW w:w="737"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3～15</w:t>
            </w:r>
          </w:p>
        </w:tc>
        <w:tc>
          <w:tcPr>
            <w:tcW w:w="964"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15～450</w:t>
            </w:r>
          </w:p>
        </w:tc>
        <w:tc>
          <w:tcPr>
            <w:tcW w:w="850" w:type="dxa"/>
            <w:tcBorders>
              <w:tl2br w:val="nil"/>
              <w:tr2bl w:val="nil"/>
            </w:tcBorders>
            <w:noWrap/>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低～重大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20" w:hRule="atLeast"/>
        </w:trPr>
        <w:tc>
          <w:tcPr>
            <w:tcW w:w="637" w:type="dxa"/>
            <w:tcBorders>
              <w:tl2br w:val="nil"/>
              <w:tr2bl w:val="nil"/>
            </w:tcBorders>
            <w:noWrap/>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23</w:t>
            </w:r>
          </w:p>
        </w:tc>
        <w:tc>
          <w:tcPr>
            <w:tcW w:w="1033" w:type="dxa"/>
            <w:vMerge w:val="continue"/>
            <w:tcBorders>
              <w:top w:val="single" w:color="auto" w:sz="4" w:space="0"/>
              <w:bottom w:val="single" w:color="auto" w:sz="4" w:space="0"/>
              <w:tl2br w:val="nil"/>
              <w:tr2bl w:val="nil"/>
            </w:tcBorders>
            <w:tcMar>
              <w:top w:w="15" w:type="dxa"/>
              <w:left w:w="15" w:type="dxa"/>
              <w:right w:w="15" w:type="dxa"/>
            </w:tcMar>
            <w:vAlign w:val="center"/>
          </w:tcPr>
          <w:p>
            <w:pPr>
              <w:snapToGrid w:val="0"/>
              <w:jc w:val="center"/>
              <w:rPr>
                <w:rFonts w:ascii="宋体" w:hAnsi="宋体" w:eastAsia="宋体" w:cs="宋体"/>
                <w:sz w:val="18"/>
                <w:szCs w:val="18"/>
              </w:rPr>
            </w:pPr>
          </w:p>
        </w:tc>
        <w:tc>
          <w:tcPr>
            <w:tcW w:w="1117" w:type="dxa"/>
            <w:vMerge w:val="continue"/>
            <w:tcBorders>
              <w:top w:val="single" w:color="auto" w:sz="4" w:space="0"/>
              <w:bottom w:val="single" w:color="auto" w:sz="4" w:space="0"/>
              <w:tl2br w:val="nil"/>
              <w:tr2bl w:val="nil"/>
            </w:tcBorders>
            <w:tcMar>
              <w:top w:w="15" w:type="dxa"/>
              <w:left w:w="15" w:type="dxa"/>
              <w:right w:w="15" w:type="dxa"/>
            </w:tcMar>
            <w:vAlign w:val="center"/>
          </w:tcPr>
          <w:p>
            <w:pPr>
              <w:snapToGrid w:val="0"/>
              <w:jc w:val="center"/>
              <w:rPr>
                <w:rFonts w:ascii="宋体" w:hAnsi="宋体" w:eastAsia="宋体" w:cs="宋体"/>
                <w:sz w:val="18"/>
                <w:szCs w:val="18"/>
              </w:rPr>
            </w:pPr>
          </w:p>
        </w:tc>
        <w:tc>
          <w:tcPr>
            <w:tcW w:w="1517"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清污机</w:t>
            </w:r>
          </w:p>
        </w:tc>
        <w:tc>
          <w:tcPr>
            <w:tcW w:w="230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磨损、锈蚀，电机及回路控制设备故障</w:t>
            </w:r>
          </w:p>
        </w:tc>
        <w:tc>
          <w:tcPr>
            <w:tcW w:w="2066"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影响设备运行</w:t>
            </w:r>
          </w:p>
        </w:tc>
        <w:tc>
          <w:tcPr>
            <w:tcW w:w="85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LS法</w:t>
            </w:r>
          </w:p>
        </w:tc>
        <w:tc>
          <w:tcPr>
            <w:tcW w:w="85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5～30</w:t>
            </w:r>
          </w:p>
        </w:tc>
        <w:tc>
          <w:tcPr>
            <w:tcW w:w="680" w:type="dxa"/>
            <w:tcBorders>
              <w:tl2br w:val="nil"/>
              <w:tr2bl w:val="nil"/>
            </w:tcBorders>
            <w:tcMar>
              <w:top w:w="15" w:type="dxa"/>
              <w:left w:w="15" w:type="dxa"/>
              <w:right w:w="15" w:type="dxa"/>
            </w:tcMar>
            <w:vAlign w:val="center"/>
          </w:tcPr>
          <w:p>
            <w:pPr>
              <w:snapToGrid w:val="0"/>
              <w:jc w:val="center"/>
              <w:rPr>
                <w:rFonts w:ascii="宋体" w:hAnsi="宋体" w:eastAsia="宋体" w:cs="宋体"/>
                <w:sz w:val="18"/>
                <w:szCs w:val="18"/>
              </w:rPr>
            </w:pPr>
            <w:r>
              <w:rPr>
                <w:rFonts w:hint="eastAsia" w:ascii="宋体" w:hAnsi="宋体" w:eastAsia="宋体" w:cs="宋体"/>
                <w:sz w:val="18"/>
                <w:szCs w:val="18"/>
              </w:rPr>
              <w:t>/</w:t>
            </w:r>
          </w:p>
        </w:tc>
        <w:tc>
          <w:tcPr>
            <w:tcW w:w="737"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3～15</w:t>
            </w:r>
          </w:p>
        </w:tc>
        <w:tc>
          <w:tcPr>
            <w:tcW w:w="964"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15～450</w:t>
            </w:r>
          </w:p>
        </w:tc>
        <w:tc>
          <w:tcPr>
            <w:tcW w:w="850" w:type="dxa"/>
            <w:tcBorders>
              <w:tl2br w:val="nil"/>
              <w:tr2bl w:val="nil"/>
            </w:tcBorders>
            <w:noWrap/>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低～重大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20" w:hRule="atLeast"/>
        </w:trPr>
        <w:tc>
          <w:tcPr>
            <w:tcW w:w="637" w:type="dxa"/>
            <w:tcBorders>
              <w:tl2br w:val="nil"/>
              <w:tr2bl w:val="nil"/>
            </w:tcBorders>
            <w:noWrap/>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24</w:t>
            </w:r>
          </w:p>
        </w:tc>
        <w:tc>
          <w:tcPr>
            <w:tcW w:w="1033" w:type="dxa"/>
            <w:vMerge w:val="continue"/>
            <w:tcBorders>
              <w:top w:val="single" w:color="auto" w:sz="4" w:space="0"/>
              <w:tl2br w:val="nil"/>
              <w:tr2bl w:val="nil"/>
            </w:tcBorders>
            <w:tcMar>
              <w:top w:w="15" w:type="dxa"/>
              <w:left w:w="15" w:type="dxa"/>
              <w:right w:w="15" w:type="dxa"/>
            </w:tcMar>
            <w:vAlign w:val="center"/>
          </w:tcPr>
          <w:p>
            <w:pPr>
              <w:snapToGrid w:val="0"/>
              <w:jc w:val="center"/>
              <w:rPr>
                <w:rFonts w:ascii="宋体" w:hAnsi="宋体" w:eastAsia="宋体" w:cs="宋体"/>
                <w:sz w:val="18"/>
                <w:szCs w:val="18"/>
              </w:rPr>
            </w:pPr>
          </w:p>
        </w:tc>
        <w:tc>
          <w:tcPr>
            <w:tcW w:w="1117" w:type="dxa"/>
            <w:tcBorders>
              <w:top w:val="single" w:color="auto" w:sz="4" w:space="0"/>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阀组</w:t>
            </w:r>
          </w:p>
        </w:tc>
        <w:tc>
          <w:tcPr>
            <w:tcW w:w="1517"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蝶阀、闸阀、进排气阀、真空破坏阀、调流阀等</w:t>
            </w:r>
          </w:p>
        </w:tc>
        <w:tc>
          <w:tcPr>
            <w:tcW w:w="230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杂物、密封关闭不严、功能失效</w:t>
            </w:r>
          </w:p>
        </w:tc>
        <w:tc>
          <w:tcPr>
            <w:tcW w:w="2066"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爆管、水淹厂房、设备受损、人身伤害</w:t>
            </w:r>
          </w:p>
        </w:tc>
        <w:tc>
          <w:tcPr>
            <w:tcW w:w="85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LS法</w:t>
            </w:r>
          </w:p>
        </w:tc>
        <w:tc>
          <w:tcPr>
            <w:tcW w:w="85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5～30</w:t>
            </w:r>
          </w:p>
        </w:tc>
        <w:tc>
          <w:tcPr>
            <w:tcW w:w="680" w:type="dxa"/>
            <w:tcBorders>
              <w:tl2br w:val="nil"/>
              <w:tr2bl w:val="nil"/>
            </w:tcBorders>
            <w:tcMar>
              <w:top w:w="15" w:type="dxa"/>
              <w:left w:w="15" w:type="dxa"/>
              <w:right w:w="15" w:type="dxa"/>
            </w:tcMar>
            <w:vAlign w:val="center"/>
          </w:tcPr>
          <w:p>
            <w:pPr>
              <w:snapToGrid w:val="0"/>
              <w:jc w:val="center"/>
              <w:rPr>
                <w:rFonts w:ascii="宋体" w:hAnsi="宋体" w:eastAsia="宋体" w:cs="宋体"/>
                <w:sz w:val="18"/>
                <w:szCs w:val="18"/>
              </w:rPr>
            </w:pPr>
            <w:r>
              <w:rPr>
                <w:rFonts w:hint="eastAsia" w:ascii="宋体" w:hAnsi="宋体" w:eastAsia="宋体" w:cs="宋体"/>
                <w:sz w:val="18"/>
                <w:szCs w:val="18"/>
              </w:rPr>
              <w:t>/</w:t>
            </w:r>
          </w:p>
        </w:tc>
        <w:tc>
          <w:tcPr>
            <w:tcW w:w="737"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3～15</w:t>
            </w:r>
          </w:p>
        </w:tc>
        <w:tc>
          <w:tcPr>
            <w:tcW w:w="964"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15～450</w:t>
            </w:r>
          </w:p>
        </w:tc>
        <w:tc>
          <w:tcPr>
            <w:tcW w:w="850" w:type="dxa"/>
            <w:tcBorders>
              <w:tl2br w:val="nil"/>
              <w:tr2bl w:val="nil"/>
            </w:tcBorders>
            <w:noWrap/>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低～重大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20" w:hRule="atLeast"/>
        </w:trPr>
        <w:tc>
          <w:tcPr>
            <w:tcW w:w="637" w:type="dxa"/>
            <w:tcBorders>
              <w:tl2br w:val="nil"/>
              <w:tr2bl w:val="nil"/>
            </w:tcBorders>
            <w:noWrap/>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25</w:t>
            </w:r>
          </w:p>
        </w:tc>
        <w:tc>
          <w:tcPr>
            <w:tcW w:w="1033" w:type="dxa"/>
            <w:vMerge w:val="continue"/>
            <w:tcBorders>
              <w:tl2br w:val="nil"/>
              <w:tr2bl w:val="nil"/>
            </w:tcBorders>
            <w:tcMar>
              <w:top w:w="15" w:type="dxa"/>
              <w:left w:w="15" w:type="dxa"/>
              <w:right w:w="15" w:type="dxa"/>
            </w:tcMar>
            <w:vAlign w:val="center"/>
          </w:tcPr>
          <w:p>
            <w:pPr>
              <w:snapToGrid w:val="0"/>
              <w:jc w:val="center"/>
              <w:rPr>
                <w:rFonts w:ascii="宋体" w:hAnsi="宋体" w:eastAsia="宋体" w:cs="宋体"/>
                <w:sz w:val="18"/>
                <w:szCs w:val="18"/>
              </w:rPr>
            </w:pPr>
          </w:p>
        </w:tc>
        <w:tc>
          <w:tcPr>
            <w:tcW w:w="1117" w:type="dxa"/>
            <w:tcBorders>
              <w:tl2br w:val="nil"/>
              <w:tr2bl w:val="nil"/>
            </w:tcBorders>
            <w:noWrap/>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启闭机械</w:t>
            </w:r>
          </w:p>
        </w:tc>
        <w:tc>
          <w:tcPr>
            <w:tcW w:w="850" w:type="dxa"/>
            <w:gridSpan w:val="9"/>
            <w:tcBorders>
              <w:tl2br w:val="nil"/>
              <w:tr2bl w:val="nil"/>
            </w:tcBorders>
            <w:noWrap/>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按《水利水电工程（水库、水闸）运行危险源辨识与风险评价导则》执行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20" w:hRule="atLeast"/>
        </w:trPr>
        <w:tc>
          <w:tcPr>
            <w:tcW w:w="637" w:type="dxa"/>
            <w:tcBorders>
              <w:tl2br w:val="nil"/>
              <w:tr2bl w:val="nil"/>
            </w:tcBorders>
            <w:noWrap/>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26</w:t>
            </w:r>
          </w:p>
        </w:tc>
        <w:tc>
          <w:tcPr>
            <w:tcW w:w="1033" w:type="dxa"/>
            <w:vMerge w:val="restart"/>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设备设施类</w:t>
            </w:r>
          </w:p>
        </w:tc>
        <w:tc>
          <w:tcPr>
            <w:tcW w:w="1117" w:type="dxa"/>
            <w:vMerge w:val="restart"/>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机组及附属设备</w:t>
            </w:r>
          </w:p>
        </w:tc>
        <w:tc>
          <w:tcPr>
            <w:tcW w:w="1517"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电动机</w:t>
            </w:r>
          </w:p>
        </w:tc>
        <w:tc>
          <w:tcPr>
            <w:tcW w:w="230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电机部件制造缺陷或安装缺陷，冷却系统故障，传感器故障，绝缘受潮、老化、损坏</w:t>
            </w:r>
          </w:p>
        </w:tc>
        <w:tc>
          <w:tcPr>
            <w:tcW w:w="2066"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设备损坏、机组无法运行</w:t>
            </w:r>
          </w:p>
        </w:tc>
        <w:tc>
          <w:tcPr>
            <w:tcW w:w="85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LS法</w:t>
            </w:r>
          </w:p>
        </w:tc>
        <w:tc>
          <w:tcPr>
            <w:tcW w:w="85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5～30</w:t>
            </w:r>
          </w:p>
        </w:tc>
        <w:tc>
          <w:tcPr>
            <w:tcW w:w="680" w:type="dxa"/>
            <w:tcBorders>
              <w:tl2br w:val="nil"/>
              <w:tr2bl w:val="nil"/>
            </w:tcBorders>
            <w:tcMar>
              <w:top w:w="15" w:type="dxa"/>
              <w:left w:w="15" w:type="dxa"/>
              <w:right w:w="15" w:type="dxa"/>
            </w:tcMar>
            <w:vAlign w:val="center"/>
          </w:tcPr>
          <w:p>
            <w:pPr>
              <w:snapToGrid w:val="0"/>
              <w:jc w:val="center"/>
              <w:rPr>
                <w:rFonts w:ascii="宋体" w:hAnsi="宋体" w:eastAsia="宋体" w:cs="宋体"/>
                <w:sz w:val="18"/>
                <w:szCs w:val="18"/>
              </w:rPr>
            </w:pPr>
            <w:r>
              <w:rPr>
                <w:rFonts w:hint="eastAsia" w:ascii="宋体" w:hAnsi="宋体" w:eastAsia="宋体" w:cs="宋体"/>
                <w:sz w:val="18"/>
                <w:szCs w:val="18"/>
              </w:rPr>
              <w:t>/</w:t>
            </w:r>
          </w:p>
        </w:tc>
        <w:tc>
          <w:tcPr>
            <w:tcW w:w="737"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3～15</w:t>
            </w:r>
          </w:p>
        </w:tc>
        <w:tc>
          <w:tcPr>
            <w:tcW w:w="964"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15～450</w:t>
            </w:r>
          </w:p>
        </w:tc>
        <w:tc>
          <w:tcPr>
            <w:tcW w:w="850" w:type="dxa"/>
            <w:tcBorders>
              <w:tl2br w:val="nil"/>
              <w:tr2bl w:val="nil"/>
            </w:tcBorders>
            <w:noWrap/>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低～重大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20" w:hRule="atLeast"/>
        </w:trPr>
        <w:tc>
          <w:tcPr>
            <w:tcW w:w="637" w:type="dxa"/>
            <w:tcBorders>
              <w:tl2br w:val="nil"/>
              <w:tr2bl w:val="nil"/>
            </w:tcBorders>
            <w:noWrap/>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27</w:t>
            </w:r>
          </w:p>
        </w:tc>
        <w:tc>
          <w:tcPr>
            <w:tcW w:w="1033" w:type="dxa"/>
            <w:vMerge w:val="continue"/>
            <w:tcBorders>
              <w:tl2br w:val="nil"/>
              <w:tr2bl w:val="nil"/>
            </w:tcBorders>
            <w:tcMar>
              <w:top w:w="15" w:type="dxa"/>
              <w:left w:w="15" w:type="dxa"/>
              <w:right w:w="15" w:type="dxa"/>
            </w:tcMar>
            <w:vAlign w:val="center"/>
          </w:tcPr>
          <w:p>
            <w:pPr>
              <w:snapToGrid w:val="0"/>
              <w:jc w:val="center"/>
              <w:rPr>
                <w:rFonts w:ascii="宋体" w:hAnsi="宋体" w:eastAsia="宋体" w:cs="宋体"/>
                <w:sz w:val="18"/>
                <w:szCs w:val="18"/>
              </w:rPr>
            </w:pPr>
          </w:p>
        </w:tc>
        <w:tc>
          <w:tcPr>
            <w:tcW w:w="1117" w:type="dxa"/>
            <w:vMerge w:val="continue"/>
            <w:tcBorders>
              <w:tl2br w:val="nil"/>
              <w:tr2bl w:val="nil"/>
            </w:tcBorders>
            <w:tcMar>
              <w:top w:w="15" w:type="dxa"/>
              <w:left w:w="15" w:type="dxa"/>
              <w:right w:w="15" w:type="dxa"/>
            </w:tcMar>
            <w:vAlign w:val="center"/>
          </w:tcPr>
          <w:p>
            <w:pPr>
              <w:snapToGrid w:val="0"/>
              <w:jc w:val="center"/>
              <w:rPr>
                <w:rFonts w:ascii="宋体" w:hAnsi="宋体" w:eastAsia="宋体" w:cs="宋体"/>
                <w:sz w:val="18"/>
                <w:szCs w:val="18"/>
              </w:rPr>
            </w:pPr>
          </w:p>
        </w:tc>
        <w:tc>
          <w:tcPr>
            <w:tcW w:w="1517"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主水泵</w:t>
            </w:r>
          </w:p>
        </w:tc>
        <w:tc>
          <w:tcPr>
            <w:tcW w:w="230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检修安装不正确、冷却系统故障、叶片调节装置故障、机械密封故障等</w:t>
            </w:r>
          </w:p>
        </w:tc>
        <w:tc>
          <w:tcPr>
            <w:tcW w:w="2066"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机组损坏、机组无法正常运行、污染水体</w:t>
            </w:r>
          </w:p>
        </w:tc>
        <w:tc>
          <w:tcPr>
            <w:tcW w:w="85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LS法</w:t>
            </w:r>
          </w:p>
        </w:tc>
        <w:tc>
          <w:tcPr>
            <w:tcW w:w="85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5～30</w:t>
            </w:r>
          </w:p>
        </w:tc>
        <w:tc>
          <w:tcPr>
            <w:tcW w:w="680" w:type="dxa"/>
            <w:tcBorders>
              <w:tl2br w:val="nil"/>
              <w:tr2bl w:val="nil"/>
            </w:tcBorders>
            <w:tcMar>
              <w:top w:w="15" w:type="dxa"/>
              <w:left w:w="15" w:type="dxa"/>
              <w:right w:w="15" w:type="dxa"/>
            </w:tcMar>
            <w:vAlign w:val="center"/>
          </w:tcPr>
          <w:p>
            <w:pPr>
              <w:snapToGrid w:val="0"/>
              <w:jc w:val="center"/>
              <w:rPr>
                <w:rFonts w:ascii="宋体" w:hAnsi="宋体" w:eastAsia="宋体" w:cs="宋体"/>
                <w:sz w:val="18"/>
                <w:szCs w:val="18"/>
              </w:rPr>
            </w:pPr>
            <w:r>
              <w:rPr>
                <w:rFonts w:hint="eastAsia" w:ascii="宋体" w:hAnsi="宋体" w:eastAsia="宋体" w:cs="宋体"/>
                <w:sz w:val="18"/>
                <w:szCs w:val="18"/>
              </w:rPr>
              <w:t>/</w:t>
            </w:r>
          </w:p>
        </w:tc>
        <w:tc>
          <w:tcPr>
            <w:tcW w:w="737"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3～15</w:t>
            </w:r>
          </w:p>
        </w:tc>
        <w:tc>
          <w:tcPr>
            <w:tcW w:w="964"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15～450</w:t>
            </w:r>
          </w:p>
        </w:tc>
        <w:tc>
          <w:tcPr>
            <w:tcW w:w="850" w:type="dxa"/>
            <w:tcBorders>
              <w:tl2br w:val="nil"/>
              <w:tr2bl w:val="nil"/>
            </w:tcBorders>
            <w:noWrap/>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低～重大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20" w:hRule="atLeast"/>
        </w:trPr>
        <w:tc>
          <w:tcPr>
            <w:tcW w:w="637" w:type="dxa"/>
            <w:tcBorders>
              <w:tl2br w:val="nil"/>
              <w:tr2bl w:val="nil"/>
            </w:tcBorders>
            <w:noWrap/>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28</w:t>
            </w:r>
          </w:p>
        </w:tc>
        <w:tc>
          <w:tcPr>
            <w:tcW w:w="1033" w:type="dxa"/>
            <w:vMerge w:val="continue"/>
            <w:tcBorders>
              <w:tl2br w:val="nil"/>
              <w:tr2bl w:val="nil"/>
            </w:tcBorders>
            <w:tcMar>
              <w:top w:w="15" w:type="dxa"/>
              <w:left w:w="15" w:type="dxa"/>
              <w:right w:w="15" w:type="dxa"/>
            </w:tcMar>
            <w:vAlign w:val="center"/>
          </w:tcPr>
          <w:p>
            <w:pPr>
              <w:snapToGrid w:val="0"/>
              <w:jc w:val="center"/>
              <w:rPr>
                <w:rFonts w:ascii="宋体" w:hAnsi="宋体" w:eastAsia="宋体" w:cs="宋体"/>
                <w:sz w:val="18"/>
                <w:szCs w:val="18"/>
              </w:rPr>
            </w:pPr>
          </w:p>
        </w:tc>
        <w:tc>
          <w:tcPr>
            <w:tcW w:w="1117" w:type="dxa"/>
            <w:vMerge w:val="continue"/>
            <w:tcBorders>
              <w:tl2br w:val="nil"/>
              <w:tr2bl w:val="nil"/>
            </w:tcBorders>
            <w:tcMar>
              <w:top w:w="15" w:type="dxa"/>
              <w:left w:w="15" w:type="dxa"/>
              <w:right w:w="15" w:type="dxa"/>
            </w:tcMar>
            <w:vAlign w:val="center"/>
          </w:tcPr>
          <w:p>
            <w:pPr>
              <w:snapToGrid w:val="0"/>
              <w:jc w:val="center"/>
              <w:rPr>
                <w:rFonts w:ascii="宋体" w:hAnsi="宋体" w:eastAsia="宋体" w:cs="宋体"/>
                <w:sz w:val="18"/>
                <w:szCs w:val="18"/>
              </w:rPr>
            </w:pPr>
          </w:p>
        </w:tc>
        <w:tc>
          <w:tcPr>
            <w:tcW w:w="1517"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减速器</w:t>
            </w:r>
          </w:p>
        </w:tc>
        <w:tc>
          <w:tcPr>
            <w:tcW w:w="230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超负荷、过热、异常运转</w:t>
            </w:r>
          </w:p>
        </w:tc>
        <w:tc>
          <w:tcPr>
            <w:tcW w:w="2066"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影响运行、设备损坏</w:t>
            </w:r>
          </w:p>
        </w:tc>
        <w:tc>
          <w:tcPr>
            <w:tcW w:w="85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LS法</w:t>
            </w:r>
          </w:p>
        </w:tc>
        <w:tc>
          <w:tcPr>
            <w:tcW w:w="85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5～30</w:t>
            </w:r>
          </w:p>
        </w:tc>
        <w:tc>
          <w:tcPr>
            <w:tcW w:w="680" w:type="dxa"/>
            <w:tcBorders>
              <w:tl2br w:val="nil"/>
              <w:tr2bl w:val="nil"/>
            </w:tcBorders>
            <w:tcMar>
              <w:top w:w="15" w:type="dxa"/>
              <w:left w:w="15" w:type="dxa"/>
              <w:right w:w="15" w:type="dxa"/>
            </w:tcMar>
            <w:vAlign w:val="center"/>
          </w:tcPr>
          <w:p>
            <w:pPr>
              <w:snapToGrid w:val="0"/>
              <w:jc w:val="center"/>
              <w:rPr>
                <w:rFonts w:ascii="宋体" w:hAnsi="宋体" w:eastAsia="宋体" w:cs="宋体"/>
                <w:sz w:val="18"/>
                <w:szCs w:val="18"/>
              </w:rPr>
            </w:pPr>
            <w:r>
              <w:rPr>
                <w:rFonts w:hint="eastAsia" w:ascii="宋体" w:hAnsi="宋体" w:eastAsia="宋体" w:cs="宋体"/>
                <w:sz w:val="18"/>
                <w:szCs w:val="18"/>
              </w:rPr>
              <w:t>/</w:t>
            </w:r>
          </w:p>
        </w:tc>
        <w:tc>
          <w:tcPr>
            <w:tcW w:w="737" w:type="dxa"/>
            <w:tcBorders>
              <w:tl2br w:val="nil"/>
              <w:tr2bl w:val="nil"/>
            </w:tcBorders>
            <w:noWrap/>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3～15</w:t>
            </w:r>
          </w:p>
        </w:tc>
        <w:tc>
          <w:tcPr>
            <w:tcW w:w="964" w:type="dxa"/>
            <w:tcBorders>
              <w:tl2br w:val="nil"/>
              <w:tr2bl w:val="nil"/>
            </w:tcBorders>
            <w:noWrap/>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15～450</w:t>
            </w:r>
          </w:p>
        </w:tc>
        <w:tc>
          <w:tcPr>
            <w:tcW w:w="850" w:type="dxa"/>
            <w:tcBorders>
              <w:tl2br w:val="nil"/>
              <w:tr2bl w:val="nil"/>
            </w:tcBorders>
            <w:noWrap/>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低～重大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20" w:hRule="atLeast"/>
        </w:trPr>
        <w:tc>
          <w:tcPr>
            <w:tcW w:w="637" w:type="dxa"/>
            <w:tcBorders>
              <w:tl2br w:val="nil"/>
              <w:tr2bl w:val="nil"/>
            </w:tcBorders>
            <w:noWrap/>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29</w:t>
            </w:r>
          </w:p>
        </w:tc>
        <w:tc>
          <w:tcPr>
            <w:tcW w:w="1033" w:type="dxa"/>
            <w:vMerge w:val="continue"/>
            <w:tcBorders>
              <w:bottom w:val="single" w:color="auto" w:sz="4" w:space="0"/>
              <w:tl2br w:val="nil"/>
              <w:tr2bl w:val="nil"/>
            </w:tcBorders>
            <w:tcMar>
              <w:top w:w="15" w:type="dxa"/>
              <w:left w:w="15" w:type="dxa"/>
              <w:right w:w="15" w:type="dxa"/>
            </w:tcMar>
            <w:vAlign w:val="center"/>
          </w:tcPr>
          <w:p>
            <w:pPr>
              <w:snapToGrid w:val="0"/>
              <w:jc w:val="center"/>
              <w:rPr>
                <w:rFonts w:ascii="宋体" w:hAnsi="宋体" w:eastAsia="宋体" w:cs="宋体"/>
                <w:sz w:val="18"/>
                <w:szCs w:val="18"/>
              </w:rPr>
            </w:pPr>
          </w:p>
        </w:tc>
        <w:tc>
          <w:tcPr>
            <w:tcW w:w="1117"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电气设备</w:t>
            </w:r>
          </w:p>
        </w:tc>
        <w:tc>
          <w:tcPr>
            <w:tcW w:w="1517"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电动机变频、旁路装置</w:t>
            </w:r>
          </w:p>
        </w:tc>
        <w:tc>
          <w:tcPr>
            <w:tcW w:w="230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变频装置或旁路故障</w:t>
            </w:r>
          </w:p>
        </w:tc>
        <w:tc>
          <w:tcPr>
            <w:tcW w:w="2066"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影响设备运行</w:t>
            </w:r>
          </w:p>
        </w:tc>
        <w:tc>
          <w:tcPr>
            <w:tcW w:w="85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LS法</w:t>
            </w:r>
          </w:p>
        </w:tc>
        <w:tc>
          <w:tcPr>
            <w:tcW w:w="85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5～30</w:t>
            </w:r>
          </w:p>
        </w:tc>
        <w:tc>
          <w:tcPr>
            <w:tcW w:w="680" w:type="dxa"/>
            <w:tcBorders>
              <w:tl2br w:val="nil"/>
              <w:tr2bl w:val="nil"/>
            </w:tcBorders>
            <w:tcMar>
              <w:top w:w="15" w:type="dxa"/>
              <w:left w:w="15" w:type="dxa"/>
              <w:right w:w="15" w:type="dxa"/>
            </w:tcMar>
            <w:vAlign w:val="center"/>
          </w:tcPr>
          <w:p>
            <w:pPr>
              <w:snapToGrid w:val="0"/>
              <w:jc w:val="center"/>
              <w:rPr>
                <w:rFonts w:ascii="宋体" w:hAnsi="宋体" w:eastAsia="宋体" w:cs="宋体"/>
                <w:sz w:val="18"/>
                <w:szCs w:val="18"/>
              </w:rPr>
            </w:pPr>
            <w:r>
              <w:rPr>
                <w:rFonts w:hint="eastAsia" w:ascii="宋体" w:hAnsi="宋体" w:eastAsia="宋体" w:cs="宋体"/>
                <w:sz w:val="18"/>
                <w:szCs w:val="18"/>
              </w:rPr>
              <w:t>/</w:t>
            </w:r>
          </w:p>
        </w:tc>
        <w:tc>
          <w:tcPr>
            <w:tcW w:w="737"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3～15</w:t>
            </w:r>
          </w:p>
        </w:tc>
        <w:tc>
          <w:tcPr>
            <w:tcW w:w="964"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15～450</w:t>
            </w:r>
          </w:p>
        </w:tc>
        <w:tc>
          <w:tcPr>
            <w:tcW w:w="850" w:type="dxa"/>
            <w:tcBorders>
              <w:tl2br w:val="nil"/>
              <w:tr2bl w:val="nil"/>
            </w:tcBorders>
            <w:noWrap/>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低～重大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20" w:hRule="atLeast"/>
        </w:trPr>
        <w:tc>
          <w:tcPr>
            <w:tcW w:w="637" w:type="dxa"/>
            <w:tcBorders>
              <w:tl2br w:val="nil"/>
              <w:tr2bl w:val="nil"/>
            </w:tcBorders>
            <w:noWrap/>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30</w:t>
            </w:r>
          </w:p>
        </w:tc>
        <w:tc>
          <w:tcPr>
            <w:tcW w:w="1033" w:type="dxa"/>
            <w:vMerge w:val="restart"/>
            <w:tcBorders>
              <w:top w:val="single" w:color="auto" w:sz="4" w:space="0"/>
              <w:tl2br w:val="nil"/>
              <w:tr2bl w:val="nil"/>
            </w:tcBorders>
            <w:tcMar>
              <w:top w:w="15" w:type="dxa"/>
              <w:left w:w="15" w:type="dxa"/>
              <w:right w:w="15" w:type="dxa"/>
            </w:tcMar>
            <w:vAlign w:val="center"/>
          </w:tcPr>
          <w:p>
            <w:pPr>
              <w:snapToGrid w:val="0"/>
              <w:jc w:val="center"/>
              <w:rPr>
                <w:rFonts w:ascii="宋体" w:hAnsi="宋体" w:eastAsia="宋体" w:cs="宋体"/>
                <w:sz w:val="18"/>
                <w:szCs w:val="18"/>
              </w:rPr>
            </w:pPr>
            <w:r>
              <w:rPr>
                <w:rFonts w:hint="eastAsia" w:ascii="宋体" w:hAnsi="宋体" w:eastAsia="宋体" w:cs="宋体"/>
                <w:sz w:val="18"/>
                <w:szCs w:val="18"/>
                <w:lang w:bidi="ar"/>
              </w:rPr>
              <w:t>设备设施类</w:t>
            </w:r>
          </w:p>
        </w:tc>
        <w:tc>
          <w:tcPr>
            <w:tcW w:w="1117" w:type="dxa"/>
            <w:vMerge w:val="restart"/>
            <w:tcBorders>
              <w:tl2br w:val="nil"/>
              <w:tr2bl w:val="nil"/>
            </w:tcBorders>
            <w:tcMar>
              <w:top w:w="15" w:type="dxa"/>
              <w:left w:w="15" w:type="dxa"/>
              <w:right w:w="15" w:type="dxa"/>
            </w:tcMar>
            <w:vAlign w:val="center"/>
          </w:tcPr>
          <w:p>
            <w:pPr>
              <w:snapToGrid w:val="0"/>
              <w:jc w:val="center"/>
              <w:rPr>
                <w:rFonts w:ascii="宋体" w:hAnsi="宋体" w:eastAsia="宋体" w:cs="宋体"/>
                <w:sz w:val="18"/>
                <w:szCs w:val="18"/>
              </w:rPr>
            </w:pPr>
            <w:r>
              <w:rPr>
                <w:rFonts w:hint="eastAsia" w:ascii="宋体" w:hAnsi="宋体" w:eastAsia="宋体" w:cs="宋体"/>
                <w:sz w:val="18"/>
                <w:szCs w:val="18"/>
              </w:rPr>
              <w:t>电气设备</w:t>
            </w:r>
          </w:p>
        </w:tc>
        <w:tc>
          <w:tcPr>
            <w:tcW w:w="1517"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变压器</w:t>
            </w:r>
          </w:p>
        </w:tc>
        <w:tc>
          <w:tcPr>
            <w:tcW w:w="230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油品质不符合要求、裸露带电导体与周边的安全净距不满足要求、保护及冷却装置故障、套管或支撑绝缘子损坏</w:t>
            </w:r>
          </w:p>
        </w:tc>
        <w:tc>
          <w:tcPr>
            <w:tcW w:w="2066"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设备损坏、爆炸、触电</w:t>
            </w:r>
          </w:p>
        </w:tc>
        <w:tc>
          <w:tcPr>
            <w:tcW w:w="85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LS法</w:t>
            </w:r>
          </w:p>
        </w:tc>
        <w:tc>
          <w:tcPr>
            <w:tcW w:w="85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5～30</w:t>
            </w:r>
          </w:p>
        </w:tc>
        <w:tc>
          <w:tcPr>
            <w:tcW w:w="680" w:type="dxa"/>
            <w:tcBorders>
              <w:tl2br w:val="nil"/>
              <w:tr2bl w:val="nil"/>
            </w:tcBorders>
            <w:tcMar>
              <w:top w:w="15" w:type="dxa"/>
              <w:left w:w="15" w:type="dxa"/>
              <w:right w:w="15" w:type="dxa"/>
            </w:tcMar>
            <w:vAlign w:val="center"/>
          </w:tcPr>
          <w:p>
            <w:pPr>
              <w:snapToGrid w:val="0"/>
              <w:jc w:val="center"/>
              <w:rPr>
                <w:rFonts w:ascii="宋体" w:hAnsi="宋体" w:eastAsia="宋体" w:cs="宋体"/>
                <w:sz w:val="18"/>
                <w:szCs w:val="18"/>
              </w:rPr>
            </w:pPr>
            <w:r>
              <w:rPr>
                <w:rFonts w:hint="eastAsia" w:ascii="宋体" w:hAnsi="宋体" w:eastAsia="宋体" w:cs="宋体"/>
                <w:sz w:val="18"/>
                <w:szCs w:val="18"/>
              </w:rPr>
              <w:t>/</w:t>
            </w:r>
          </w:p>
        </w:tc>
        <w:tc>
          <w:tcPr>
            <w:tcW w:w="737"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3～15</w:t>
            </w:r>
          </w:p>
        </w:tc>
        <w:tc>
          <w:tcPr>
            <w:tcW w:w="964"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15～450</w:t>
            </w:r>
          </w:p>
        </w:tc>
        <w:tc>
          <w:tcPr>
            <w:tcW w:w="850" w:type="dxa"/>
            <w:tcBorders>
              <w:tl2br w:val="nil"/>
              <w:tr2bl w:val="nil"/>
            </w:tcBorders>
            <w:noWrap/>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低～重大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20" w:hRule="atLeast"/>
        </w:trPr>
        <w:tc>
          <w:tcPr>
            <w:tcW w:w="637" w:type="dxa"/>
            <w:tcBorders>
              <w:tl2br w:val="nil"/>
              <w:tr2bl w:val="nil"/>
            </w:tcBorders>
            <w:noWrap/>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31</w:t>
            </w:r>
          </w:p>
        </w:tc>
        <w:tc>
          <w:tcPr>
            <w:tcW w:w="1033" w:type="dxa"/>
            <w:vMerge w:val="continue"/>
            <w:tcBorders>
              <w:tl2br w:val="nil"/>
              <w:tr2bl w:val="nil"/>
            </w:tcBorders>
            <w:tcMar>
              <w:top w:w="15" w:type="dxa"/>
              <w:left w:w="15" w:type="dxa"/>
              <w:right w:w="15" w:type="dxa"/>
            </w:tcMar>
            <w:vAlign w:val="center"/>
          </w:tcPr>
          <w:p>
            <w:pPr>
              <w:snapToGrid w:val="0"/>
              <w:jc w:val="center"/>
              <w:rPr>
                <w:rFonts w:ascii="宋体" w:hAnsi="宋体" w:eastAsia="宋体" w:cs="宋体"/>
                <w:sz w:val="18"/>
                <w:szCs w:val="18"/>
              </w:rPr>
            </w:pPr>
          </w:p>
        </w:tc>
        <w:tc>
          <w:tcPr>
            <w:tcW w:w="1117" w:type="dxa"/>
            <w:vMerge w:val="continue"/>
            <w:tcBorders>
              <w:tl2br w:val="nil"/>
              <w:tr2bl w:val="nil"/>
            </w:tcBorders>
            <w:tcMar>
              <w:top w:w="15" w:type="dxa"/>
              <w:left w:w="15" w:type="dxa"/>
              <w:right w:w="15" w:type="dxa"/>
            </w:tcMar>
            <w:vAlign w:val="center"/>
          </w:tcPr>
          <w:p>
            <w:pPr>
              <w:snapToGrid w:val="0"/>
              <w:jc w:val="center"/>
              <w:rPr>
                <w:rFonts w:ascii="宋体" w:hAnsi="宋体" w:eastAsia="宋体" w:cs="宋体"/>
                <w:sz w:val="18"/>
                <w:szCs w:val="18"/>
              </w:rPr>
            </w:pPr>
          </w:p>
        </w:tc>
        <w:tc>
          <w:tcPr>
            <w:tcW w:w="1517"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气体绝缘全封闭组合电器（GIS）</w:t>
            </w:r>
          </w:p>
        </w:tc>
        <w:tc>
          <w:tcPr>
            <w:tcW w:w="230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在线监测系统故障、气密性损坏</w:t>
            </w:r>
          </w:p>
        </w:tc>
        <w:tc>
          <w:tcPr>
            <w:tcW w:w="2066"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设备爆炸、中毒窒息</w:t>
            </w:r>
          </w:p>
        </w:tc>
        <w:tc>
          <w:tcPr>
            <w:tcW w:w="85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LS法</w:t>
            </w:r>
          </w:p>
        </w:tc>
        <w:tc>
          <w:tcPr>
            <w:tcW w:w="85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5～30</w:t>
            </w:r>
          </w:p>
        </w:tc>
        <w:tc>
          <w:tcPr>
            <w:tcW w:w="680" w:type="dxa"/>
            <w:tcBorders>
              <w:tl2br w:val="nil"/>
              <w:tr2bl w:val="nil"/>
            </w:tcBorders>
            <w:tcMar>
              <w:top w:w="15" w:type="dxa"/>
              <w:left w:w="15" w:type="dxa"/>
              <w:right w:w="15" w:type="dxa"/>
            </w:tcMar>
            <w:vAlign w:val="center"/>
          </w:tcPr>
          <w:p>
            <w:pPr>
              <w:snapToGrid w:val="0"/>
              <w:jc w:val="center"/>
              <w:rPr>
                <w:rFonts w:ascii="宋体" w:hAnsi="宋体" w:eastAsia="宋体" w:cs="宋体"/>
                <w:sz w:val="18"/>
                <w:szCs w:val="18"/>
              </w:rPr>
            </w:pPr>
            <w:r>
              <w:rPr>
                <w:rFonts w:hint="eastAsia" w:ascii="宋体" w:hAnsi="宋体" w:eastAsia="宋体" w:cs="宋体"/>
                <w:sz w:val="18"/>
                <w:szCs w:val="18"/>
              </w:rPr>
              <w:t>/</w:t>
            </w:r>
          </w:p>
        </w:tc>
        <w:tc>
          <w:tcPr>
            <w:tcW w:w="737"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3～15</w:t>
            </w:r>
          </w:p>
        </w:tc>
        <w:tc>
          <w:tcPr>
            <w:tcW w:w="964"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15～450</w:t>
            </w:r>
          </w:p>
        </w:tc>
        <w:tc>
          <w:tcPr>
            <w:tcW w:w="850" w:type="dxa"/>
            <w:tcBorders>
              <w:tl2br w:val="nil"/>
              <w:tr2bl w:val="nil"/>
            </w:tcBorders>
            <w:noWrap/>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低～重大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20" w:hRule="atLeast"/>
        </w:trPr>
        <w:tc>
          <w:tcPr>
            <w:tcW w:w="637" w:type="dxa"/>
            <w:tcBorders>
              <w:tl2br w:val="nil"/>
              <w:tr2bl w:val="nil"/>
            </w:tcBorders>
            <w:noWrap/>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32</w:t>
            </w:r>
          </w:p>
        </w:tc>
        <w:tc>
          <w:tcPr>
            <w:tcW w:w="1033" w:type="dxa"/>
            <w:vMerge w:val="continue"/>
            <w:tcBorders>
              <w:tl2br w:val="nil"/>
              <w:tr2bl w:val="nil"/>
            </w:tcBorders>
            <w:tcMar>
              <w:top w:w="15" w:type="dxa"/>
              <w:left w:w="15" w:type="dxa"/>
              <w:right w:w="15" w:type="dxa"/>
            </w:tcMar>
            <w:vAlign w:val="center"/>
          </w:tcPr>
          <w:p>
            <w:pPr>
              <w:snapToGrid w:val="0"/>
              <w:jc w:val="center"/>
              <w:rPr>
                <w:rFonts w:ascii="宋体" w:hAnsi="宋体" w:eastAsia="宋体" w:cs="宋体"/>
                <w:sz w:val="18"/>
                <w:szCs w:val="18"/>
              </w:rPr>
            </w:pPr>
          </w:p>
        </w:tc>
        <w:tc>
          <w:tcPr>
            <w:tcW w:w="1117" w:type="dxa"/>
            <w:vMerge w:val="continue"/>
            <w:tcBorders>
              <w:tl2br w:val="nil"/>
              <w:tr2bl w:val="nil"/>
            </w:tcBorders>
            <w:tcMar>
              <w:top w:w="15" w:type="dxa"/>
              <w:left w:w="15" w:type="dxa"/>
              <w:right w:w="15" w:type="dxa"/>
            </w:tcMar>
            <w:vAlign w:val="center"/>
          </w:tcPr>
          <w:p>
            <w:pPr>
              <w:snapToGrid w:val="0"/>
              <w:jc w:val="center"/>
              <w:rPr>
                <w:rFonts w:ascii="宋体" w:hAnsi="宋体" w:eastAsia="宋体" w:cs="宋体"/>
                <w:sz w:val="18"/>
                <w:szCs w:val="18"/>
              </w:rPr>
            </w:pPr>
          </w:p>
        </w:tc>
        <w:tc>
          <w:tcPr>
            <w:tcW w:w="1517"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高、低压开关配电设备</w:t>
            </w:r>
          </w:p>
        </w:tc>
        <w:tc>
          <w:tcPr>
            <w:tcW w:w="230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设备故障</w:t>
            </w:r>
          </w:p>
        </w:tc>
        <w:tc>
          <w:tcPr>
            <w:tcW w:w="2066"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影响设备运行</w:t>
            </w:r>
          </w:p>
        </w:tc>
        <w:tc>
          <w:tcPr>
            <w:tcW w:w="85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LS法</w:t>
            </w:r>
          </w:p>
        </w:tc>
        <w:tc>
          <w:tcPr>
            <w:tcW w:w="85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5～30</w:t>
            </w:r>
          </w:p>
        </w:tc>
        <w:tc>
          <w:tcPr>
            <w:tcW w:w="680" w:type="dxa"/>
            <w:tcBorders>
              <w:tl2br w:val="nil"/>
              <w:tr2bl w:val="nil"/>
            </w:tcBorders>
            <w:tcMar>
              <w:top w:w="15" w:type="dxa"/>
              <w:left w:w="15" w:type="dxa"/>
              <w:right w:w="15" w:type="dxa"/>
            </w:tcMar>
            <w:vAlign w:val="center"/>
          </w:tcPr>
          <w:p>
            <w:pPr>
              <w:snapToGrid w:val="0"/>
              <w:jc w:val="center"/>
              <w:rPr>
                <w:rFonts w:ascii="宋体" w:hAnsi="宋体" w:eastAsia="宋体" w:cs="宋体"/>
                <w:sz w:val="18"/>
                <w:szCs w:val="18"/>
              </w:rPr>
            </w:pPr>
            <w:r>
              <w:rPr>
                <w:rFonts w:hint="eastAsia" w:ascii="宋体" w:hAnsi="宋体" w:eastAsia="宋体" w:cs="宋体"/>
                <w:sz w:val="18"/>
                <w:szCs w:val="18"/>
              </w:rPr>
              <w:t>/</w:t>
            </w:r>
          </w:p>
        </w:tc>
        <w:tc>
          <w:tcPr>
            <w:tcW w:w="737"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3～15</w:t>
            </w:r>
          </w:p>
        </w:tc>
        <w:tc>
          <w:tcPr>
            <w:tcW w:w="964"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15～450</w:t>
            </w:r>
          </w:p>
        </w:tc>
        <w:tc>
          <w:tcPr>
            <w:tcW w:w="850" w:type="dxa"/>
            <w:tcBorders>
              <w:tl2br w:val="nil"/>
              <w:tr2bl w:val="nil"/>
            </w:tcBorders>
            <w:noWrap/>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低～重大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20" w:hRule="atLeast"/>
        </w:trPr>
        <w:tc>
          <w:tcPr>
            <w:tcW w:w="637" w:type="dxa"/>
            <w:tcBorders>
              <w:tl2br w:val="nil"/>
              <w:tr2bl w:val="nil"/>
            </w:tcBorders>
            <w:noWrap/>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33</w:t>
            </w:r>
          </w:p>
        </w:tc>
        <w:tc>
          <w:tcPr>
            <w:tcW w:w="1033" w:type="dxa"/>
            <w:vMerge w:val="continue"/>
            <w:tcBorders>
              <w:tl2br w:val="nil"/>
              <w:tr2bl w:val="nil"/>
            </w:tcBorders>
            <w:tcMar>
              <w:top w:w="15" w:type="dxa"/>
              <w:left w:w="15" w:type="dxa"/>
              <w:right w:w="15" w:type="dxa"/>
            </w:tcMar>
            <w:vAlign w:val="center"/>
          </w:tcPr>
          <w:p>
            <w:pPr>
              <w:snapToGrid w:val="0"/>
              <w:jc w:val="center"/>
              <w:rPr>
                <w:rFonts w:ascii="宋体" w:hAnsi="宋体" w:eastAsia="宋体" w:cs="宋体"/>
                <w:sz w:val="18"/>
                <w:szCs w:val="18"/>
              </w:rPr>
            </w:pPr>
          </w:p>
        </w:tc>
        <w:tc>
          <w:tcPr>
            <w:tcW w:w="1117" w:type="dxa"/>
            <w:vMerge w:val="continue"/>
            <w:tcBorders>
              <w:tl2br w:val="nil"/>
              <w:tr2bl w:val="nil"/>
            </w:tcBorders>
            <w:tcMar>
              <w:top w:w="15" w:type="dxa"/>
              <w:left w:w="15" w:type="dxa"/>
              <w:right w:w="15" w:type="dxa"/>
            </w:tcMar>
            <w:vAlign w:val="center"/>
          </w:tcPr>
          <w:p>
            <w:pPr>
              <w:snapToGrid w:val="0"/>
              <w:jc w:val="center"/>
              <w:rPr>
                <w:rFonts w:ascii="宋体" w:hAnsi="宋体" w:eastAsia="宋体" w:cs="宋体"/>
                <w:sz w:val="18"/>
                <w:szCs w:val="18"/>
              </w:rPr>
            </w:pPr>
          </w:p>
        </w:tc>
        <w:tc>
          <w:tcPr>
            <w:tcW w:w="1517"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高压电容器</w:t>
            </w:r>
          </w:p>
        </w:tc>
        <w:tc>
          <w:tcPr>
            <w:tcW w:w="230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渗漏油、外壳膨胀</w:t>
            </w:r>
          </w:p>
        </w:tc>
        <w:tc>
          <w:tcPr>
            <w:tcW w:w="2066"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爆炸、人身伤害</w:t>
            </w:r>
          </w:p>
        </w:tc>
        <w:tc>
          <w:tcPr>
            <w:tcW w:w="85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LS法</w:t>
            </w:r>
          </w:p>
        </w:tc>
        <w:tc>
          <w:tcPr>
            <w:tcW w:w="85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5～30</w:t>
            </w:r>
          </w:p>
        </w:tc>
        <w:tc>
          <w:tcPr>
            <w:tcW w:w="680" w:type="dxa"/>
            <w:tcBorders>
              <w:tl2br w:val="nil"/>
              <w:tr2bl w:val="nil"/>
            </w:tcBorders>
            <w:tcMar>
              <w:top w:w="15" w:type="dxa"/>
              <w:left w:w="15" w:type="dxa"/>
              <w:right w:w="15" w:type="dxa"/>
            </w:tcMar>
            <w:vAlign w:val="center"/>
          </w:tcPr>
          <w:p>
            <w:pPr>
              <w:snapToGrid w:val="0"/>
              <w:jc w:val="center"/>
              <w:rPr>
                <w:rFonts w:ascii="宋体" w:hAnsi="宋体" w:eastAsia="宋体" w:cs="宋体"/>
                <w:sz w:val="18"/>
                <w:szCs w:val="18"/>
              </w:rPr>
            </w:pPr>
            <w:r>
              <w:rPr>
                <w:rFonts w:hint="eastAsia" w:ascii="宋体" w:hAnsi="宋体" w:eastAsia="宋体" w:cs="宋体"/>
                <w:sz w:val="18"/>
                <w:szCs w:val="18"/>
              </w:rPr>
              <w:t>/</w:t>
            </w:r>
          </w:p>
        </w:tc>
        <w:tc>
          <w:tcPr>
            <w:tcW w:w="737"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3～15</w:t>
            </w:r>
          </w:p>
        </w:tc>
        <w:tc>
          <w:tcPr>
            <w:tcW w:w="964"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15～450</w:t>
            </w:r>
          </w:p>
        </w:tc>
        <w:tc>
          <w:tcPr>
            <w:tcW w:w="850" w:type="dxa"/>
            <w:tcBorders>
              <w:tl2br w:val="nil"/>
              <w:tr2bl w:val="nil"/>
            </w:tcBorders>
            <w:noWrap/>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低～重大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20" w:hRule="atLeast"/>
        </w:trPr>
        <w:tc>
          <w:tcPr>
            <w:tcW w:w="637" w:type="dxa"/>
            <w:tcBorders>
              <w:tl2br w:val="nil"/>
              <w:tr2bl w:val="nil"/>
            </w:tcBorders>
            <w:noWrap/>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34</w:t>
            </w:r>
          </w:p>
        </w:tc>
        <w:tc>
          <w:tcPr>
            <w:tcW w:w="1033" w:type="dxa"/>
            <w:vMerge w:val="continue"/>
            <w:tcBorders>
              <w:tl2br w:val="nil"/>
              <w:tr2bl w:val="nil"/>
            </w:tcBorders>
            <w:tcMar>
              <w:top w:w="15" w:type="dxa"/>
              <w:left w:w="15" w:type="dxa"/>
              <w:right w:w="15" w:type="dxa"/>
            </w:tcMar>
            <w:vAlign w:val="center"/>
          </w:tcPr>
          <w:p>
            <w:pPr>
              <w:snapToGrid w:val="0"/>
              <w:jc w:val="center"/>
              <w:rPr>
                <w:rFonts w:ascii="宋体" w:hAnsi="宋体" w:eastAsia="宋体" w:cs="宋体"/>
                <w:sz w:val="18"/>
                <w:szCs w:val="18"/>
              </w:rPr>
            </w:pPr>
          </w:p>
        </w:tc>
        <w:tc>
          <w:tcPr>
            <w:tcW w:w="1117" w:type="dxa"/>
            <w:vMerge w:val="continue"/>
            <w:tcBorders>
              <w:tl2br w:val="nil"/>
              <w:tr2bl w:val="nil"/>
            </w:tcBorders>
            <w:tcMar>
              <w:top w:w="15" w:type="dxa"/>
              <w:left w:w="15" w:type="dxa"/>
              <w:right w:w="15" w:type="dxa"/>
            </w:tcMar>
            <w:vAlign w:val="center"/>
          </w:tcPr>
          <w:p>
            <w:pPr>
              <w:snapToGrid w:val="0"/>
              <w:jc w:val="center"/>
              <w:rPr>
                <w:rFonts w:ascii="宋体" w:hAnsi="宋体" w:eastAsia="宋体" w:cs="宋体"/>
                <w:sz w:val="18"/>
                <w:szCs w:val="18"/>
              </w:rPr>
            </w:pPr>
          </w:p>
        </w:tc>
        <w:tc>
          <w:tcPr>
            <w:tcW w:w="1517"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母线、电缆及输电线路</w:t>
            </w:r>
          </w:p>
        </w:tc>
        <w:tc>
          <w:tcPr>
            <w:tcW w:w="230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接地故障，绝缘老化，线路断路、短路，雷击等</w:t>
            </w:r>
          </w:p>
        </w:tc>
        <w:tc>
          <w:tcPr>
            <w:tcW w:w="2066"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短路故障，全站失电</w:t>
            </w:r>
          </w:p>
        </w:tc>
        <w:tc>
          <w:tcPr>
            <w:tcW w:w="85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LS法</w:t>
            </w:r>
          </w:p>
        </w:tc>
        <w:tc>
          <w:tcPr>
            <w:tcW w:w="85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5～30</w:t>
            </w:r>
          </w:p>
        </w:tc>
        <w:tc>
          <w:tcPr>
            <w:tcW w:w="680" w:type="dxa"/>
            <w:tcBorders>
              <w:tl2br w:val="nil"/>
              <w:tr2bl w:val="nil"/>
            </w:tcBorders>
            <w:tcMar>
              <w:top w:w="15" w:type="dxa"/>
              <w:left w:w="15" w:type="dxa"/>
              <w:right w:w="15" w:type="dxa"/>
            </w:tcMar>
            <w:vAlign w:val="center"/>
          </w:tcPr>
          <w:p>
            <w:pPr>
              <w:snapToGrid w:val="0"/>
              <w:jc w:val="center"/>
              <w:rPr>
                <w:rFonts w:ascii="宋体" w:hAnsi="宋体" w:eastAsia="宋体" w:cs="宋体"/>
                <w:sz w:val="18"/>
                <w:szCs w:val="18"/>
              </w:rPr>
            </w:pPr>
            <w:r>
              <w:rPr>
                <w:rFonts w:hint="eastAsia" w:ascii="宋体" w:hAnsi="宋体" w:eastAsia="宋体" w:cs="宋体"/>
                <w:sz w:val="18"/>
                <w:szCs w:val="18"/>
              </w:rPr>
              <w:t>/</w:t>
            </w:r>
          </w:p>
        </w:tc>
        <w:tc>
          <w:tcPr>
            <w:tcW w:w="737"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3～15</w:t>
            </w:r>
          </w:p>
        </w:tc>
        <w:tc>
          <w:tcPr>
            <w:tcW w:w="964"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15～450</w:t>
            </w:r>
          </w:p>
        </w:tc>
        <w:tc>
          <w:tcPr>
            <w:tcW w:w="850" w:type="dxa"/>
            <w:tcBorders>
              <w:tl2br w:val="nil"/>
              <w:tr2bl w:val="nil"/>
            </w:tcBorders>
            <w:noWrap/>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低～重大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20" w:hRule="atLeast"/>
        </w:trPr>
        <w:tc>
          <w:tcPr>
            <w:tcW w:w="637" w:type="dxa"/>
            <w:tcBorders>
              <w:tl2br w:val="nil"/>
              <w:tr2bl w:val="nil"/>
            </w:tcBorders>
            <w:noWrap/>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35</w:t>
            </w:r>
          </w:p>
        </w:tc>
        <w:tc>
          <w:tcPr>
            <w:tcW w:w="1033" w:type="dxa"/>
            <w:vMerge w:val="continue"/>
            <w:tcBorders>
              <w:tl2br w:val="nil"/>
              <w:tr2bl w:val="nil"/>
            </w:tcBorders>
            <w:tcMar>
              <w:top w:w="15" w:type="dxa"/>
              <w:left w:w="15" w:type="dxa"/>
              <w:right w:w="15" w:type="dxa"/>
            </w:tcMar>
            <w:vAlign w:val="center"/>
          </w:tcPr>
          <w:p>
            <w:pPr>
              <w:snapToGrid w:val="0"/>
              <w:jc w:val="center"/>
              <w:rPr>
                <w:rFonts w:ascii="宋体" w:hAnsi="宋体" w:eastAsia="宋体" w:cs="宋体"/>
                <w:sz w:val="18"/>
                <w:szCs w:val="18"/>
              </w:rPr>
            </w:pPr>
          </w:p>
        </w:tc>
        <w:tc>
          <w:tcPr>
            <w:tcW w:w="1117" w:type="dxa"/>
            <w:vMerge w:val="continue"/>
            <w:tcBorders>
              <w:tl2br w:val="nil"/>
              <w:tr2bl w:val="nil"/>
            </w:tcBorders>
            <w:tcMar>
              <w:top w:w="15" w:type="dxa"/>
              <w:left w:w="15" w:type="dxa"/>
              <w:right w:w="15" w:type="dxa"/>
            </w:tcMar>
            <w:vAlign w:val="center"/>
          </w:tcPr>
          <w:p>
            <w:pPr>
              <w:snapToGrid w:val="0"/>
              <w:jc w:val="center"/>
              <w:rPr>
                <w:rFonts w:ascii="宋体" w:hAnsi="宋体" w:eastAsia="宋体" w:cs="宋体"/>
                <w:sz w:val="18"/>
                <w:szCs w:val="18"/>
              </w:rPr>
            </w:pPr>
          </w:p>
        </w:tc>
        <w:tc>
          <w:tcPr>
            <w:tcW w:w="1517"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互感器</w:t>
            </w:r>
          </w:p>
        </w:tc>
        <w:tc>
          <w:tcPr>
            <w:tcW w:w="230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互感器性能参数不满足要求、回路故障、本体故障、电流互感器二次侧开路，电压互感器二次短接</w:t>
            </w:r>
          </w:p>
        </w:tc>
        <w:tc>
          <w:tcPr>
            <w:tcW w:w="2066"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意外停机</w:t>
            </w:r>
          </w:p>
        </w:tc>
        <w:tc>
          <w:tcPr>
            <w:tcW w:w="85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LS法</w:t>
            </w:r>
          </w:p>
        </w:tc>
        <w:tc>
          <w:tcPr>
            <w:tcW w:w="85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5～30</w:t>
            </w:r>
          </w:p>
        </w:tc>
        <w:tc>
          <w:tcPr>
            <w:tcW w:w="680" w:type="dxa"/>
            <w:tcBorders>
              <w:tl2br w:val="nil"/>
              <w:tr2bl w:val="nil"/>
            </w:tcBorders>
            <w:tcMar>
              <w:top w:w="15" w:type="dxa"/>
              <w:left w:w="15" w:type="dxa"/>
              <w:right w:w="15" w:type="dxa"/>
            </w:tcMar>
            <w:vAlign w:val="center"/>
          </w:tcPr>
          <w:p>
            <w:pPr>
              <w:snapToGrid w:val="0"/>
              <w:jc w:val="center"/>
              <w:rPr>
                <w:rFonts w:ascii="宋体" w:hAnsi="宋体" w:eastAsia="宋体" w:cs="宋体"/>
                <w:sz w:val="18"/>
                <w:szCs w:val="18"/>
              </w:rPr>
            </w:pPr>
            <w:r>
              <w:rPr>
                <w:rFonts w:hint="eastAsia" w:ascii="宋体" w:hAnsi="宋体" w:eastAsia="宋体" w:cs="宋体"/>
                <w:sz w:val="18"/>
                <w:szCs w:val="18"/>
              </w:rPr>
              <w:t>/</w:t>
            </w:r>
          </w:p>
        </w:tc>
        <w:tc>
          <w:tcPr>
            <w:tcW w:w="737"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3～15</w:t>
            </w:r>
          </w:p>
        </w:tc>
        <w:tc>
          <w:tcPr>
            <w:tcW w:w="964"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15～450</w:t>
            </w:r>
          </w:p>
        </w:tc>
        <w:tc>
          <w:tcPr>
            <w:tcW w:w="850" w:type="dxa"/>
            <w:tcBorders>
              <w:tl2br w:val="nil"/>
              <w:tr2bl w:val="nil"/>
            </w:tcBorders>
            <w:noWrap/>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低～重大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20" w:hRule="atLeast"/>
        </w:trPr>
        <w:tc>
          <w:tcPr>
            <w:tcW w:w="637" w:type="dxa"/>
            <w:tcBorders>
              <w:tl2br w:val="nil"/>
              <w:tr2bl w:val="nil"/>
            </w:tcBorders>
            <w:noWrap/>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36</w:t>
            </w:r>
          </w:p>
        </w:tc>
        <w:tc>
          <w:tcPr>
            <w:tcW w:w="1033" w:type="dxa"/>
            <w:vMerge w:val="continue"/>
            <w:tcBorders>
              <w:bottom w:val="single" w:color="auto" w:sz="4" w:space="0"/>
              <w:tl2br w:val="nil"/>
              <w:tr2bl w:val="nil"/>
            </w:tcBorders>
            <w:tcMar>
              <w:top w:w="15" w:type="dxa"/>
              <w:left w:w="15" w:type="dxa"/>
              <w:right w:w="15" w:type="dxa"/>
            </w:tcMar>
            <w:vAlign w:val="center"/>
          </w:tcPr>
          <w:p>
            <w:pPr>
              <w:snapToGrid w:val="0"/>
              <w:jc w:val="center"/>
              <w:rPr>
                <w:rFonts w:ascii="宋体" w:hAnsi="宋体" w:eastAsia="宋体" w:cs="宋体"/>
                <w:sz w:val="18"/>
                <w:szCs w:val="18"/>
              </w:rPr>
            </w:pPr>
          </w:p>
        </w:tc>
        <w:tc>
          <w:tcPr>
            <w:tcW w:w="1117" w:type="dxa"/>
            <w:vMerge w:val="continue"/>
            <w:tcBorders>
              <w:bottom w:val="single" w:color="auto" w:sz="4" w:space="0"/>
              <w:tl2br w:val="nil"/>
              <w:tr2bl w:val="nil"/>
            </w:tcBorders>
            <w:tcMar>
              <w:top w:w="15" w:type="dxa"/>
              <w:left w:w="15" w:type="dxa"/>
              <w:right w:w="15" w:type="dxa"/>
            </w:tcMar>
            <w:vAlign w:val="center"/>
          </w:tcPr>
          <w:p>
            <w:pPr>
              <w:snapToGrid w:val="0"/>
              <w:jc w:val="center"/>
              <w:rPr>
                <w:rFonts w:ascii="宋体" w:hAnsi="宋体" w:eastAsia="宋体" w:cs="宋体"/>
                <w:sz w:val="18"/>
                <w:szCs w:val="18"/>
              </w:rPr>
            </w:pPr>
          </w:p>
        </w:tc>
        <w:tc>
          <w:tcPr>
            <w:tcW w:w="1517" w:type="dxa"/>
            <w:tcBorders>
              <w:bottom w:val="single" w:color="auto" w:sz="4" w:space="0"/>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直流系统</w:t>
            </w:r>
          </w:p>
        </w:tc>
        <w:tc>
          <w:tcPr>
            <w:tcW w:w="230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蓄电池、整流装置、开关、小母线等故障或损坏</w:t>
            </w:r>
          </w:p>
        </w:tc>
        <w:tc>
          <w:tcPr>
            <w:tcW w:w="2066"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影响设备运行</w:t>
            </w:r>
          </w:p>
        </w:tc>
        <w:tc>
          <w:tcPr>
            <w:tcW w:w="85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LS法</w:t>
            </w:r>
          </w:p>
        </w:tc>
        <w:tc>
          <w:tcPr>
            <w:tcW w:w="85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5～30</w:t>
            </w:r>
          </w:p>
        </w:tc>
        <w:tc>
          <w:tcPr>
            <w:tcW w:w="680" w:type="dxa"/>
            <w:tcBorders>
              <w:tl2br w:val="nil"/>
              <w:tr2bl w:val="nil"/>
            </w:tcBorders>
            <w:tcMar>
              <w:top w:w="15" w:type="dxa"/>
              <w:left w:w="15" w:type="dxa"/>
              <w:right w:w="15" w:type="dxa"/>
            </w:tcMar>
            <w:vAlign w:val="center"/>
          </w:tcPr>
          <w:p>
            <w:pPr>
              <w:snapToGrid w:val="0"/>
              <w:jc w:val="center"/>
              <w:rPr>
                <w:rFonts w:ascii="宋体" w:hAnsi="宋体" w:eastAsia="宋体" w:cs="宋体"/>
                <w:sz w:val="18"/>
                <w:szCs w:val="18"/>
              </w:rPr>
            </w:pPr>
            <w:r>
              <w:rPr>
                <w:rFonts w:hint="eastAsia" w:ascii="宋体" w:hAnsi="宋体" w:eastAsia="宋体" w:cs="宋体"/>
                <w:sz w:val="18"/>
                <w:szCs w:val="18"/>
              </w:rPr>
              <w:t>/</w:t>
            </w:r>
          </w:p>
        </w:tc>
        <w:tc>
          <w:tcPr>
            <w:tcW w:w="737"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3～15</w:t>
            </w:r>
          </w:p>
        </w:tc>
        <w:tc>
          <w:tcPr>
            <w:tcW w:w="964"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15～450</w:t>
            </w:r>
          </w:p>
        </w:tc>
        <w:tc>
          <w:tcPr>
            <w:tcW w:w="850" w:type="dxa"/>
            <w:tcBorders>
              <w:tl2br w:val="nil"/>
              <w:tr2bl w:val="nil"/>
            </w:tcBorders>
            <w:noWrap/>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低～重大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20" w:hRule="atLeast"/>
        </w:trPr>
        <w:tc>
          <w:tcPr>
            <w:tcW w:w="637" w:type="dxa"/>
            <w:tcBorders>
              <w:tl2br w:val="nil"/>
              <w:tr2bl w:val="nil"/>
            </w:tcBorders>
            <w:shd w:val="clear" w:color="auto" w:fill="auto"/>
            <w:noWrap/>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37</w:t>
            </w:r>
          </w:p>
        </w:tc>
        <w:tc>
          <w:tcPr>
            <w:tcW w:w="1033" w:type="dxa"/>
            <w:vMerge w:val="restart"/>
            <w:tcBorders>
              <w:top w:val="single" w:color="auto" w:sz="4" w:space="0"/>
              <w:tl2br w:val="nil"/>
              <w:tr2bl w:val="nil"/>
            </w:tcBorders>
            <w:shd w:val="clear" w:color="auto" w:fill="auto"/>
            <w:tcMar>
              <w:top w:w="15" w:type="dxa"/>
              <w:left w:w="15" w:type="dxa"/>
              <w:right w:w="15" w:type="dxa"/>
            </w:tcMar>
            <w:vAlign w:val="center"/>
          </w:tcPr>
          <w:p>
            <w:pPr>
              <w:snapToGrid w:val="0"/>
              <w:jc w:val="center"/>
              <w:rPr>
                <w:rFonts w:ascii="宋体" w:hAnsi="宋体" w:eastAsia="宋体" w:cs="宋体"/>
                <w:sz w:val="18"/>
                <w:szCs w:val="18"/>
              </w:rPr>
            </w:pPr>
            <w:r>
              <w:rPr>
                <w:rFonts w:hint="eastAsia" w:ascii="宋体" w:hAnsi="宋体" w:eastAsia="宋体" w:cs="宋体"/>
                <w:sz w:val="18"/>
                <w:szCs w:val="18"/>
                <w:lang w:bidi="ar"/>
              </w:rPr>
              <w:t>设备设施类</w:t>
            </w:r>
          </w:p>
        </w:tc>
        <w:tc>
          <w:tcPr>
            <w:tcW w:w="1117" w:type="dxa"/>
            <w:vMerge w:val="restart"/>
            <w:tcBorders>
              <w:top w:val="single" w:color="auto" w:sz="4" w:space="0"/>
              <w:tl2br w:val="nil"/>
              <w:tr2bl w:val="nil"/>
            </w:tcBorders>
            <w:shd w:val="clear" w:color="auto" w:fill="auto"/>
            <w:tcMar>
              <w:top w:w="15" w:type="dxa"/>
              <w:left w:w="15" w:type="dxa"/>
              <w:right w:w="15" w:type="dxa"/>
            </w:tcMar>
            <w:vAlign w:val="center"/>
          </w:tcPr>
          <w:p>
            <w:pPr>
              <w:snapToGrid w:val="0"/>
              <w:jc w:val="center"/>
              <w:rPr>
                <w:rFonts w:ascii="宋体" w:hAnsi="宋体" w:eastAsia="宋体" w:cs="宋体"/>
                <w:sz w:val="18"/>
                <w:szCs w:val="18"/>
              </w:rPr>
            </w:pPr>
            <w:r>
              <w:rPr>
                <w:rFonts w:hint="eastAsia" w:ascii="宋体" w:hAnsi="宋体" w:eastAsia="宋体" w:cs="宋体"/>
                <w:sz w:val="18"/>
                <w:szCs w:val="18"/>
              </w:rPr>
              <w:t>电气设备</w:t>
            </w:r>
          </w:p>
        </w:tc>
        <w:tc>
          <w:tcPr>
            <w:tcW w:w="1517" w:type="dxa"/>
            <w:tcBorders>
              <w:top w:val="single" w:color="auto" w:sz="4" w:space="0"/>
              <w:tl2br w:val="nil"/>
              <w:tr2bl w:val="nil"/>
            </w:tcBorders>
            <w:shd w:val="clear" w:color="auto" w:fill="auto"/>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励磁系统</w:t>
            </w:r>
          </w:p>
        </w:tc>
        <w:tc>
          <w:tcPr>
            <w:tcW w:w="2300" w:type="dxa"/>
            <w:tcBorders>
              <w:tl2br w:val="nil"/>
              <w:tr2bl w:val="nil"/>
            </w:tcBorders>
            <w:shd w:val="clear" w:color="auto" w:fill="auto"/>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励磁系统故障</w:t>
            </w:r>
          </w:p>
        </w:tc>
        <w:tc>
          <w:tcPr>
            <w:tcW w:w="2066" w:type="dxa"/>
            <w:tcBorders>
              <w:tl2br w:val="nil"/>
              <w:tr2bl w:val="nil"/>
            </w:tcBorders>
            <w:shd w:val="clear" w:color="auto" w:fill="FFFFFF"/>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不能同期或解列</w:t>
            </w:r>
          </w:p>
        </w:tc>
        <w:tc>
          <w:tcPr>
            <w:tcW w:w="85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LS法</w:t>
            </w:r>
          </w:p>
        </w:tc>
        <w:tc>
          <w:tcPr>
            <w:tcW w:w="85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5～30</w:t>
            </w:r>
          </w:p>
        </w:tc>
        <w:tc>
          <w:tcPr>
            <w:tcW w:w="680" w:type="dxa"/>
            <w:tcBorders>
              <w:tl2br w:val="nil"/>
              <w:tr2bl w:val="nil"/>
            </w:tcBorders>
            <w:tcMar>
              <w:top w:w="15" w:type="dxa"/>
              <w:left w:w="15" w:type="dxa"/>
              <w:right w:w="15" w:type="dxa"/>
            </w:tcMar>
            <w:vAlign w:val="center"/>
          </w:tcPr>
          <w:p>
            <w:pPr>
              <w:snapToGrid w:val="0"/>
              <w:jc w:val="center"/>
              <w:rPr>
                <w:rFonts w:ascii="宋体" w:hAnsi="宋体" w:eastAsia="宋体" w:cs="宋体"/>
                <w:sz w:val="18"/>
                <w:szCs w:val="18"/>
              </w:rPr>
            </w:pPr>
            <w:r>
              <w:rPr>
                <w:rFonts w:hint="eastAsia" w:ascii="宋体" w:hAnsi="宋体" w:eastAsia="宋体" w:cs="宋体"/>
                <w:sz w:val="18"/>
                <w:szCs w:val="18"/>
              </w:rPr>
              <w:t>/</w:t>
            </w:r>
          </w:p>
        </w:tc>
        <w:tc>
          <w:tcPr>
            <w:tcW w:w="737"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3～15</w:t>
            </w:r>
          </w:p>
        </w:tc>
        <w:tc>
          <w:tcPr>
            <w:tcW w:w="964"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15～450</w:t>
            </w:r>
          </w:p>
        </w:tc>
        <w:tc>
          <w:tcPr>
            <w:tcW w:w="850" w:type="dxa"/>
            <w:tcBorders>
              <w:tl2br w:val="nil"/>
              <w:tr2bl w:val="nil"/>
            </w:tcBorders>
            <w:noWrap/>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低～重大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20" w:hRule="atLeast"/>
        </w:trPr>
        <w:tc>
          <w:tcPr>
            <w:tcW w:w="637" w:type="dxa"/>
            <w:tcBorders>
              <w:tl2br w:val="nil"/>
              <w:tr2bl w:val="nil"/>
            </w:tcBorders>
            <w:shd w:val="clear" w:color="auto" w:fill="auto"/>
            <w:noWrap/>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38</w:t>
            </w:r>
          </w:p>
        </w:tc>
        <w:tc>
          <w:tcPr>
            <w:tcW w:w="1033" w:type="dxa"/>
            <w:vMerge w:val="continue"/>
            <w:tcBorders>
              <w:top w:val="single" w:color="auto" w:sz="4" w:space="0"/>
              <w:bottom w:val="single" w:color="auto" w:sz="4" w:space="0"/>
              <w:tl2br w:val="nil"/>
              <w:tr2bl w:val="nil"/>
            </w:tcBorders>
            <w:shd w:val="clear" w:color="auto" w:fill="auto"/>
            <w:tcMar>
              <w:top w:w="15" w:type="dxa"/>
              <w:left w:w="15" w:type="dxa"/>
              <w:right w:w="15" w:type="dxa"/>
            </w:tcMar>
            <w:vAlign w:val="center"/>
          </w:tcPr>
          <w:p>
            <w:pPr>
              <w:snapToGrid w:val="0"/>
              <w:jc w:val="center"/>
              <w:rPr>
                <w:rFonts w:ascii="宋体" w:hAnsi="宋体" w:eastAsia="宋体" w:cs="宋体"/>
                <w:sz w:val="18"/>
                <w:szCs w:val="18"/>
              </w:rPr>
            </w:pPr>
          </w:p>
        </w:tc>
        <w:tc>
          <w:tcPr>
            <w:tcW w:w="1117" w:type="dxa"/>
            <w:vMerge w:val="continue"/>
            <w:tcBorders>
              <w:tl2br w:val="nil"/>
              <w:tr2bl w:val="nil"/>
            </w:tcBorders>
            <w:shd w:val="clear" w:color="auto" w:fill="auto"/>
            <w:tcMar>
              <w:top w:w="15" w:type="dxa"/>
              <w:left w:w="15" w:type="dxa"/>
              <w:right w:w="15" w:type="dxa"/>
            </w:tcMar>
            <w:vAlign w:val="center"/>
          </w:tcPr>
          <w:p>
            <w:pPr>
              <w:snapToGrid w:val="0"/>
              <w:jc w:val="center"/>
              <w:rPr>
                <w:rFonts w:ascii="宋体" w:hAnsi="宋体" w:eastAsia="宋体" w:cs="宋体"/>
                <w:sz w:val="18"/>
                <w:szCs w:val="18"/>
              </w:rPr>
            </w:pPr>
          </w:p>
        </w:tc>
        <w:tc>
          <w:tcPr>
            <w:tcW w:w="1517" w:type="dxa"/>
            <w:tcBorders>
              <w:tl2br w:val="nil"/>
              <w:tr2bl w:val="nil"/>
            </w:tcBorders>
            <w:shd w:val="clear" w:color="auto" w:fill="auto"/>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备用电源（柴油发电机）</w:t>
            </w:r>
          </w:p>
        </w:tc>
        <w:tc>
          <w:tcPr>
            <w:tcW w:w="2300" w:type="dxa"/>
            <w:tcBorders>
              <w:tl2br w:val="nil"/>
              <w:tr2bl w:val="nil"/>
            </w:tcBorders>
            <w:shd w:val="clear" w:color="auto" w:fill="auto"/>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线路故障、蓄电池故障、空气进入系统等</w:t>
            </w:r>
          </w:p>
        </w:tc>
        <w:tc>
          <w:tcPr>
            <w:tcW w:w="2066" w:type="dxa"/>
            <w:tcBorders>
              <w:tl2br w:val="nil"/>
              <w:tr2bl w:val="nil"/>
            </w:tcBorders>
            <w:shd w:val="clear" w:color="auto" w:fill="FFFFFF"/>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不能及时供电，影响泵站运行</w:t>
            </w:r>
          </w:p>
        </w:tc>
        <w:tc>
          <w:tcPr>
            <w:tcW w:w="85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LS法</w:t>
            </w:r>
          </w:p>
        </w:tc>
        <w:tc>
          <w:tcPr>
            <w:tcW w:w="85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5～10</w:t>
            </w:r>
          </w:p>
        </w:tc>
        <w:tc>
          <w:tcPr>
            <w:tcW w:w="680" w:type="dxa"/>
            <w:tcBorders>
              <w:tl2br w:val="nil"/>
              <w:tr2bl w:val="nil"/>
            </w:tcBorders>
            <w:tcMar>
              <w:top w:w="15" w:type="dxa"/>
              <w:left w:w="15" w:type="dxa"/>
              <w:right w:w="15" w:type="dxa"/>
            </w:tcMar>
            <w:vAlign w:val="center"/>
          </w:tcPr>
          <w:p>
            <w:pPr>
              <w:snapToGrid w:val="0"/>
              <w:jc w:val="center"/>
              <w:rPr>
                <w:rFonts w:ascii="宋体" w:hAnsi="宋体" w:eastAsia="宋体" w:cs="宋体"/>
                <w:sz w:val="18"/>
                <w:szCs w:val="18"/>
              </w:rPr>
            </w:pPr>
            <w:r>
              <w:rPr>
                <w:rFonts w:hint="eastAsia" w:ascii="宋体" w:hAnsi="宋体" w:eastAsia="宋体" w:cs="宋体"/>
                <w:sz w:val="18"/>
                <w:szCs w:val="18"/>
              </w:rPr>
              <w:t>/</w:t>
            </w:r>
          </w:p>
        </w:tc>
        <w:tc>
          <w:tcPr>
            <w:tcW w:w="737"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3～15</w:t>
            </w:r>
          </w:p>
        </w:tc>
        <w:tc>
          <w:tcPr>
            <w:tcW w:w="964"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15～150</w:t>
            </w:r>
          </w:p>
        </w:tc>
        <w:tc>
          <w:tcPr>
            <w:tcW w:w="850" w:type="dxa"/>
            <w:tcBorders>
              <w:tl2br w:val="nil"/>
              <w:tr2bl w:val="nil"/>
            </w:tcBorders>
            <w:noWrap/>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低～一般</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20" w:hRule="atLeast"/>
        </w:trPr>
        <w:tc>
          <w:tcPr>
            <w:tcW w:w="637" w:type="dxa"/>
            <w:tcBorders>
              <w:tl2br w:val="nil"/>
              <w:tr2bl w:val="nil"/>
            </w:tcBorders>
            <w:noWrap/>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39</w:t>
            </w:r>
          </w:p>
        </w:tc>
        <w:tc>
          <w:tcPr>
            <w:tcW w:w="1033" w:type="dxa"/>
            <w:vMerge w:val="continue"/>
            <w:tcBorders>
              <w:top w:val="single" w:color="auto" w:sz="4" w:space="0"/>
              <w:bottom w:val="single" w:color="auto" w:sz="4" w:space="0"/>
              <w:tl2br w:val="nil"/>
              <w:tr2bl w:val="nil"/>
            </w:tcBorders>
            <w:tcMar>
              <w:top w:w="15" w:type="dxa"/>
              <w:left w:w="15" w:type="dxa"/>
              <w:right w:w="15" w:type="dxa"/>
            </w:tcMar>
            <w:vAlign w:val="center"/>
          </w:tcPr>
          <w:p>
            <w:pPr>
              <w:snapToGrid w:val="0"/>
              <w:jc w:val="center"/>
              <w:rPr>
                <w:rFonts w:ascii="宋体" w:hAnsi="宋体" w:eastAsia="宋体" w:cs="宋体"/>
                <w:sz w:val="18"/>
                <w:szCs w:val="18"/>
              </w:rPr>
            </w:pPr>
          </w:p>
        </w:tc>
        <w:tc>
          <w:tcPr>
            <w:tcW w:w="1117" w:type="dxa"/>
            <w:vMerge w:val="continue"/>
            <w:tcBorders>
              <w:tl2br w:val="nil"/>
              <w:tr2bl w:val="nil"/>
            </w:tcBorders>
            <w:tcMar>
              <w:top w:w="15" w:type="dxa"/>
              <w:left w:w="15" w:type="dxa"/>
              <w:right w:w="15" w:type="dxa"/>
            </w:tcMar>
            <w:vAlign w:val="center"/>
          </w:tcPr>
          <w:p>
            <w:pPr>
              <w:snapToGrid w:val="0"/>
              <w:jc w:val="center"/>
              <w:rPr>
                <w:rFonts w:ascii="宋体" w:hAnsi="宋体" w:eastAsia="宋体" w:cs="宋体"/>
                <w:sz w:val="18"/>
                <w:szCs w:val="18"/>
              </w:rPr>
            </w:pPr>
          </w:p>
        </w:tc>
        <w:tc>
          <w:tcPr>
            <w:tcW w:w="1517"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仪表、测量控制及保护装置</w:t>
            </w:r>
          </w:p>
        </w:tc>
        <w:tc>
          <w:tcPr>
            <w:tcW w:w="230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设备故障，保护定值不合理，保护动作不灵敏</w:t>
            </w:r>
          </w:p>
        </w:tc>
        <w:tc>
          <w:tcPr>
            <w:tcW w:w="2066"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影响设备运行</w:t>
            </w:r>
          </w:p>
        </w:tc>
        <w:tc>
          <w:tcPr>
            <w:tcW w:w="85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LS法</w:t>
            </w:r>
          </w:p>
        </w:tc>
        <w:tc>
          <w:tcPr>
            <w:tcW w:w="85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5～30</w:t>
            </w:r>
          </w:p>
        </w:tc>
        <w:tc>
          <w:tcPr>
            <w:tcW w:w="680" w:type="dxa"/>
            <w:tcBorders>
              <w:tl2br w:val="nil"/>
              <w:tr2bl w:val="nil"/>
            </w:tcBorders>
            <w:tcMar>
              <w:top w:w="15" w:type="dxa"/>
              <w:left w:w="15" w:type="dxa"/>
              <w:right w:w="15" w:type="dxa"/>
            </w:tcMar>
            <w:vAlign w:val="center"/>
          </w:tcPr>
          <w:p>
            <w:pPr>
              <w:snapToGrid w:val="0"/>
              <w:jc w:val="center"/>
              <w:rPr>
                <w:rFonts w:ascii="宋体" w:hAnsi="宋体" w:eastAsia="宋体" w:cs="宋体"/>
                <w:sz w:val="18"/>
                <w:szCs w:val="18"/>
              </w:rPr>
            </w:pPr>
            <w:r>
              <w:rPr>
                <w:rFonts w:hint="eastAsia" w:ascii="宋体" w:hAnsi="宋体" w:eastAsia="宋体" w:cs="宋体"/>
                <w:sz w:val="18"/>
                <w:szCs w:val="18"/>
              </w:rPr>
              <w:t>/</w:t>
            </w:r>
          </w:p>
        </w:tc>
        <w:tc>
          <w:tcPr>
            <w:tcW w:w="737"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3～15</w:t>
            </w:r>
          </w:p>
        </w:tc>
        <w:tc>
          <w:tcPr>
            <w:tcW w:w="964"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15～450</w:t>
            </w:r>
          </w:p>
        </w:tc>
        <w:tc>
          <w:tcPr>
            <w:tcW w:w="850" w:type="dxa"/>
            <w:tcBorders>
              <w:tl2br w:val="nil"/>
              <w:tr2bl w:val="nil"/>
            </w:tcBorders>
            <w:noWrap/>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低～重大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20" w:hRule="atLeast"/>
        </w:trPr>
        <w:tc>
          <w:tcPr>
            <w:tcW w:w="637" w:type="dxa"/>
            <w:tcBorders>
              <w:tl2br w:val="nil"/>
              <w:tr2bl w:val="nil"/>
            </w:tcBorders>
            <w:noWrap/>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40</w:t>
            </w:r>
          </w:p>
        </w:tc>
        <w:tc>
          <w:tcPr>
            <w:tcW w:w="1033" w:type="dxa"/>
            <w:vMerge w:val="continue"/>
            <w:tcBorders>
              <w:top w:val="single" w:color="auto" w:sz="4" w:space="0"/>
              <w:bottom w:val="single" w:color="auto" w:sz="4" w:space="0"/>
              <w:tl2br w:val="nil"/>
              <w:tr2bl w:val="nil"/>
            </w:tcBorders>
            <w:tcMar>
              <w:top w:w="15" w:type="dxa"/>
              <w:left w:w="15" w:type="dxa"/>
              <w:right w:w="15" w:type="dxa"/>
            </w:tcMar>
            <w:vAlign w:val="center"/>
          </w:tcPr>
          <w:p>
            <w:pPr>
              <w:snapToGrid w:val="0"/>
              <w:jc w:val="center"/>
              <w:rPr>
                <w:rFonts w:ascii="宋体" w:hAnsi="宋体" w:eastAsia="宋体" w:cs="宋体"/>
                <w:sz w:val="18"/>
                <w:szCs w:val="18"/>
              </w:rPr>
            </w:pPr>
          </w:p>
        </w:tc>
        <w:tc>
          <w:tcPr>
            <w:tcW w:w="1117" w:type="dxa"/>
            <w:vMerge w:val="continue"/>
            <w:tcBorders>
              <w:tl2br w:val="nil"/>
              <w:tr2bl w:val="nil"/>
            </w:tcBorders>
            <w:tcMar>
              <w:top w:w="15" w:type="dxa"/>
              <w:left w:w="15" w:type="dxa"/>
              <w:right w:w="15" w:type="dxa"/>
            </w:tcMar>
            <w:vAlign w:val="center"/>
          </w:tcPr>
          <w:p>
            <w:pPr>
              <w:snapToGrid w:val="0"/>
              <w:jc w:val="center"/>
              <w:rPr>
                <w:rFonts w:ascii="宋体" w:hAnsi="宋体" w:eastAsia="宋体" w:cs="宋体"/>
                <w:sz w:val="18"/>
                <w:szCs w:val="18"/>
              </w:rPr>
            </w:pPr>
          </w:p>
        </w:tc>
        <w:tc>
          <w:tcPr>
            <w:tcW w:w="1517"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接地装置</w:t>
            </w:r>
          </w:p>
        </w:tc>
        <w:tc>
          <w:tcPr>
            <w:tcW w:w="230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接地装置锈蚀、连接不良；有损伤、折断</w:t>
            </w:r>
          </w:p>
        </w:tc>
        <w:tc>
          <w:tcPr>
            <w:tcW w:w="2066"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触电</w:t>
            </w:r>
          </w:p>
        </w:tc>
        <w:tc>
          <w:tcPr>
            <w:tcW w:w="85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LS法</w:t>
            </w:r>
          </w:p>
        </w:tc>
        <w:tc>
          <w:tcPr>
            <w:tcW w:w="85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5～30</w:t>
            </w:r>
          </w:p>
        </w:tc>
        <w:tc>
          <w:tcPr>
            <w:tcW w:w="680" w:type="dxa"/>
            <w:tcBorders>
              <w:tl2br w:val="nil"/>
              <w:tr2bl w:val="nil"/>
            </w:tcBorders>
            <w:tcMar>
              <w:top w:w="15" w:type="dxa"/>
              <w:left w:w="15" w:type="dxa"/>
              <w:right w:w="15" w:type="dxa"/>
            </w:tcMar>
            <w:vAlign w:val="center"/>
          </w:tcPr>
          <w:p>
            <w:pPr>
              <w:snapToGrid w:val="0"/>
              <w:jc w:val="center"/>
              <w:rPr>
                <w:rFonts w:ascii="宋体" w:hAnsi="宋体" w:eastAsia="宋体" w:cs="宋体"/>
                <w:sz w:val="18"/>
                <w:szCs w:val="18"/>
              </w:rPr>
            </w:pPr>
            <w:r>
              <w:rPr>
                <w:rFonts w:hint="eastAsia" w:ascii="宋体" w:hAnsi="宋体" w:eastAsia="宋体" w:cs="宋体"/>
                <w:sz w:val="18"/>
                <w:szCs w:val="18"/>
              </w:rPr>
              <w:t>/</w:t>
            </w:r>
          </w:p>
        </w:tc>
        <w:tc>
          <w:tcPr>
            <w:tcW w:w="737"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3～15</w:t>
            </w:r>
          </w:p>
        </w:tc>
        <w:tc>
          <w:tcPr>
            <w:tcW w:w="964"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15～450</w:t>
            </w:r>
          </w:p>
        </w:tc>
        <w:tc>
          <w:tcPr>
            <w:tcW w:w="850" w:type="dxa"/>
            <w:tcBorders>
              <w:tl2br w:val="nil"/>
              <w:tr2bl w:val="nil"/>
            </w:tcBorders>
            <w:noWrap/>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低～重大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20" w:hRule="atLeast"/>
        </w:trPr>
        <w:tc>
          <w:tcPr>
            <w:tcW w:w="637" w:type="dxa"/>
            <w:tcBorders>
              <w:tl2br w:val="nil"/>
              <w:tr2bl w:val="nil"/>
            </w:tcBorders>
            <w:noWrap/>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41</w:t>
            </w:r>
          </w:p>
        </w:tc>
        <w:tc>
          <w:tcPr>
            <w:tcW w:w="1033" w:type="dxa"/>
            <w:vMerge w:val="continue"/>
            <w:tcBorders>
              <w:top w:val="single" w:color="auto" w:sz="4" w:space="0"/>
              <w:bottom w:val="single" w:color="auto" w:sz="4" w:space="0"/>
              <w:tl2br w:val="nil"/>
              <w:tr2bl w:val="nil"/>
            </w:tcBorders>
            <w:tcMar>
              <w:top w:w="15" w:type="dxa"/>
              <w:left w:w="15" w:type="dxa"/>
              <w:right w:w="15" w:type="dxa"/>
            </w:tcMar>
            <w:vAlign w:val="center"/>
          </w:tcPr>
          <w:p>
            <w:pPr>
              <w:snapToGrid w:val="0"/>
              <w:jc w:val="center"/>
              <w:rPr>
                <w:rFonts w:ascii="宋体" w:hAnsi="宋体" w:eastAsia="宋体" w:cs="宋体"/>
                <w:sz w:val="18"/>
                <w:szCs w:val="18"/>
              </w:rPr>
            </w:pPr>
          </w:p>
        </w:tc>
        <w:tc>
          <w:tcPr>
            <w:tcW w:w="1117" w:type="dxa"/>
            <w:vMerge w:val="continue"/>
            <w:tcBorders>
              <w:tl2br w:val="nil"/>
              <w:tr2bl w:val="nil"/>
            </w:tcBorders>
            <w:tcMar>
              <w:top w:w="15" w:type="dxa"/>
              <w:left w:w="15" w:type="dxa"/>
              <w:right w:w="15" w:type="dxa"/>
            </w:tcMar>
            <w:vAlign w:val="center"/>
          </w:tcPr>
          <w:p>
            <w:pPr>
              <w:snapToGrid w:val="0"/>
              <w:jc w:val="center"/>
              <w:rPr>
                <w:rFonts w:ascii="宋体" w:hAnsi="宋体" w:eastAsia="宋体" w:cs="宋体"/>
                <w:sz w:val="18"/>
                <w:szCs w:val="18"/>
              </w:rPr>
            </w:pPr>
          </w:p>
        </w:tc>
        <w:tc>
          <w:tcPr>
            <w:tcW w:w="1517"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综合自动化系统</w:t>
            </w:r>
          </w:p>
        </w:tc>
        <w:tc>
          <w:tcPr>
            <w:tcW w:w="230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硬件故障、使用不当</w:t>
            </w:r>
          </w:p>
        </w:tc>
        <w:tc>
          <w:tcPr>
            <w:tcW w:w="2066"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机组无法正常运行</w:t>
            </w:r>
          </w:p>
        </w:tc>
        <w:tc>
          <w:tcPr>
            <w:tcW w:w="85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LS法</w:t>
            </w:r>
          </w:p>
        </w:tc>
        <w:tc>
          <w:tcPr>
            <w:tcW w:w="85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5～10</w:t>
            </w:r>
          </w:p>
        </w:tc>
        <w:tc>
          <w:tcPr>
            <w:tcW w:w="680" w:type="dxa"/>
            <w:tcBorders>
              <w:tl2br w:val="nil"/>
              <w:tr2bl w:val="nil"/>
            </w:tcBorders>
            <w:tcMar>
              <w:top w:w="15" w:type="dxa"/>
              <w:left w:w="15" w:type="dxa"/>
              <w:right w:w="15" w:type="dxa"/>
            </w:tcMar>
            <w:vAlign w:val="center"/>
          </w:tcPr>
          <w:p>
            <w:pPr>
              <w:snapToGrid w:val="0"/>
              <w:jc w:val="center"/>
              <w:rPr>
                <w:rFonts w:ascii="宋体" w:hAnsi="宋体" w:eastAsia="宋体" w:cs="宋体"/>
                <w:sz w:val="18"/>
                <w:szCs w:val="18"/>
              </w:rPr>
            </w:pPr>
            <w:r>
              <w:rPr>
                <w:rFonts w:hint="eastAsia" w:ascii="宋体" w:hAnsi="宋体" w:eastAsia="宋体" w:cs="宋体"/>
                <w:sz w:val="18"/>
                <w:szCs w:val="18"/>
              </w:rPr>
              <w:t>/</w:t>
            </w:r>
          </w:p>
        </w:tc>
        <w:tc>
          <w:tcPr>
            <w:tcW w:w="737"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3～15</w:t>
            </w:r>
          </w:p>
        </w:tc>
        <w:tc>
          <w:tcPr>
            <w:tcW w:w="964"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15～150</w:t>
            </w:r>
          </w:p>
        </w:tc>
        <w:tc>
          <w:tcPr>
            <w:tcW w:w="850" w:type="dxa"/>
            <w:tcBorders>
              <w:tl2br w:val="nil"/>
              <w:tr2bl w:val="nil"/>
            </w:tcBorders>
            <w:noWrap/>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低～一般</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20" w:hRule="atLeast"/>
        </w:trPr>
        <w:tc>
          <w:tcPr>
            <w:tcW w:w="637" w:type="dxa"/>
            <w:tcBorders>
              <w:tl2br w:val="nil"/>
              <w:tr2bl w:val="nil"/>
            </w:tcBorders>
            <w:shd w:val="clear" w:color="auto" w:fill="auto"/>
            <w:noWrap/>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42</w:t>
            </w:r>
          </w:p>
        </w:tc>
        <w:tc>
          <w:tcPr>
            <w:tcW w:w="1033" w:type="dxa"/>
            <w:vMerge w:val="continue"/>
            <w:tcBorders>
              <w:top w:val="single" w:color="auto" w:sz="4" w:space="0"/>
              <w:bottom w:val="single" w:color="auto" w:sz="4" w:space="0"/>
              <w:tl2br w:val="nil"/>
              <w:tr2bl w:val="nil"/>
            </w:tcBorders>
            <w:shd w:val="clear" w:color="auto" w:fill="auto"/>
            <w:tcMar>
              <w:top w:w="15" w:type="dxa"/>
              <w:left w:w="15" w:type="dxa"/>
              <w:right w:w="15" w:type="dxa"/>
            </w:tcMar>
            <w:vAlign w:val="center"/>
          </w:tcPr>
          <w:p>
            <w:pPr>
              <w:snapToGrid w:val="0"/>
              <w:jc w:val="center"/>
              <w:rPr>
                <w:rFonts w:ascii="宋体" w:hAnsi="宋体" w:eastAsia="宋体" w:cs="宋体"/>
                <w:sz w:val="18"/>
                <w:szCs w:val="18"/>
              </w:rPr>
            </w:pPr>
          </w:p>
        </w:tc>
        <w:tc>
          <w:tcPr>
            <w:tcW w:w="1117" w:type="dxa"/>
            <w:vMerge w:val="restart"/>
            <w:tcBorders>
              <w:tl2br w:val="nil"/>
              <w:tr2bl w:val="nil"/>
            </w:tcBorders>
            <w:shd w:val="clear" w:color="auto" w:fill="auto"/>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辅助设备</w:t>
            </w:r>
          </w:p>
        </w:tc>
        <w:tc>
          <w:tcPr>
            <w:tcW w:w="1517" w:type="dxa"/>
            <w:tcBorders>
              <w:tl2br w:val="nil"/>
              <w:tr2bl w:val="nil"/>
            </w:tcBorders>
            <w:shd w:val="clear" w:color="auto" w:fill="auto"/>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油系统</w:t>
            </w:r>
          </w:p>
        </w:tc>
        <w:tc>
          <w:tcPr>
            <w:tcW w:w="2300" w:type="dxa"/>
            <w:tcBorders>
              <w:tl2br w:val="nil"/>
              <w:tr2bl w:val="nil"/>
            </w:tcBorders>
            <w:shd w:val="clear" w:color="auto" w:fill="auto"/>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油品质不达标、油压异常、过滤器堵塞、油管堵塞、安全阀等阀门故障</w:t>
            </w:r>
          </w:p>
        </w:tc>
        <w:tc>
          <w:tcPr>
            <w:tcW w:w="2066" w:type="dxa"/>
            <w:tcBorders>
              <w:tl2br w:val="nil"/>
              <w:tr2bl w:val="nil"/>
            </w:tcBorders>
            <w:shd w:val="clear" w:color="auto" w:fill="FFFFFF"/>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机组异常温升，机组停运</w:t>
            </w:r>
          </w:p>
        </w:tc>
        <w:tc>
          <w:tcPr>
            <w:tcW w:w="85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LS法</w:t>
            </w:r>
          </w:p>
        </w:tc>
        <w:tc>
          <w:tcPr>
            <w:tcW w:w="85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5～30</w:t>
            </w:r>
          </w:p>
        </w:tc>
        <w:tc>
          <w:tcPr>
            <w:tcW w:w="680" w:type="dxa"/>
            <w:tcBorders>
              <w:tl2br w:val="nil"/>
              <w:tr2bl w:val="nil"/>
            </w:tcBorders>
            <w:tcMar>
              <w:top w:w="15" w:type="dxa"/>
              <w:left w:w="15" w:type="dxa"/>
              <w:right w:w="15" w:type="dxa"/>
            </w:tcMar>
            <w:vAlign w:val="center"/>
          </w:tcPr>
          <w:p>
            <w:pPr>
              <w:snapToGrid w:val="0"/>
              <w:jc w:val="center"/>
              <w:rPr>
                <w:rFonts w:ascii="宋体" w:hAnsi="宋体" w:eastAsia="宋体" w:cs="宋体"/>
                <w:sz w:val="18"/>
                <w:szCs w:val="18"/>
              </w:rPr>
            </w:pPr>
            <w:r>
              <w:rPr>
                <w:rFonts w:hint="eastAsia" w:ascii="宋体" w:hAnsi="宋体" w:eastAsia="宋体" w:cs="宋体"/>
                <w:sz w:val="18"/>
                <w:szCs w:val="18"/>
              </w:rPr>
              <w:t>/</w:t>
            </w:r>
          </w:p>
        </w:tc>
        <w:tc>
          <w:tcPr>
            <w:tcW w:w="737"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3～15</w:t>
            </w:r>
          </w:p>
        </w:tc>
        <w:tc>
          <w:tcPr>
            <w:tcW w:w="964"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15～450</w:t>
            </w:r>
          </w:p>
        </w:tc>
        <w:tc>
          <w:tcPr>
            <w:tcW w:w="850" w:type="dxa"/>
            <w:tcBorders>
              <w:tl2br w:val="nil"/>
              <w:tr2bl w:val="nil"/>
            </w:tcBorders>
            <w:noWrap/>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低～重大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20" w:hRule="atLeast"/>
        </w:trPr>
        <w:tc>
          <w:tcPr>
            <w:tcW w:w="637" w:type="dxa"/>
            <w:tcBorders>
              <w:tl2br w:val="nil"/>
              <w:tr2bl w:val="nil"/>
            </w:tcBorders>
            <w:shd w:val="clear" w:color="auto" w:fill="auto"/>
            <w:noWrap/>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43</w:t>
            </w:r>
          </w:p>
        </w:tc>
        <w:tc>
          <w:tcPr>
            <w:tcW w:w="1033" w:type="dxa"/>
            <w:vMerge w:val="continue"/>
            <w:tcBorders>
              <w:top w:val="single" w:color="auto" w:sz="4" w:space="0"/>
              <w:bottom w:val="single" w:color="auto" w:sz="4" w:space="0"/>
              <w:tl2br w:val="nil"/>
              <w:tr2bl w:val="nil"/>
            </w:tcBorders>
            <w:shd w:val="clear" w:color="auto" w:fill="auto"/>
            <w:tcMar>
              <w:top w:w="15" w:type="dxa"/>
              <w:left w:w="15" w:type="dxa"/>
              <w:right w:w="15" w:type="dxa"/>
            </w:tcMar>
            <w:vAlign w:val="center"/>
          </w:tcPr>
          <w:p>
            <w:pPr>
              <w:snapToGrid w:val="0"/>
              <w:jc w:val="center"/>
              <w:rPr>
                <w:rFonts w:ascii="宋体" w:hAnsi="宋体" w:eastAsia="宋体" w:cs="宋体"/>
                <w:sz w:val="18"/>
                <w:szCs w:val="18"/>
              </w:rPr>
            </w:pPr>
          </w:p>
        </w:tc>
        <w:tc>
          <w:tcPr>
            <w:tcW w:w="1117" w:type="dxa"/>
            <w:vMerge w:val="continue"/>
            <w:tcBorders>
              <w:tl2br w:val="nil"/>
              <w:tr2bl w:val="nil"/>
            </w:tcBorders>
            <w:shd w:val="clear" w:color="auto" w:fill="auto"/>
            <w:tcMar>
              <w:top w:w="15" w:type="dxa"/>
              <w:left w:w="15" w:type="dxa"/>
              <w:right w:w="15" w:type="dxa"/>
            </w:tcMar>
            <w:vAlign w:val="center"/>
          </w:tcPr>
          <w:p>
            <w:pPr>
              <w:snapToGrid w:val="0"/>
              <w:jc w:val="center"/>
              <w:rPr>
                <w:rFonts w:ascii="宋体" w:hAnsi="宋体" w:eastAsia="宋体" w:cs="宋体"/>
                <w:sz w:val="18"/>
                <w:szCs w:val="18"/>
              </w:rPr>
            </w:pPr>
          </w:p>
        </w:tc>
        <w:tc>
          <w:tcPr>
            <w:tcW w:w="1517" w:type="dxa"/>
            <w:tcBorders>
              <w:tl2br w:val="nil"/>
              <w:tr2bl w:val="nil"/>
            </w:tcBorders>
            <w:shd w:val="clear" w:color="auto" w:fill="auto"/>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技术供水系统</w:t>
            </w:r>
          </w:p>
        </w:tc>
        <w:tc>
          <w:tcPr>
            <w:tcW w:w="2300" w:type="dxa"/>
            <w:tcBorders>
              <w:tl2br w:val="nil"/>
              <w:tr2bl w:val="nil"/>
            </w:tcBorders>
            <w:shd w:val="clear" w:color="auto" w:fill="auto"/>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水泵故障、管路堵塞、阀门故障、控制电源及回路故障、冷却装置故障、过滤器故障等</w:t>
            </w:r>
          </w:p>
        </w:tc>
        <w:tc>
          <w:tcPr>
            <w:tcW w:w="2066" w:type="dxa"/>
            <w:tcBorders>
              <w:tl2br w:val="nil"/>
              <w:tr2bl w:val="nil"/>
            </w:tcBorders>
            <w:shd w:val="clear" w:color="auto" w:fill="FFFFFF"/>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机组停运</w:t>
            </w:r>
          </w:p>
        </w:tc>
        <w:tc>
          <w:tcPr>
            <w:tcW w:w="85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LS法</w:t>
            </w:r>
          </w:p>
        </w:tc>
        <w:tc>
          <w:tcPr>
            <w:tcW w:w="85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5～30</w:t>
            </w:r>
          </w:p>
        </w:tc>
        <w:tc>
          <w:tcPr>
            <w:tcW w:w="680" w:type="dxa"/>
            <w:tcBorders>
              <w:tl2br w:val="nil"/>
              <w:tr2bl w:val="nil"/>
            </w:tcBorders>
            <w:tcMar>
              <w:top w:w="15" w:type="dxa"/>
              <w:left w:w="15" w:type="dxa"/>
              <w:right w:w="15" w:type="dxa"/>
            </w:tcMar>
            <w:vAlign w:val="center"/>
          </w:tcPr>
          <w:p>
            <w:pPr>
              <w:snapToGrid w:val="0"/>
              <w:jc w:val="center"/>
              <w:rPr>
                <w:rFonts w:ascii="宋体" w:hAnsi="宋体" w:eastAsia="宋体" w:cs="宋体"/>
                <w:sz w:val="18"/>
                <w:szCs w:val="18"/>
              </w:rPr>
            </w:pPr>
            <w:r>
              <w:rPr>
                <w:rFonts w:hint="eastAsia" w:ascii="宋体" w:hAnsi="宋体" w:eastAsia="宋体" w:cs="宋体"/>
                <w:sz w:val="18"/>
                <w:szCs w:val="18"/>
              </w:rPr>
              <w:t>/</w:t>
            </w:r>
          </w:p>
        </w:tc>
        <w:tc>
          <w:tcPr>
            <w:tcW w:w="737"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3～15</w:t>
            </w:r>
          </w:p>
        </w:tc>
        <w:tc>
          <w:tcPr>
            <w:tcW w:w="964"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15～450</w:t>
            </w:r>
          </w:p>
        </w:tc>
        <w:tc>
          <w:tcPr>
            <w:tcW w:w="850" w:type="dxa"/>
            <w:tcBorders>
              <w:tl2br w:val="nil"/>
              <w:tr2bl w:val="nil"/>
            </w:tcBorders>
            <w:noWrap/>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低～重大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20" w:hRule="atLeast"/>
        </w:trPr>
        <w:tc>
          <w:tcPr>
            <w:tcW w:w="637" w:type="dxa"/>
            <w:tcBorders>
              <w:tl2br w:val="nil"/>
              <w:tr2bl w:val="nil"/>
            </w:tcBorders>
            <w:noWrap/>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44</w:t>
            </w:r>
          </w:p>
        </w:tc>
        <w:tc>
          <w:tcPr>
            <w:tcW w:w="1033" w:type="dxa"/>
            <w:vMerge w:val="continue"/>
            <w:tcBorders>
              <w:top w:val="single" w:color="auto" w:sz="4" w:space="0"/>
              <w:bottom w:val="single" w:color="auto" w:sz="4" w:space="0"/>
              <w:tl2br w:val="nil"/>
              <w:tr2bl w:val="nil"/>
            </w:tcBorders>
            <w:tcMar>
              <w:top w:w="15" w:type="dxa"/>
              <w:left w:w="15" w:type="dxa"/>
              <w:right w:w="15" w:type="dxa"/>
            </w:tcMar>
            <w:vAlign w:val="center"/>
          </w:tcPr>
          <w:p>
            <w:pPr>
              <w:snapToGrid w:val="0"/>
              <w:jc w:val="center"/>
              <w:rPr>
                <w:rFonts w:ascii="宋体" w:hAnsi="宋体" w:eastAsia="宋体" w:cs="宋体"/>
                <w:sz w:val="18"/>
                <w:szCs w:val="18"/>
              </w:rPr>
            </w:pPr>
          </w:p>
        </w:tc>
        <w:tc>
          <w:tcPr>
            <w:tcW w:w="1117" w:type="dxa"/>
            <w:vMerge w:val="continue"/>
            <w:tcBorders>
              <w:bottom w:val="single" w:color="auto" w:sz="4" w:space="0"/>
              <w:tl2br w:val="nil"/>
              <w:tr2bl w:val="nil"/>
            </w:tcBorders>
            <w:tcMar>
              <w:top w:w="15" w:type="dxa"/>
              <w:left w:w="15" w:type="dxa"/>
              <w:right w:w="15" w:type="dxa"/>
            </w:tcMar>
            <w:vAlign w:val="center"/>
          </w:tcPr>
          <w:p>
            <w:pPr>
              <w:snapToGrid w:val="0"/>
              <w:rPr>
                <w:rFonts w:ascii="宋体" w:hAnsi="宋体" w:eastAsia="宋体" w:cs="宋体"/>
                <w:sz w:val="18"/>
                <w:szCs w:val="18"/>
              </w:rPr>
            </w:pPr>
          </w:p>
        </w:tc>
        <w:tc>
          <w:tcPr>
            <w:tcW w:w="1517"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排水系统</w:t>
            </w:r>
          </w:p>
        </w:tc>
        <w:tc>
          <w:tcPr>
            <w:tcW w:w="230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排水泵、排污泵淤堵失效，控制系统故障</w:t>
            </w:r>
          </w:p>
        </w:tc>
        <w:tc>
          <w:tcPr>
            <w:tcW w:w="2066"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站内积水，设备损害</w:t>
            </w:r>
          </w:p>
        </w:tc>
        <w:tc>
          <w:tcPr>
            <w:tcW w:w="85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LS法</w:t>
            </w:r>
          </w:p>
        </w:tc>
        <w:tc>
          <w:tcPr>
            <w:tcW w:w="85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5～30</w:t>
            </w:r>
          </w:p>
        </w:tc>
        <w:tc>
          <w:tcPr>
            <w:tcW w:w="680" w:type="dxa"/>
            <w:tcBorders>
              <w:tl2br w:val="nil"/>
              <w:tr2bl w:val="nil"/>
            </w:tcBorders>
            <w:tcMar>
              <w:top w:w="15" w:type="dxa"/>
              <w:left w:w="15" w:type="dxa"/>
              <w:right w:w="15" w:type="dxa"/>
            </w:tcMar>
            <w:vAlign w:val="center"/>
          </w:tcPr>
          <w:p>
            <w:pPr>
              <w:snapToGrid w:val="0"/>
              <w:jc w:val="center"/>
              <w:rPr>
                <w:rFonts w:ascii="宋体" w:hAnsi="宋体" w:eastAsia="宋体" w:cs="宋体"/>
                <w:sz w:val="18"/>
                <w:szCs w:val="18"/>
              </w:rPr>
            </w:pPr>
            <w:r>
              <w:rPr>
                <w:rFonts w:hint="eastAsia" w:ascii="宋体" w:hAnsi="宋体" w:eastAsia="宋体" w:cs="宋体"/>
                <w:sz w:val="18"/>
                <w:szCs w:val="18"/>
              </w:rPr>
              <w:t>/</w:t>
            </w:r>
          </w:p>
        </w:tc>
        <w:tc>
          <w:tcPr>
            <w:tcW w:w="737"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3～15</w:t>
            </w:r>
          </w:p>
        </w:tc>
        <w:tc>
          <w:tcPr>
            <w:tcW w:w="964"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15～450</w:t>
            </w:r>
          </w:p>
        </w:tc>
        <w:tc>
          <w:tcPr>
            <w:tcW w:w="850" w:type="dxa"/>
            <w:tcBorders>
              <w:tl2br w:val="nil"/>
              <w:tr2bl w:val="nil"/>
            </w:tcBorders>
            <w:noWrap/>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低～重大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20" w:hRule="atLeast"/>
        </w:trPr>
        <w:tc>
          <w:tcPr>
            <w:tcW w:w="637" w:type="dxa"/>
            <w:tcBorders>
              <w:tl2br w:val="nil"/>
              <w:tr2bl w:val="nil"/>
            </w:tcBorders>
            <w:noWrap/>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45</w:t>
            </w:r>
          </w:p>
        </w:tc>
        <w:tc>
          <w:tcPr>
            <w:tcW w:w="1033" w:type="dxa"/>
            <w:vMerge w:val="restart"/>
            <w:tcBorders>
              <w:top w:val="single" w:color="auto" w:sz="4" w:space="0"/>
              <w:tl2br w:val="nil"/>
              <w:tr2bl w:val="nil"/>
            </w:tcBorders>
            <w:tcMar>
              <w:top w:w="15" w:type="dxa"/>
              <w:left w:w="15" w:type="dxa"/>
              <w:right w:w="15" w:type="dxa"/>
            </w:tcMar>
            <w:vAlign w:val="center"/>
          </w:tcPr>
          <w:p>
            <w:pPr>
              <w:snapToGrid w:val="0"/>
              <w:jc w:val="center"/>
              <w:rPr>
                <w:rFonts w:ascii="宋体" w:hAnsi="宋体" w:eastAsia="宋体" w:cs="宋体"/>
                <w:sz w:val="18"/>
                <w:szCs w:val="18"/>
              </w:rPr>
            </w:pPr>
            <w:r>
              <w:rPr>
                <w:rFonts w:hint="eastAsia" w:ascii="宋体" w:hAnsi="宋体" w:eastAsia="宋体" w:cs="宋体"/>
                <w:sz w:val="18"/>
                <w:szCs w:val="18"/>
                <w:lang w:bidi="ar"/>
              </w:rPr>
              <w:t>设备设施类</w:t>
            </w:r>
          </w:p>
        </w:tc>
        <w:tc>
          <w:tcPr>
            <w:tcW w:w="1117" w:type="dxa"/>
            <w:vMerge w:val="restart"/>
            <w:tcBorders>
              <w:top w:val="single" w:color="auto" w:sz="4" w:space="0"/>
              <w:tl2br w:val="nil"/>
              <w:tr2bl w:val="nil"/>
            </w:tcBorders>
            <w:tcMar>
              <w:top w:w="15" w:type="dxa"/>
              <w:left w:w="15" w:type="dxa"/>
              <w:right w:w="15" w:type="dxa"/>
            </w:tcMar>
            <w:vAlign w:val="center"/>
          </w:tcPr>
          <w:p>
            <w:pPr>
              <w:snapToGrid w:val="0"/>
              <w:jc w:val="center"/>
              <w:rPr>
                <w:rFonts w:ascii="宋体" w:hAnsi="宋体" w:eastAsia="宋体" w:cs="宋体"/>
                <w:sz w:val="18"/>
                <w:szCs w:val="18"/>
              </w:rPr>
            </w:pPr>
            <w:r>
              <w:rPr>
                <w:rFonts w:hint="eastAsia" w:ascii="宋体" w:hAnsi="宋体" w:eastAsia="宋体" w:cs="宋体"/>
                <w:sz w:val="18"/>
                <w:szCs w:val="18"/>
                <w:lang w:bidi="ar"/>
              </w:rPr>
              <w:t>辅助设备</w:t>
            </w:r>
          </w:p>
        </w:tc>
        <w:tc>
          <w:tcPr>
            <w:tcW w:w="1517"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真空系统</w:t>
            </w:r>
          </w:p>
        </w:tc>
        <w:tc>
          <w:tcPr>
            <w:tcW w:w="230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真空泵故障、闸阀不严密、管道漏气</w:t>
            </w:r>
          </w:p>
        </w:tc>
        <w:tc>
          <w:tcPr>
            <w:tcW w:w="2066"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机组无法运行</w:t>
            </w:r>
          </w:p>
        </w:tc>
        <w:tc>
          <w:tcPr>
            <w:tcW w:w="85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LS法</w:t>
            </w:r>
          </w:p>
        </w:tc>
        <w:tc>
          <w:tcPr>
            <w:tcW w:w="85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5～30</w:t>
            </w:r>
          </w:p>
        </w:tc>
        <w:tc>
          <w:tcPr>
            <w:tcW w:w="680" w:type="dxa"/>
            <w:tcBorders>
              <w:tl2br w:val="nil"/>
              <w:tr2bl w:val="nil"/>
            </w:tcBorders>
            <w:tcMar>
              <w:top w:w="15" w:type="dxa"/>
              <w:left w:w="15" w:type="dxa"/>
              <w:right w:w="15" w:type="dxa"/>
            </w:tcMar>
            <w:vAlign w:val="center"/>
          </w:tcPr>
          <w:p>
            <w:pPr>
              <w:snapToGrid w:val="0"/>
              <w:jc w:val="center"/>
              <w:rPr>
                <w:rFonts w:ascii="宋体" w:hAnsi="宋体" w:eastAsia="宋体" w:cs="宋体"/>
                <w:sz w:val="18"/>
                <w:szCs w:val="18"/>
              </w:rPr>
            </w:pPr>
            <w:r>
              <w:rPr>
                <w:rFonts w:hint="eastAsia" w:ascii="宋体" w:hAnsi="宋体" w:eastAsia="宋体" w:cs="宋体"/>
                <w:sz w:val="18"/>
                <w:szCs w:val="18"/>
              </w:rPr>
              <w:t>/</w:t>
            </w:r>
          </w:p>
        </w:tc>
        <w:tc>
          <w:tcPr>
            <w:tcW w:w="737"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3～15</w:t>
            </w:r>
          </w:p>
        </w:tc>
        <w:tc>
          <w:tcPr>
            <w:tcW w:w="964"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15～450</w:t>
            </w:r>
          </w:p>
        </w:tc>
        <w:tc>
          <w:tcPr>
            <w:tcW w:w="850" w:type="dxa"/>
            <w:tcBorders>
              <w:tl2br w:val="nil"/>
              <w:tr2bl w:val="nil"/>
            </w:tcBorders>
            <w:noWrap/>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低～重大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20" w:hRule="atLeast"/>
        </w:trPr>
        <w:tc>
          <w:tcPr>
            <w:tcW w:w="637" w:type="dxa"/>
            <w:tcBorders>
              <w:tl2br w:val="nil"/>
              <w:tr2bl w:val="nil"/>
            </w:tcBorders>
            <w:noWrap/>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46</w:t>
            </w:r>
          </w:p>
        </w:tc>
        <w:tc>
          <w:tcPr>
            <w:tcW w:w="1033" w:type="dxa"/>
            <w:vMerge w:val="continue"/>
            <w:tcBorders>
              <w:top w:val="single" w:color="auto" w:sz="4" w:space="0"/>
              <w:bottom w:val="single" w:color="auto" w:sz="4" w:space="0"/>
              <w:tl2br w:val="nil"/>
              <w:tr2bl w:val="nil"/>
            </w:tcBorders>
            <w:tcMar>
              <w:top w:w="15" w:type="dxa"/>
              <w:left w:w="15" w:type="dxa"/>
              <w:right w:w="15" w:type="dxa"/>
            </w:tcMar>
            <w:vAlign w:val="center"/>
          </w:tcPr>
          <w:p>
            <w:pPr>
              <w:snapToGrid w:val="0"/>
              <w:jc w:val="center"/>
              <w:rPr>
                <w:rFonts w:ascii="宋体" w:hAnsi="宋体" w:eastAsia="宋体" w:cs="宋体"/>
                <w:sz w:val="18"/>
                <w:szCs w:val="18"/>
              </w:rPr>
            </w:pPr>
          </w:p>
        </w:tc>
        <w:tc>
          <w:tcPr>
            <w:tcW w:w="1117" w:type="dxa"/>
            <w:vMerge w:val="continue"/>
            <w:tcBorders>
              <w:top w:val="single" w:color="auto" w:sz="4" w:space="0"/>
              <w:bottom w:val="single" w:color="auto" w:sz="4" w:space="0"/>
              <w:tl2br w:val="nil"/>
              <w:tr2bl w:val="nil"/>
            </w:tcBorders>
            <w:tcMar>
              <w:top w:w="15" w:type="dxa"/>
              <w:left w:w="15" w:type="dxa"/>
              <w:right w:w="15" w:type="dxa"/>
            </w:tcMar>
            <w:vAlign w:val="center"/>
          </w:tcPr>
          <w:p>
            <w:pPr>
              <w:snapToGrid w:val="0"/>
              <w:jc w:val="center"/>
              <w:rPr>
                <w:rFonts w:ascii="宋体" w:hAnsi="宋体" w:eastAsia="宋体" w:cs="宋体"/>
                <w:sz w:val="18"/>
                <w:szCs w:val="18"/>
              </w:rPr>
            </w:pPr>
          </w:p>
        </w:tc>
        <w:tc>
          <w:tcPr>
            <w:tcW w:w="1517"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气系统</w:t>
            </w:r>
          </w:p>
        </w:tc>
        <w:tc>
          <w:tcPr>
            <w:tcW w:w="230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储气罐压力异常、安全阀故障</w:t>
            </w:r>
          </w:p>
        </w:tc>
        <w:tc>
          <w:tcPr>
            <w:tcW w:w="2066"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机组无法正常开、停机</w:t>
            </w:r>
          </w:p>
        </w:tc>
        <w:tc>
          <w:tcPr>
            <w:tcW w:w="85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LS法</w:t>
            </w:r>
          </w:p>
        </w:tc>
        <w:tc>
          <w:tcPr>
            <w:tcW w:w="85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5～30</w:t>
            </w:r>
          </w:p>
        </w:tc>
        <w:tc>
          <w:tcPr>
            <w:tcW w:w="680" w:type="dxa"/>
            <w:tcBorders>
              <w:tl2br w:val="nil"/>
              <w:tr2bl w:val="nil"/>
            </w:tcBorders>
            <w:tcMar>
              <w:top w:w="15" w:type="dxa"/>
              <w:left w:w="15" w:type="dxa"/>
              <w:right w:w="15" w:type="dxa"/>
            </w:tcMar>
            <w:vAlign w:val="center"/>
          </w:tcPr>
          <w:p>
            <w:pPr>
              <w:snapToGrid w:val="0"/>
              <w:jc w:val="center"/>
              <w:rPr>
                <w:rFonts w:ascii="宋体" w:hAnsi="宋体" w:eastAsia="宋体" w:cs="宋体"/>
                <w:sz w:val="18"/>
                <w:szCs w:val="18"/>
              </w:rPr>
            </w:pPr>
            <w:r>
              <w:rPr>
                <w:rFonts w:hint="eastAsia" w:ascii="宋体" w:hAnsi="宋体" w:eastAsia="宋体" w:cs="宋体"/>
                <w:sz w:val="18"/>
                <w:szCs w:val="18"/>
              </w:rPr>
              <w:t>/</w:t>
            </w:r>
          </w:p>
        </w:tc>
        <w:tc>
          <w:tcPr>
            <w:tcW w:w="737"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3～15</w:t>
            </w:r>
          </w:p>
        </w:tc>
        <w:tc>
          <w:tcPr>
            <w:tcW w:w="964"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15～450</w:t>
            </w:r>
          </w:p>
        </w:tc>
        <w:tc>
          <w:tcPr>
            <w:tcW w:w="850" w:type="dxa"/>
            <w:tcBorders>
              <w:tl2br w:val="nil"/>
              <w:tr2bl w:val="nil"/>
            </w:tcBorders>
            <w:noWrap/>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低～重大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20" w:hRule="atLeast"/>
        </w:trPr>
        <w:tc>
          <w:tcPr>
            <w:tcW w:w="637" w:type="dxa"/>
            <w:tcBorders>
              <w:tl2br w:val="nil"/>
              <w:tr2bl w:val="nil"/>
            </w:tcBorders>
            <w:noWrap/>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47</w:t>
            </w:r>
          </w:p>
        </w:tc>
        <w:tc>
          <w:tcPr>
            <w:tcW w:w="1033" w:type="dxa"/>
            <w:vMerge w:val="continue"/>
            <w:tcBorders>
              <w:top w:val="single" w:color="auto" w:sz="4" w:space="0"/>
              <w:bottom w:val="single" w:color="auto" w:sz="4" w:space="0"/>
              <w:tl2br w:val="nil"/>
              <w:tr2bl w:val="nil"/>
            </w:tcBorders>
            <w:tcMar>
              <w:top w:w="15" w:type="dxa"/>
              <w:left w:w="15" w:type="dxa"/>
              <w:right w:w="15" w:type="dxa"/>
            </w:tcMar>
            <w:vAlign w:val="center"/>
          </w:tcPr>
          <w:p>
            <w:pPr>
              <w:snapToGrid w:val="0"/>
              <w:jc w:val="center"/>
              <w:rPr>
                <w:rFonts w:ascii="宋体" w:hAnsi="宋体" w:eastAsia="宋体" w:cs="宋体"/>
                <w:sz w:val="18"/>
                <w:szCs w:val="18"/>
              </w:rPr>
            </w:pPr>
          </w:p>
        </w:tc>
        <w:tc>
          <w:tcPr>
            <w:tcW w:w="1117" w:type="dxa"/>
            <w:vMerge w:val="restart"/>
            <w:tcBorders>
              <w:top w:val="single" w:color="auto" w:sz="4" w:space="0"/>
              <w:bottom w:val="single" w:color="auto" w:sz="4" w:space="0"/>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特种设备</w:t>
            </w:r>
          </w:p>
        </w:tc>
        <w:tc>
          <w:tcPr>
            <w:tcW w:w="1517"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电梯</w:t>
            </w:r>
          </w:p>
        </w:tc>
        <w:tc>
          <w:tcPr>
            <w:tcW w:w="230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未及时维修养护、未定期检测</w:t>
            </w:r>
          </w:p>
        </w:tc>
        <w:tc>
          <w:tcPr>
            <w:tcW w:w="2066"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人身伤害</w:t>
            </w:r>
          </w:p>
        </w:tc>
        <w:tc>
          <w:tcPr>
            <w:tcW w:w="850" w:type="dxa"/>
            <w:tcBorders>
              <w:tl2br w:val="nil"/>
              <w:tr2bl w:val="nil"/>
            </w:tcBorders>
            <w:noWrap/>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LEC法</w:t>
            </w:r>
          </w:p>
        </w:tc>
        <w:tc>
          <w:tcPr>
            <w:tcW w:w="85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0.5～3</w:t>
            </w:r>
          </w:p>
        </w:tc>
        <w:tc>
          <w:tcPr>
            <w:tcW w:w="68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2～6</w:t>
            </w:r>
          </w:p>
        </w:tc>
        <w:tc>
          <w:tcPr>
            <w:tcW w:w="737"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3～15</w:t>
            </w:r>
          </w:p>
        </w:tc>
        <w:tc>
          <w:tcPr>
            <w:tcW w:w="964"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3～270</w:t>
            </w:r>
          </w:p>
        </w:tc>
        <w:tc>
          <w:tcPr>
            <w:tcW w:w="850" w:type="dxa"/>
            <w:tcBorders>
              <w:tl2br w:val="nil"/>
              <w:tr2bl w:val="nil"/>
            </w:tcBorders>
            <w:noWrap/>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低～较大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20" w:hRule="atLeast"/>
        </w:trPr>
        <w:tc>
          <w:tcPr>
            <w:tcW w:w="637" w:type="dxa"/>
            <w:tcBorders>
              <w:tl2br w:val="nil"/>
              <w:tr2bl w:val="nil"/>
            </w:tcBorders>
            <w:noWrap/>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48</w:t>
            </w:r>
          </w:p>
        </w:tc>
        <w:tc>
          <w:tcPr>
            <w:tcW w:w="1033" w:type="dxa"/>
            <w:vMerge w:val="continue"/>
            <w:tcBorders>
              <w:top w:val="single" w:color="auto" w:sz="4" w:space="0"/>
              <w:bottom w:val="single" w:color="auto" w:sz="4" w:space="0"/>
              <w:tl2br w:val="nil"/>
              <w:tr2bl w:val="nil"/>
            </w:tcBorders>
            <w:tcMar>
              <w:top w:w="15" w:type="dxa"/>
              <w:left w:w="15" w:type="dxa"/>
              <w:right w:w="15" w:type="dxa"/>
            </w:tcMar>
            <w:vAlign w:val="center"/>
          </w:tcPr>
          <w:p>
            <w:pPr>
              <w:snapToGrid w:val="0"/>
              <w:jc w:val="center"/>
              <w:rPr>
                <w:rFonts w:ascii="宋体" w:hAnsi="宋体" w:eastAsia="宋体" w:cs="宋体"/>
                <w:sz w:val="18"/>
                <w:szCs w:val="18"/>
              </w:rPr>
            </w:pPr>
          </w:p>
        </w:tc>
        <w:tc>
          <w:tcPr>
            <w:tcW w:w="1117" w:type="dxa"/>
            <w:vMerge w:val="continue"/>
            <w:tcBorders>
              <w:top w:val="single" w:color="auto" w:sz="4" w:space="0"/>
              <w:bottom w:val="single" w:color="auto" w:sz="4" w:space="0"/>
              <w:tl2br w:val="nil"/>
              <w:tr2bl w:val="nil"/>
            </w:tcBorders>
            <w:tcMar>
              <w:top w:w="15" w:type="dxa"/>
              <w:left w:w="15" w:type="dxa"/>
              <w:right w:w="15" w:type="dxa"/>
            </w:tcMar>
            <w:vAlign w:val="center"/>
          </w:tcPr>
          <w:p>
            <w:pPr>
              <w:snapToGrid w:val="0"/>
              <w:jc w:val="center"/>
              <w:rPr>
                <w:rFonts w:ascii="宋体" w:hAnsi="宋体" w:eastAsia="宋体" w:cs="宋体"/>
                <w:sz w:val="18"/>
                <w:szCs w:val="18"/>
              </w:rPr>
            </w:pPr>
          </w:p>
        </w:tc>
        <w:tc>
          <w:tcPr>
            <w:tcW w:w="1517"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压力容器</w:t>
            </w:r>
          </w:p>
        </w:tc>
        <w:tc>
          <w:tcPr>
            <w:tcW w:w="230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未及时维修养护、未定期检测</w:t>
            </w:r>
          </w:p>
        </w:tc>
        <w:tc>
          <w:tcPr>
            <w:tcW w:w="2066"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容器爆炸，人身伤害</w:t>
            </w:r>
          </w:p>
        </w:tc>
        <w:tc>
          <w:tcPr>
            <w:tcW w:w="85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LS法</w:t>
            </w:r>
          </w:p>
        </w:tc>
        <w:tc>
          <w:tcPr>
            <w:tcW w:w="85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5～30</w:t>
            </w:r>
          </w:p>
        </w:tc>
        <w:tc>
          <w:tcPr>
            <w:tcW w:w="680" w:type="dxa"/>
            <w:tcBorders>
              <w:tl2br w:val="nil"/>
              <w:tr2bl w:val="nil"/>
            </w:tcBorders>
            <w:tcMar>
              <w:top w:w="15" w:type="dxa"/>
              <w:left w:w="15" w:type="dxa"/>
              <w:right w:w="15" w:type="dxa"/>
            </w:tcMar>
            <w:vAlign w:val="center"/>
          </w:tcPr>
          <w:p>
            <w:pPr>
              <w:snapToGrid w:val="0"/>
              <w:jc w:val="center"/>
              <w:rPr>
                <w:rFonts w:ascii="宋体" w:hAnsi="宋体" w:eastAsia="宋体" w:cs="宋体"/>
                <w:sz w:val="18"/>
                <w:szCs w:val="18"/>
              </w:rPr>
            </w:pPr>
            <w:r>
              <w:rPr>
                <w:rFonts w:hint="eastAsia" w:ascii="宋体" w:hAnsi="宋体" w:eastAsia="宋体" w:cs="宋体"/>
                <w:sz w:val="18"/>
                <w:szCs w:val="18"/>
              </w:rPr>
              <w:t>/</w:t>
            </w:r>
          </w:p>
        </w:tc>
        <w:tc>
          <w:tcPr>
            <w:tcW w:w="737"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3～15</w:t>
            </w:r>
          </w:p>
        </w:tc>
        <w:tc>
          <w:tcPr>
            <w:tcW w:w="964"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15～450</w:t>
            </w:r>
          </w:p>
        </w:tc>
        <w:tc>
          <w:tcPr>
            <w:tcW w:w="850" w:type="dxa"/>
            <w:tcBorders>
              <w:tl2br w:val="nil"/>
              <w:tr2bl w:val="nil"/>
            </w:tcBorders>
            <w:noWrap/>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低～重大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20" w:hRule="atLeast"/>
        </w:trPr>
        <w:tc>
          <w:tcPr>
            <w:tcW w:w="637" w:type="dxa"/>
            <w:tcBorders>
              <w:tl2br w:val="nil"/>
              <w:tr2bl w:val="nil"/>
            </w:tcBorders>
            <w:noWrap/>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49</w:t>
            </w:r>
          </w:p>
        </w:tc>
        <w:tc>
          <w:tcPr>
            <w:tcW w:w="1033" w:type="dxa"/>
            <w:vMerge w:val="continue"/>
            <w:tcBorders>
              <w:top w:val="single" w:color="auto" w:sz="4" w:space="0"/>
              <w:bottom w:val="single" w:color="auto" w:sz="4" w:space="0"/>
              <w:tl2br w:val="nil"/>
              <w:tr2bl w:val="nil"/>
            </w:tcBorders>
            <w:tcMar>
              <w:top w:w="15" w:type="dxa"/>
              <w:left w:w="15" w:type="dxa"/>
              <w:right w:w="15" w:type="dxa"/>
            </w:tcMar>
            <w:vAlign w:val="center"/>
          </w:tcPr>
          <w:p>
            <w:pPr>
              <w:snapToGrid w:val="0"/>
              <w:jc w:val="center"/>
              <w:rPr>
                <w:rFonts w:ascii="宋体" w:hAnsi="宋体" w:eastAsia="宋体" w:cs="宋体"/>
                <w:sz w:val="18"/>
                <w:szCs w:val="18"/>
              </w:rPr>
            </w:pPr>
          </w:p>
        </w:tc>
        <w:tc>
          <w:tcPr>
            <w:tcW w:w="1117" w:type="dxa"/>
            <w:vMerge w:val="continue"/>
            <w:tcBorders>
              <w:top w:val="single" w:color="auto" w:sz="4" w:space="0"/>
              <w:bottom w:val="single" w:color="auto" w:sz="4" w:space="0"/>
              <w:tl2br w:val="nil"/>
              <w:tr2bl w:val="nil"/>
            </w:tcBorders>
            <w:tcMar>
              <w:top w:w="15" w:type="dxa"/>
              <w:left w:w="15" w:type="dxa"/>
              <w:right w:w="15" w:type="dxa"/>
            </w:tcMar>
            <w:vAlign w:val="center"/>
          </w:tcPr>
          <w:p>
            <w:pPr>
              <w:snapToGrid w:val="0"/>
              <w:jc w:val="center"/>
              <w:rPr>
                <w:rFonts w:ascii="宋体" w:hAnsi="宋体" w:eastAsia="宋体" w:cs="宋体"/>
                <w:sz w:val="18"/>
                <w:szCs w:val="18"/>
              </w:rPr>
            </w:pPr>
          </w:p>
        </w:tc>
        <w:tc>
          <w:tcPr>
            <w:tcW w:w="1517"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专用机动车辆</w:t>
            </w:r>
          </w:p>
        </w:tc>
        <w:tc>
          <w:tcPr>
            <w:tcW w:w="230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未及时维修养护、未定期检测</w:t>
            </w:r>
          </w:p>
        </w:tc>
        <w:tc>
          <w:tcPr>
            <w:tcW w:w="2066"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人身伤害</w:t>
            </w:r>
          </w:p>
        </w:tc>
        <w:tc>
          <w:tcPr>
            <w:tcW w:w="85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LEC法</w:t>
            </w:r>
          </w:p>
        </w:tc>
        <w:tc>
          <w:tcPr>
            <w:tcW w:w="85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0.5～3</w:t>
            </w:r>
          </w:p>
        </w:tc>
        <w:tc>
          <w:tcPr>
            <w:tcW w:w="68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2～6</w:t>
            </w:r>
          </w:p>
        </w:tc>
        <w:tc>
          <w:tcPr>
            <w:tcW w:w="737"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3～15</w:t>
            </w:r>
          </w:p>
        </w:tc>
        <w:tc>
          <w:tcPr>
            <w:tcW w:w="964"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3～270</w:t>
            </w:r>
          </w:p>
        </w:tc>
        <w:tc>
          <w:tcPr>
            <w:tcW w:w="85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低～较大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20" w:hRule="atLeast"/>
        </w:trPr>
        <w:tc>
          <w:tcPr>
            <w:tcW w:w="637" w:type="dxa"/>
            <w:tcBorders>
              <w:tl2br w:val="nil"/>
              <w:tr2bl w:val="nil"/>
            </w:tcBorders>
            <w:shd w:val="clear" w:color="auto" w:fill="auto"/>
            <w:noWrap/>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50</w:t>
            </w:r>
          </w:p>
        </w:tc>
        <w:tc>
          <w:tcPr>
            <w:tcW w:w="1033" w:type="dxa"/>
            <w:vMerge w:val="continue"/>
            <w:tcBorders>
              <w:top w:val="single" w:color="auto" w:sz="4" w:space="0"/>
              <w:bottom w:val="single" w:color="auto" w:sz="4" w:space="0"/>
              <w:tl2br w:val="nil"/>
              <w:tr2bl w:val="nil"/>
            </w:tcBorders>
            <w:shd w:val="clear" w:color="auto" w:fill="auto"/>
            <w:tcMar>
              <w:top w:w="15" w:type="dxa"/>
              <w:left w:w="15" w:type="dxa"/>
              <w:right w:w="15" w:type="dxa"/>
            </w:tcMar>
            <w:vAlign w:val="center"/>
          </w:tcPr>
          <w:p>
            <w:pPr>
              <w:snapToGrid w:val="0"/>
              <w:jc w:val="center"/>
              <w:rPr>
                <w:rFonts w:ascii="宋体" w:hAnsi="宋体" w:eastAsia="宋体" w:cs="宋体"/>
                <w:sz w:val="18"/>
                <w:szCs w:val="18"/>
              </w:rPr>
            </w:pPr>
          </w:p>
        </w:tc>
        <w:tc>
          <w:tcPr>
            <w:tcW w:w="1117" w:type="dxa"/>
            <w:vMerge w:val="restart"/>
            <w:tcBorders>
              <w:top w:val="single" w:color="auto" w:sz="4" w:space="0"/>
              <w:tl2br w:val="nil"/>
              <w:tr2bl w:val="nil"/>
            </w:tcBorders>
            <w:shd w:val="clear" w:color="auto" w:fill="auto"/>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管理设施</w:t>
            </w:r>
          </w:p>
        </w:tc>
        <w:tc>
          <w:tcPr>
            <w:tcW w:w="1517" w:type="dxa"/>
            <w:tcBorders>
              <w:tl2br w:val="nil"/>
              <w:tr2bl w:val="nil"/>
            </w:tcBorders>
            <w:shd w:val="clear" w:color="auto" w:fill="FFFFFF"/>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视频监控系统</w:t>
            </w:r>
          </w:p>
        </w:tc>
        <w:tc>
          <w:tcPr>
            <w:tcW w:w="2300" w:type="dxa"/>
            <w:tcBorders>
              <w:tl2br w:val="nil"/>
              <w:tr2bl w:val="nil"/>
            </w:tcBorders>
            <w:shd w:val="clear" w:color="auto" w:fill="FFFFFF"/>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功能失效</w:t>
            </w:r>
          </w:p>
        </w:tc>
        <w:tc>
          <w:tcPr>
            <w:tcW w:w="2066"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不能及时发现工程隐患或险情</w:t>
            </w:r>
          </w:p>
        </w:tc>
        <w:tc>
          <w:tcPr>
            <w:tcW w:w="850" w:type="dxa"/>
            <w:tcBorders>
              <w:tl2br w:val="nil"/>
              <w:tr2bl w:val="nil"/>
            </w:tcBorders>
            <w:noWrap/>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LS法</w:t>
            </w:r>
          </w:p>
        </w:tc>
        <w:tc>
          <w:tcPr>
            <w:tcW w:w="85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5～30</w:t>
            </w:r>
          </w:p>
        </w:tc>
        <w:tc>
          <w:tcPr>
            <w:tcW w:w="680" w:type="dxa"/>
            <w:tcBorders>
              <w:tl2br w:val="nil"/>
              <w:tr2bl w:val="nil"/>
            </w:tcBorders>
            <w:tcMar>
              <w:top w:w="15" w:type="dxa"/>
              <w:left w:w="15" w:type="dxa"/>
              <w:right w:w="15" w:type="dxa"/>
            </w:tcMar>
            <w:vAlign w:val="center"/>
          </w:tcPr>
          <w:p>
            <w:pPr>
              <w:snapToGrid w:val="0"/>
              <w:jc w:val="center"/>
              <w:rPr>
                <w:rFonts w:ascii="宋体" w:hAnsi="宋体" w:eastAsia="宋体" w:cs="宋体"/>
                <w:sz w:val="18"/>
                <w:szCs w:val="18"/>
              </w:rPr>
            </w:pPr>
            <w:r>
              <w:rPr>
                <w:rFonts w:hint="eastAsia" w:ascii="宋体" w:hAnsi="宋体" w:eastAsia="宋体" w:cs="宋体"/>
                <w:sz w:val="18"/>
                <w:szCs w:val="18"/>
              </w:rPr>
              <w:t>/</w:t>
            </w:r>
          </w:p>
        </w:tc>
        <w:tc>
          <w:tcPr>
            <w:tcW w:w="737"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3～15</w:t>
            </w:r>
          </w:p>
        </w:tc>
        <w:tc>
          <w:tcPr>
            <w:tcW w:w="964"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15～450</w:t>
            </w:r>
          </w:p>
        </w:tc>
        <w:tc>
          <w:tcPr>
            <w:tcW w:w="850" w:type="dxa"/>
            <w:tcBorders>
              <w:tl2br w:val="nil"/>
              <w:tr2bl w:val="nil"/>
            </w:tcBorders>
            <w:noWrap/>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低～重大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20" w:hRule="atLeast"/>
        </w:trPr>
        <w:tc>
          <w:tcPr>
            <w:tcW w:w="637" w:type="dxa"/>
            <w:tcBorders>
              <w:tl2br w:val="nil"/>
              <w:tr2bl w:val="nil"/>
            </w:tcBorders>
            <w:shd w:val="clear" w:color="auto" w:fill="auto"/>
            <w:noWrap/>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51</w:t>
            </w:r>
          </w:p>
        </w:tc>
        <w:tc>
          <w:tcPr>
            <w:tcW w:w="1033" w:type="dxa"/>
            <w:vMerge w:val="continue"/>
            <w:tcBorders>
              <w:top w:val="single" w:color="auto" w:sz="4" w:space="0"/>
              <w:bottom w:val="single" w:color="auto" w:sz="4" w:space="0"/>
              <w:tl2br w:val="nil"/>
              <w:tr2bl w:val="nil"/>
            </w:tcBorders>
            <w:shd w:val="clear" w:color="auto" w:fill="auto"/>
            <w:tcMar>
              <w:top w:w="15" w:type="dxa"/>
              <w:left w:w="15" w:type="dxa"/>
              <w:right w:w="15" w:type="dxa"/>
            </w:tcMar>
            <w:vAlign w:val="center"/>
          </w:tcPr>
          <w:p>
            <w:pPr>
              <w:snapToGrid w:val="0"/>
              <w:jc w:val="center"/>
              <w:rPr>
                <w:rFonts w:ascii="宋体" w:hAnsi="宋体" w:eastAsia="宋体" w:cs="宋体"/>
                <w:sz w:val="18"/>
                <w:szCs w:val="18"/>
              </w:rPr>
            </w:pPr>
          </w:p>
        </w:tc>
        <w:tc>
          <w:tcPr>
            <w:tcW w:w="1117" w:type="dxa"/>
            <w:vMerge w:val="continue"/>
            <w:tcBorders>
              <w:tl2br w:val="nil"/>
              <w:tr2bl w:val="nil"/>
            </w:tcBorders>
            <w:shd w:val="clear" w:color="auto" w:fill="auto"/>
            <w:tcMar>
              <w:top w:w="15" w:type="dxa"/>
              <w:left w:w="15" w:type="dxa"/>
              <w:right w:w="15" w:type="dxa"/>
            </w:tcMar>
            <w:vAlign w:val="center"/>
          </w:tcPr>
          <w:p>
            <w:pPr>
              <w:snapToGrid w:val="0"/>
              <w:jc w:val="center"/>
              <w:rPr>
                <w:rFonts w:ascii="宋体" w:hAnsi="宋体" w:eastAsia="宋体" w:cs="宋体"/>
                <w:sz w:val="18"/>
                <w:szCs w:val="18"/>
              </w:rPr>
            </w:pPr>
          </w:p>
        </w:tc>
        <w:tc>
          <w:tcPr>
            <w:tcW w:w="1517" w:type="dxa"/>
            <w:tcBorders>
              <w:tl2br w:val="nil"/>
              <w:tr2bl w:val="nil"/>
            </w:tcBorders>
            <w:shd w:val="clear" w:color="auto" w:fill="FFFFFF"/>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拦船索</w:t>
            </w:r>
          </w:p>
        </w:tc>
        <w:tc>
          <w:tcPr>
            <w:tcW w:w="2300" w:type="dxa"/>
            <w:tcBorders>
              <w:tl2br w:val="nil"/>
              <w:tr2bl w:val="nil"/>
            </w:tcBorders>
            <w:shd w:val="clear" w:color="auto" w:fill="FFFFFF"/>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设施损坏</w:t>
            </w:r>
          </w:p>
        </w:tc>
        <w:tc>
          <w:tcPr>
            <w:tcW w:w="2066"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船舶撞毁构筑物</w:t>
            </w:r>
          </w:p>
        </w:tc>
        <w:tc>
          <w:tcPr>
            <w:tcW w:w="850" w:type="dxa"/>
            <w:tcBorders>
              <w:tl2br w:val="nil"/>
              <w:tr2bl w:val="nil"/>
            </w:tcBorders>
            <w:noWrap/>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LS法</w:t>
            </w:r>
          </w:p>
        </w:tc>
        <w:tc>
          <w:tcPr>
            <w:tcW w:w="85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5～10</w:t>
            </w:r>
          </w:p>
        </w:tc>
        <w:tc>
          <w:tcPr>
            <w:tcW w:w="680" w:type="dxa"/>
            <w:tcBorders>
              <w:tl2br w:val="nil"/>
              <w:tr2bl w:val="nil"/>
            </w:tcBorders>
            <w:tcMar>
              <w:top w:w="15" w:type="dxa"/>
              <w:left w:w="15" w:type="dxa"/>
              <w:right w:w="15" w:type="dxa"/>
            </w:tcMar>
            <w:vAlign w:val="center"/>
          </w:tcPr>
          <w:p>
            <w:pPr>
              <w:snapToGrid w:val="0"/>
              <w:jc w:val="center"/>
              <w:rPr>
                <w:rFonts w:ascii="宋体" w:hAnsi="宋体" w:eastAsia="宋体" w:cs="宋体"/>
                <w:sz w:val="18"/>
                <w:szCs w:val="18"/>
              </w:rPr>
            </w:pPr>
            <w:r>
              <w:rPr>
                <w:rFonts w:hint="eastAsia" w:ascii="宋体" w:hAnsi="宋体" w:eastAsia="宋体" w:cs="宋体"/>
                <w:sz w:val="18"/>
                <w:szCs w:val="18"/>
              </w:rPr>
              <w:t>/</w:t>
            </w:r>
          </w:p>
        </w:tc>
        <w:tc>
          <w:tcPr>
            <w:tcW w:w="737"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3～15</w:t>
            </w:r>
          </w:p>
        </w:tc>
        <w:tc>
          <w:tcPr>
            <w:tcW w:w="964"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15～150</w:t>
            </w:r>
          </w:p>
        </w:tc>
        <w:tc>
          <w:tcPr>
            <w:tcW w:w="850" w:type="dxa"/>
            <w:tcBorders>
              <w:tl2br w:val="nil"/>
              <w:tr2bl w:val="nil"/>
            </w:tcBorders>
            <w:noWrap/>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低～一般</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20" w:hRule="atLeast"/>
        </w:trPr>
        <w:tc>
          <w:tcPr>
            <w:tcW w:w="637" w:type="dxa"/>
            <w:tcBorders>
              <w:tl2br w:val="nil"/>
              <w:tr2bl w:val="nil"/>
            </w:tcBorders>
            <w:noWrap/>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52</w:t>
            </w:r>
          </w:p>
        </w:tc>
        <w:tc>
          <w:tcPr>
            <w:tcW w:w="1033" w:type="dxa"/>
            <w:vMerge w:val="continue"/>
            <w:tcBorders>
              <w:top w:val="single" w:color="auto" w:sz="4" w:space="0"/>
              <w:bottom w:val="single" w:color="auto" w:sz="4" w:space="0"/>
              <w:tl2br w:val="nil"/>
              <w:tr2bl w:val="nil"/>
            </w:tcBorders>
            <w:tcMar>
              <w:top w:w="15" w:type="dxa"/>
              <w:left w:w="15" w:type="dxa"/>
              <w:right w:w="15" w:type="dxa"/>
            </w:tcMar>
            <w:vAlign w:val="center"/>
          </w:tcPr>
          <w:p>
            <w:pPr>
              <w:snapToGrid w:val="0"/>
              <w:jc w:val="center"/>
              <w:rPr>
                <w:rFonts w:ascii="宋体" w:hAnsi="宋体" w:eastAsia="宋体" w:cs="宋体"/>
                <w:sz w:val="18"/>
                <w:szCs w:val="18"/>
              </w:rPr>
            </w:pPr>
          </w:p>
        </w:tc>
        <w:tc>
          <w:tcPr>
            <w:tcW w:w="1117" w:type="dxa"/>
            <w:vMerge w:val="continue"/>
            <w:tcBorders>
              <w:tl2br w:val="nil"/>
              <w:tr2bl w:val="nil"/>
            </w:tcBorders>
            <w:tcMar>
              <w:top w:w="15" w:type="dxa"/>
              <w:left w:w="15" w:type="dxa"/>
              <w:right w:w="15" w:type="dxa"/>
            </w:tcMar>
            <w:vAlign w:val="center"/>
          </w:tcPr>
          <w:p>
            <w:pPr>
              <w:snapToGrid w:val="0"/>
              <w:jc w:val="center"/>
              <w:rPr>
                <w:rFonts w:ascii="宋体" w:hAnsi="宋体" w:eastAsia="宋体" w:cs="宋体"/>
                <w:sz w:val="18"/>
                <w:szCs w:val="18"/>
              </w:rPr>
            </w:pPr>
          </w:p>
        </w:tc>
        <w:tc>
          <w:tcPr>
            <w:tcW w:w="1517"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观测设施</w:t>
            </w:r>
          </w:p>
        </w:tc>
        <w:tc>
          <w:tcPr>
            <w:tcW w:w="230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设施损坏</w:t>
            </w:r>
          </w:p>
        </w:tc>
        <w:tc>
          <w:tcPr>
            <w:tcW w:w="2066"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影响工程调度运行</w:t>
            </w:r>
          </w:p>
        </w:tc>
        <w:tc>
          <w:tcPr>
            <w:tcW w:w="850" w:type="dxa"/>
            <w:tcBorders>
              <w:tl2br w:val="nil"/>
              <w:tr2bl w:val="nil"/>
            </w:tcBorders>
            <w:noWrap/>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LS法</w:t>
            </w:r>
          </w:p>
        </w:tc>
        <w:tc>
          <w:tcPr>
            <w:tcW w:w="85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5～30</w:t>
            </w:r>
          </w:p>
        </w:tc>
        <w:tc>
          <w:tcPr>
            <w:tcW w:w="680" w:type="dxa"/>
            <w:tcBorders>
              <w:tl2br w:val="nil"/>
              <w:tr2bl w:val="nil"/>
            </w:tcBorders>
            <w:tcMar>
              <w:top w:w="15" w:type="dxa"/>
              <w:left w:w="15" w:type="dxa"/>
              <w:right w:w="15" w:type="dxa"/>
            </w:tcMar>
            <w:vAlign w:val="center"/>
          </w:tcPr>
          <w:p>
            <w:pPr>
              <w:snapToGrid w:val="0"/>
              <w:jc w:val="center"/>
              <w:rPr>
                <w:rFonts w:ascii="宋体" w:hAnsi="宋体" w:eastAsia="宋体" w:cs="宋体"/>
                <w:sz w:val="18"/>
                <w:szCs w:val="18"/>
              </w:rPr>
            </w:pPr>
            <w:r>
              <w:rPr>
                <w:rFonts w:hint="eastAsia" w:ascii="宋体" w:hAnsi="宋体" w:eastAsia="宋体" w:cs="宋体"/>
                <w:sz w:val="18"/>
                <w:szCs w:val="18"/>
              </w:rPr>
              <w:t>/</w:t>
            </w:r>
          </w:p>
        </w:tc>
        <w:tc>
          <w:tcPr>
            <w:tcW w:w="737"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3～15</w:t>
            </w:r>
          </w:p>
        </w:tc>
        <w:tc>
          <w:tcPr>
            <w:tcW w:w="964"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15～450</w:t>
            </w:r>
          </w:p>
        </w:tc>
        <w:tc>
          <w:tcPr>
            <w:tcW w:w="850" w:type="dxa"/>
            <w:tcBorders>
              <w:tl2br w:val="nil"/>
              <w:tr2bl w:val="nil"/>
            </w:tcBorders>
            <w:noWrap/>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低～重大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20" w:hRule="atLeast"/>
        </w:trPr>
        <w:tc>
          <w:tcPr>
            <w:tcW w:w="637" w:type="dxa"/>
            <w:tcBorders>
              <w:bottom w:val="single" w:color="auto" w:sz="4" w:space="0"/>
              <w:tl2br w:val="nil"/>
              <w:tr2bl w:val="nil"/>
            </w:tcBorders>
            <w:noWrap/>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53</w:t>
            </w:r>
          </w:p>
        </w:tc>
        <w:tc>
          <w:tcPr>
            <w:tcW w:w="1033" w:type="dxa"/>
            <w:vMerge w:val="continue"/>
            <w:tcBorders>
              <w:top w:val="single" w:color="auto" w:sz="4" w:space="0"/>
              <w:bottom w:val="single" w:color="auto" w:sz="4" w:space="0"/>
              <w:tl2br w:val="nil"/>
              <w:tr2bl w:val="nil"/>
            </w:tcBorders>
            <w:tcMar>
              <w:top w:w="15" w:type="dxa"/>
              <w:left w:w="15" w:type="dxa"/>
              <w:right w:w="15" w:type="dxa"/>
            </w:tcMar>
            <w:vAlign w:val="center"/>
          </w:tcPr>
          <w:p>
            <w:pPr>
              <w:snapToGrid w:val="0"/>
              <w:jc w:val="center"/>
              <w:rPr>
                <w:rFonts w:ascii="宋体" w:hAnsi="宋体" w:eastAsia="宋体" w:cs="宋体"/>
                <w:sz w:val="18"/>
                <w:szCs w:val="18"/>
              </w:rPr>
            </w:pPr>
          </w:p>
        </w:tc>
        <w:tc>
          <w:tcPr>
            <w:tcW w:w="1117" w:type="dxa"/>
            <w:vMerge w:val="continue"/>
            <w:tcBorders>
              <w:bottom w:val="single" w:color="auto" w:sz="4" w:space="0"/>
              <w:tl2br w:val="nil"/>
              <w:tr2bl w:val="nil"/>
            </w:tcBorders>
            <w:tcMar>
              <w:top w:w="15" w:type="dxa"/>
              <w:left w:w="15" w:type="dxa"/>
              <w:right w:w="15" w:type="dxa"/>
            </w:tcMar>
            <w:vAlign w:val="center"/>
          </w:tcPr>
          <w:p>
            <w:pPr>
              <w:snapToGrid w:val="0"/>
              <w:jc w:val="center"/>
              <w:rPr>
                <w:rFonts w:ascii="宋体" w:hAnsi="宋体" w:eastAsia="宋体" w:cs="宋体"/>
                <w:sz w:val="18"/>
                <w:szCs w:val="18"/>
              </w:rPr>
            </w:pPr>
          </w:p>
        </w:tc>
        <w:tc>
          <w:tcPr>
            <w:tcW w:w="1517"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振动、摆度、温度等电气设备及水泵安全监测系统</w:t>
            </w:r>
          </w:p>
        </w:tc>
        <w:tc>
          <w:tcPr>
            <w:tcW w:w="230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功能失效</w:t>
            </w:r>
          </w:p>
        </w:tc>
        <w:tc>
          <w:tcPr>
            <w:tcW w:w="2066"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影响工程调度运行、防汛抢险</w:t>
            </w:r>
          </w:p>
        </w:tc>
        <w:tc>
          <w:tcPr>
            <w:tcW w:w="850" w:type="dxa"/>
            <w:tcBorders>
              <w:tl2br w:val="nil"/>
              <w:tr2bl w:val="nil"/>
            </w:tcBorders>
            <w:noWrap/>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LS法</w:t>
            </w:r>
          </w:p>
        </w:tc>
        <w:tc>
          <w:tcPr>
            <w:tcW w:w="85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5～30</w:t>
            </w:r>
          </w:p>
        </w:tc>
        <w:tc>
          <w:tcPr>
            <w:tcW w:w="680" w:type="dxa"/>
            <w:tcBorders>
              <w:tl2br w:val="nil"/>
              <w:tr2bl w:val="nil"/>
            </w:tcBorders>
            <w:tcMar>
              <w:top w:w="15" w:type="dxa"/>
              <w:left w:w="15" w:type="dxa"/>
              <w:right w:w="15" w:type="dxa"/>
            </w:tcMar>
            <w:vAlign w:val="center"/>
          </w:tcPr>
          <w:p>
            <w:pPr>
              <w:snapToGrid w:val="0"/>
              <w:jc w:val="center"/>
              <w:rPr>
                <w:rFonts w:ascii="宋体" w:hAnsi="宋体" w:eastAsia="宋体" w:cs="宋体"/>
                <w:sz w:val="18"/>
                <w:szCs w:val="18"/>
              </w:rPr>
            </w:pPr>
            <w:r>
              <w:rPr>
                <w:rFonts w:hint="eastAsia" w:ascii="宋体" w:hAnsi="宋体" w:eastAsia="宋体" w:cs="宋体"/>
                <w:sz w:val="18"/>
                <w:szCs w:val="18"/>
              </w:rPr>
              <w:t>/</w:t>
            </w:r>
          </w:p>
        </w:tc>
        <w:tc>
          <w:tcPr>
            <w:tcW w:w="737"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3～15</w:t>
            </w:r>
          </w:p>
        </w:tc>
        <w:tc>
          <w:tcPr>
            <w:tcW w:w="964"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15～450</w:t>
            </w:r>
          </w:p>
        </w:tc>
        <w:tc>
          <w:tcPr>
            <w:tcW w:w="850" w:type="dxa"/>
            <w:tcBorders>
              <w:tl2br w:val="nil"/>
              <w:tr2bl w:val="nil"/>
            </w:tcBorders>
            <w:noWrap/>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低～重大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20" w:hRule="atLeast"/>
        </w:trPr>
        <w:tc>
          <w:tcPr>
            <w:tcW w:w="637" w:type="dxa"/>
            <w:tcBorders>
              <w:top w:val="single" w:color="auto" w:sz="4" w:space="0"/>
              <w:tl2br w:val="nil"/>
              <w:tr2bl w:val="nil"/>
            </w:tcBorders>
            <w:noWrap/>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54</w:t>
            </w:r>
          </w:p>
        </w:tc>
        <w:tc>
          <w:tcPr>
            <w:tcW w:w="1033" w:type="dxa"/>
            <w:vMerge w:val="restart"/>
            <w:tcBorders>
              <w:top w:val="single" w:color="auto" w:sz="4" w:space="0"/>
              <w:tl2br w:val="nil"/>
              <w:tr2bl w:val="nil"/>
            </w:tcBorders>
            <w:tcMar>
              <w:top w:w="15" w:type="dxa"/>
              <w:left w:w="15" w:type="dxa"/>
              <w:right w:w="15" w:type="dxa"/>
            </w:tcMar>
            <w:vAlign w:val="center"/>
          </w:tcPr>
          <w:p>
            <w:pPr>
              <w:snapToGrid w:val="0"/>
              <w:jc w:val="center"/>
              <w:rPr>
                <w:rFonts w:ascii="宋体" w:hAnsi="宋体" w:eastAsia="宋体" w:cs="宋体"/>
                <w:sz w:val="18"/>
                <w:szCs w:val="18"/>
              </w:rPr>
            </w:pPr>
            <w:r>
              <w:rPr>
                <w:rFonts w:hint="eastAsia" w:ascii="宋体" w:hAnsi="宋体" w:eastAsia="宋体" w:cs="宋体"/>
                <w:sz w:val="18"/>
                <w:szCs w:val="18"/>
                <w:lang w:bidi="ar"/>
              </w:rPr>
              <w:t>设备设施类</w:t>
            </w:r>
          </w:p>
        </w:tc>
        <w:tc>
          <w:tcPr>
            <w:tcW w:w="1117" w:type="dxa"/>
            <w:vMerge w:val="restart"/>
            <w:tcBorders>
              <w:top w:val="single" w:color="auto" w:sz="4" w:space="0"/>
              <w:tl2br w:val="nil"/>
              <w:tr2bl w:val="nil"/>
            </w:tcBorders>
            <w:tcMar>
              <w:top w:w="15" w:type="dxa"/>
              <w:left w:w="15" w:type="dxa"/>
              <w:right w:w="15" w:type="dxa"/>
            </w:tcMar>
            <w:vAlign w:val="center"/>
          </w:tcPr>
          <w:p>
            <w:pPr>
              <w:snapToGrid w:val="0"/>
              <w:jc w:val="center"/>
              <w:rPr>
                <w:rFonts w:ascii="宋体" w:hAnsi="宋体" w:eastAsia="宋体" w:cs="宋体"/>
                <w:sz w:val="18"/>
                <w:szCs w:val="18"/>
              </w:rPr>
            </w:pPr>
            <w:r>
              <w:rPr>
                <w:rFonts w:hint="eastAsia" w:ascii="宋体" w:hAnsi="宋体" w:eastAsia="宋体" w:cs="宋体"/>
                <w:sz w:val="18"/>
                <w:szCs w:val="18"/>
                <w:lang w:bidi="ar"/>
              </w:rPr>
              <w:t>管理设施</w:t>
            </w:r>
          </w:p>
        </w:tc>
        <w:tc>
          <w:tcPr>
            <w:tcW w:w="1517"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变形、渗流、应力应变、温度、地震等安全监测系统</w:t>
            </w:r>
          </w:p>
        </w:tc>
        <w:tc>
          <w:tcPr>
            <w:tcW w:w="230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功能失效</w:t>
            </w:r>
          </w:p>
        </w:tc>
        <w:tc>
          <w:tcPr>
            <w:tcW w:w="2066"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不能及时发现工程隐患或险情</w:t>
            </w:r>
          </w:p>
        </w:tc>
        <w:tc>
          <w:tcPr>
            <w:tcW w:w="850" w:type="dxa"/>
            <w:tcBorders>
              <w:tl2br w:val="nil"/>
              <w:tr2bl w:val="nil"/>
            </w:tcBorders>
            <w:noWrap/>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LS法</w:t>
            </w:r>
          </w:p>
        </w:tc>
        <w:tc>
          <w:tcPr>
            <w:tcW w:w="85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5～30</w:t>
            </w:r>
          </w:p>
        </w:tc>
        <w:tc>
          <w:tcPr>
            <w:tcW w:w="680" w:type="dxa"/>
            <w:tcBorders>
              <w:tl2br w:val="nil"/>
              <w:tr2bl w:val="nil"/>
            </w:tcBorders>
            <w:tcMar>
              <w:top w:w="15" w:type="dxa"/>
              <w:left w:w="15" w:type="dxa"/>
              <w:right w:w="15" w:type="dxa"/>
            </w:tcMar>
            <w:vAlign w:val="center"/>
          </w:tcPr>
          <w:p>
            <w:pPr>
              <w:snapToGrid w:val="0"/>
              <w:jc w:val="center"/>
              <w:rPr>
                <w:rFonts w:ascii="宋体" w:hAnsi="宋体" w:eastAsia="宋体" w:cs="宋体"/>
                <w:sz w:val="18"/>
                <w:szCs w:val="18"/>
              </w:rPr>
            </w:pPr>
            <w:r>
              <w:rPr>
                <w:rFonts w:hint="eastAsia" w:ascii="宋体" w:hAnsi="宋体" w:eastAsia="宋体" w:cs="宋体"/>
                <w:sz w:val="18"/>
                <w:szCs w:val="18"/>
              </w:rPr>
              <w:t>/</w:t>
            </w:r>
          </w:p>
        </w:tc>
        <w:tc>
          <w:tcPr>
            <w:tcW w:w="737"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3～15</w:t>
            </w:r>
          </w:p>
        </w:tc>
        <w:tc>
          <w:tcPr>
            <w:tcW w:w="964"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15～450</w:t>
            </w:r>
          </w:p>
        </w:tc>
        <w:tc>
          <w:tcPr>
            <w:tcW w:w="850" w:type="dxa"/>
            <w:tcBorders>
              <w:tl2br w:val="nil"/>
              <w:tr2bl w:val="nil"/>
            </w:tcBorders>
            <w:noWrap/>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低～重大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20" w:hRule="atLeast"/>
        </w:trPr>
        <w:tc>
          <w:tcPr>
            <w:tcW w:w="637" w:type="dxa"/>
            <w:tcBorders>
              <w:tl2br w:val="nil"/>
              <w:tr2bl w:val="nil"/>
            </w:tcBorders>
            <w:noWrap/>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55</w:t>
            </w:r>
          </w:p>
        </w:tc>
        <w:tc>
          <w:tcPr>
            <w:tcW w:w="1033" w:type="dxa"/>
            <w:vMerge w:val="continue"/>
            <w:tcBorders>
              <w:top w:val="single" w:color="auto" w:sz="4" w:space="0"/>
              <w:bottom w:val="single" w:color="auto" w:sz="4" w:space="0"/>
              <w:tl2br w:val="nil"/>
              <w:tr2bl w:val="nil"/>
            </w:tcBorders>
            <w:tcMar>
              <w:top w:w="15" w:type="dxa"/>
              <w:left w:w="15" w:type="dxa"/>
              <w:right w:w="15" w:type="dxa"/>
            </w:tcMar>
            <w:vAlign w:val="center"/>
          </w:tcPr>
          <w:p>
            <w:pPr>
              <w:snapToGrid w:val="0"/>
              <w:jc w:val="center"/>
              <w:rPr>
                <w:rFonts w:ascii="宋体" w:hAnsi="宋体" w:eastAsia="宋体" w:cs="宋体"/>
                <w:sz w:val="18"/>
                <w:szCs w:val="18"/>
              </w:rPr>
            </w:pPr>
          </w:p>
        </w:tc>
        <w:tc>
          <w:tcPr>
            <w:tcW w:w="1117" w:type="dxa"/>
            <w:vMerge w:val="continue"/>
            <w:tcBorders>
              <w:tl2br w:val="nil"/>
              <w:tr2bl w:val="nil"/>
            </w:tcBorders>
            <w:tcMar>
              <w:top w:w="15" w:type="dxa"/>
              <w:left w:w="15" w:type="dxa"/>
              <w:right w:w="15" w:type="dxa"/>
            </w:tcMar>
            <w:vAlign w:val="center"/>
          </w:tcPr>
          <w:p>
            <w:pPr>
              <w:snapToGrid w:val="0"/>
              <w:jc w:val="center"/>
              <w:rPr>
                <w:rFonts w:ascii="宋体" w:hAnsi="宋体" w:eastAsia="宋体" w:cs="宋体"/>
                <w:sz w:val="18"/>
                <w:szCs w:val="18"/>
              </w:rPr>
            </w:pPr>
          </w:p>
        </w:tc>
        <w:tc>
          <w:tcPr>
            <w:tcW w:w="1517"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通信及预警设施</w:t>
            </w:r>
          </w:p>
        </w:tc>
        <w:tc>
          <w:tcPr>
            <w:tcW w:w="230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设施损坏</w:t>
            </w:r>
          </w:p>
        </w:tc>
        <w:tc>
          <w:tcPr>
            <w:tcW w:w="2066"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影响工程调度运行</w:t>
            </w:r>
          </w:p>
        </w:tc>
        <w:tc>
          <w:tcPr>
            <w:tcW w:w="850" w:type="dxa"/>
            <w:tcBorders>
              <w:tl2br w:val="nil"/>
              <w:tr2bl w:val="nil"/>
            </w:tcBorders>
            <w:noWrap/>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LS法</w:t>
            </w:r>
          </w:p>
        </w:tc>
        <w:tc>
          <w:tcPr>
            <w:tcW w:w="85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5～30</w:t>
            </w:r>
          </w:p>
        </w:tc>
        <w:tc>
          <w:tcPr>
            <w:tcW w:w="680" w:type="dxa"/>
            <w:tcBorders>
              <w:tl2br w:val="nil"/>
              <w:tr2bl w:val="nil"/>
            </w:tcBorders>
            <w:tcMar>
              <w:top w:w="15" w:type="dxa"/>
              <w:left w:w="15" w:type="dxa"/>
              <w:right w:w="15" w:type="dxa"/>
            </w:tcMar>
            <w:vAlign w:val="center"/>
          </w:tcPr>
          <w:p>
            <w:pPr>
              <w:snapToGrid w:val="0"/>
              <w:jc w:val="center"/>
              <w:rPr>
                <w:rFonts w:ascii="宋体" w:hAnsi="宋体" w:eastAsia="宋体" w:cs="宋体"/>
                <w:sz w:val="18"/>
                <w:szCs w:val="18"/>
              </w:rPr>
            </w:pPr>
            <w:r>
              <w:rPr>
                <w:rFonts w:hint="eastAsia" w:ascii="宋体" w:hAnsi="宋体" w:eastAsia="宋体" w:cs="宋体"/>
                <w:sz w:val="18"/>
                <w:szCs w:val="18"/>
              </w:rPr>
              <w:t>/</w:t>
            </w:r>
          </w:p>
        </w:tc>
        <w:tc>
          <w:tcPr>
            <w:tcW w:w="737"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3～15</w:t>
            </w:r>
          </w:p>
        </w:tc>
        <w:tc>
          <w:tcPr>
            <w:tcW w:w="964"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15～450</w:t>
            </w:r>
          </w:p>
        </w:tc>
        <w:tc>
          <w:tcPr>
            <w:tcW w:w="850" w:type="dxa"/>
            <w:tcBorders>
              <w:tl2br w:val="nil"/>
              <w:tr2bl w:val="nil"/>
            </w:tcBorders>
            <w:noWrap/>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低～重大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20" w:hRule="atLeast"/>
        </w:trPr>
        <w:tc>
          <w:tcPr>
            <w:tcW w:w="637" w:type="dxa"/>
            <w:tcBorders>
              <w:tl2br w:val="nil"/>
              <w:tr2bl w:val="nil"/>
            </w:tcBorders>
            <w:noWrap/>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56</w:t>
            </w:r>
          </w:p>
        </w:tc>
        <w:tc>
          <w:tcPr>
            <w:tcW w:w="1033" w:type="dxa"/>
            <w:vMerge w:val="continue"/>
            <w:tcBorders>
              <w:top w:val="single" w:color="auto" w:sz="4" w:space="0"/>
              <w:bottom w:val="single" w:color="auto" w:sz="4" w:space="0"/>
              <w:tl2br w:val="nil"/>
              <w:tr2bl w:val="nil"/>
            </w:tcBorders>
            <w:tcMar>
              <w:top w:w="15" w:type="dxa"/>
              <w:left w:w="15" w:type="dxa"/>
              <w:right w:w="15" w:type="dxa"/>
            </w:tcMar>
            <w:vAlign w:val="center"/>
          </w:tcPr>
          <w:p>
            <w:pPr>
              <w:snapToGrid w:val="0"/>
              <w:jc w:val="center"/>
              <w:rPr>
                <w:rFonts w:ascii="宋体" w:hAnsi="宋体" w:eastAsia="宋体" w:cs="宋体"/>
                <w:sz w:val="18"/>
                <w:szCs w:val="18"/>
              </w:rPr>
            </w:pPr>
          </w:p>
        </w:tc>
        <w:tc>
          <w:tcPr>
            <w:tcW w:w="1117" w:type="dxa"/>
            <w:vMerge w:val="continue"/>
            <w:tcBorders>
              <w:tl2br w:val="nil"/>
              <w:tr2bl w:val="nil"/>
            </w:tcBorders>
            <w:tcMar>
              <w:top w:w="15" w:type="dxa"/>
              <w:left w:w="15" w:type="dxa"/>
              <w:right w:w="15" w:type="dxa"/>
            </w:tcMar>
            <w:vAlign w:val="center"/>
          </w:tcPr>
          <w:p>
            <w:pPr>
              <w:snapToGrid w:val="0"/>
              <w:jc w:val="center"/>
              <w:rPr>
                <w:rFonts w:ascii="宋体" w:hAnsi="宋体" w:eastAsia="宋体" w:cs="宋体"/>
                <w:sz w:val="18"/>
                <w:szCs w:val="18"/>
              </w:rPr>
            </w:pPr>
          </w:p>
        </w:tc>
        <w:tc>
          <w:tcPr>
            <w:tcW w:w="1517"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闸门远程控制系统</w:t>
            </w:r>
          </w:p>
        </w:tc>
        <w:tc>
          <w:tcPr>
            <w:tcW w:w="230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功能失效</w:t>
            </w:r>
          </w:p>
        </w:tc>
        <w:tc>
          <w:tcPr>
            <w:tcW w:w="2066"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影响闸门启闭、工程调度运行</w:t>
            </w:r>
          </w:p>
        </w:tc>
        <w:tc>
          <w:tcPr>
            <w:tcW w:w="850" w:type="dxa"/>
            <w:tcBorders>
              <w:tl2br w:val="nil"/>
              <w:tr2bl w:val="nil"/>
            </w:tcBorders>
            <w:noWrap/>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LS法</w:t>
            </w:r>
          </w:p>
        </w:tc>
        <w:tc>
          <w:tcPr>
            <w:tcW w:w="85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5～30</w:t>
            </w:r>
          </w:p>
        </w:tc>
        <w:tc>
          <w:tcPr>
            <w:tcW w:w="680" w:type="dxa"/>
            <w:tcBorders>
              <w:tl2br w:val="nil"/>
              <w:tr2bl w:val="nil"/>
            </w:tcBorders>
            <w:tcMar>
              <w:top w:w="15" w:type="dxa"/>
              <w:left w:w="15" w:type="dxa"/>
              <w:right w:w="15" w:type="dxa"/>
            </w:tcMar>
            <w:vAlign w:val="center"/>
          </w:tcPr>
          <w:p>
            <w:pPr>
              <w:snapToGrid w:val="0"/>
              <w:jc w:val="center"/>
              <w:rPr>
                <w:rFonts w:ascii="宋体" w:hAnsi="宋体" w:eastAsia="宋体" w:cs="宋体"/>
                <w:sz w:val="18"/>
                <w:szCs w:val="18"/>
              </w:rPr>
            </w:pPr>
            <w:r>
              <w:rPr>
                <w:rFonts w:hint="eastAsia" w:ascii="宋体" w:hAnsi="宋体" w:eastAsia="宋体" w:cs="宋体"/>
                <w:sz w:val="18"/>
                <w:szCs w:val="18"/>
              </w:rPr>
              <w:t>/</w:t>
            </w:r>
          </w:p>
        </w:tc>
        <w:tc>
          <w:tcPr>
            <w:tcW w:w="737"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3～15</w:t>
            </w:r>
          </w:p>
        </w:tc>
        <w:tc>
          <w:tcPr>
            <w:tcW w:w="964"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15～450</w:t>
            </w:r>
          </w:p>
        </w:tc>
        <w:tc>
          <w:tcPr>
            <w:tcW w:w="850" w:type="dxa"/>
            <w:tcBorders>
              <w:tl2br w:val="nil"/>
              <w:tr2bl w:val="nil"/>
            </w:tcBorders>
            <w:noWrap/>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低～重大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20" w:hRule="atLeast"/>
        </w:trPr>
        <w:tc>
          <w:tcPr>
            <w:tcW w:w="637" w:type="dxa"/>
            <w:tcBorders>
              <w:tl2br w:val="nil"/>
              <w:tr2bl w:val="nil"/>
            </w:tcBorders>
            <w:noWrap/>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57</w:t>
            </w:r>
          </w:p>
        </w:tc>
        <w:tc>
          <w:tcPr>
            <w:tcW w:w="1033" w:type="dxa"/>
            <w:vMerge w:val="continue"/>
            <w:tcBorders>
              <w:top w:val="single" w:color="auto" w:sz="4" w:space="0"/>
              <w:bottom w:val="single" w:color="auto" w:sz="4" w:space="0"/>
              <w:tl2br w:val="nil"/>
              <w:tr2bl w:val="nil"/>
            </w:tcBorders>
            <w:tcMar>
              <w:top w:w="15" w:type="dxa"/>
              <w:left w:w="15" w:type="dxa"/>
              <w:right w:w="15" w:type="dxa"/>
            </w:tcMar>
            <w:vAlign w:val="center"/>
          </w:tcPr>
          <w:p>
            <w:pPr>
              <w:snapToGrid w:val="0"/>
              <w:jc w:val="center"/>
              <w:rPr>
                <w:rFonts w:ascii="宋体" w:hAnsi="宋体" w:eastAsia="宋体" w:cs="宋体"/>
                <w:sz w:val="18"/>
                <w:szCs w:val="18"/>
              </w:rPr>
            </w:pPr>
          </w:p>
        </w:tc>
        <w:tc>
          <w:tcPr>
            <w:tcW w:w="1117" w:type="dxa"/>
            <w:vMerge w:val="continue"/>
            <w:tcBorders>
              <w:tl2br w:val="nil"/>
              <w:tr2bl w:val="nil"/>
            </w:tcBorders>
            <w:tcMar>
              <w:top w:w="15" w:type="dxa"/>
              <w:left w:w="15" w:type="dxa"/>
              <w:right w:w="15" w:type="dxa"/>
            </w:tcMar>
            <w:vAlign w:val="center"/>
          </w:tcPr>
          <w:p>
            <w:pPr>
              <w:snapToGrid w:val="0"/>
              <w:jc w:val="center"/>
              <w:rPr>
                <w:rFonts w:ascii="宋体" w:hAnsi="宋体" w:eastAsia="宋体" w:cs="宋体"/>
                <w:sz w:val="18"/>
                <w:szCs w:val="18"/>
              </w:rPr>
            </w:pPr>
          </w:p>
        </w:tc>
        <w:tc>
          <w:tcPr>
            <w:tcW w:w="1517"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网络设施</w:t>
            </w:r>
          </w:p>
        </w:tc>
        <w:tc>
          <w:tcPr>
            <w:tcW w:w="230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设施损坏</w:t>
            </w:r>
          </w:p>
        </w:tc>
        <w:tc>
          <w:tcPr>
            <w:tcW w:w="2066"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影响闸门启闭、工程调度运行、安全监测数据传输</w:t>
            </w:r>
          </w:p>
        </w:tc>
        <w:tc>
          <w:tcPr>
            <w:tcW w:w="850" w:type="dxa"/>
            <w:tcBorders>
              <w:tl2br w:val="nil"/>
              <w:tr2bl w:val="nil"/>
            </w:tcBorders>
            <w:noWrap/>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LS法</w:t>
            </w:r>
          </w:p>
        </w:tc>
        <w:tc>
          <w:tcPr>
            <w:tcW w:w="85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5～30</w:t>
            </w:r>
          </w:p>
        </w:tc>
        <w:tc>
          <w:tcPr>
            <w:tcW w:w="680" w:type="dxa"/>
            <w:tcBorders>
              <w:tl2br w:val="nil"/>
              <w:tr2bl w:val="nil"/>
            </w:tcBorders>
            <w:tcMar>
              <w:top w:w="15" w:type="dxa"/>
              <w:left w:w="15" w:type="dxa"/>
              <w:right w:w="15" w:type="dxa"/>
            </w:tcMar>
            <w:vAlign w:val="center"/>
          </w:tcPr>
          <w:p>
            <w:pPr>
              <w:snapToGrid w:val="0"/>
              <w:jc w:val="center"/>
              <w:rPr>
                <w:rFonts w:ascii="宋体" w:hAnsi="宋体" w:eastAsia="宋体" w:cs="宋体"/>
                <w:sz w:val="18"/>
                <w:szCs w:val="18"/>
              </w:rPr>
            </w:pPr>
            <w:r>
              <w:rPr>
                <w:rFonts w:hint="eastAsia" w:ascii="宋体" w:hAnsi="宋体" w:eastAsia="宋体" w:cs="宋体"/>
                <w:sz w:val="18"/>
                <w:szCs w:val="18"/>
              </w:rPr>
              <w:t>/</w:t>
            </w:r>
          </w:p>
        </w:tc>
        <w:tc>
          <w:tcPr>
            <w:tcW w:w="737"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3～15</w:t>
            </w:r>
          </w:p>
        </w:tc>
        <w:tc>
          <w:tcPr>
            <w:tcW w:w="964"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15～450</w:t>
            </w:r>
          </w:p>
        </w:tc>
        <w:tc>
          <w:tcPr>
            <w:tcW w:w="850" w:type="dxa"/>
            <w:tcBorders>
              <w:tl2br w:val="nil"/>
              <w:tr2bl w:val="nil"/>
            </w:tcBorders>
            <w:noWrap/>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低～重大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20" w:hRule="atLeast"/>
        </w:trPr>
        <w:tc>
          <w:tcPr>
            <w:tcW w:w="637" w:type="dxa"/>
            <w:tcBorders>
              <w:tl2br w:val="nil"/>
              <w:tr2bl w:val="nil"/>
            </w:tcBorders>
            <w:noWrap/>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58</w:t>
            </w:r>
          </w:p>
        </w:tc>
        <w:tc>
          <w:tcPr>
            <w:tcW w:w="1033" w:type="dxa"/>
            <w:vMerge w:val="continue"/>
            <w:tcBorders>
              <w:top w:val="single" w:color="auto" w:sz="4" w:space="0"/>
              <w:bottom w:val="single" w:color="auto" w:sz="4" w:space="0"/>
              <w:tl2br w:val="nil"/>
              <w:tr2bl w:val="nil"/>
            </w:tcBorders>
            <w:tcMar>
              <w:top w:w="15" w:type="dxa"/>
              <w:left w:w="15" w:type="dxa"/>
              <w:right w:w="15" w:type="dxa"/>
            </w:tcMar>
            <w:vAlign w:val="center"/>
          </w:tcPr>
          <w:p>
            <w:pPr>
              <w:snapToGrid w:val="0"/>
              <w:jc w:val="center"/>
              <w:rPr>
                <w:rFonts w:ascii="宋体" w:hAnsi="宋体" w:eastAsia="宋体" w:cs="宋体"/>
                <w:sz w:val="18"/>
                <w:szCs w:val="18"/>
              </w:rPr>
            </w:pPr>
          </w:p>
        </w:tc>
        <w:tc>
          <w:tcPr>
            <w:tcW w:w="1117" w:type="dxa"/>
            <w:vMerge w:val="continue"/>
            <w:tcBorders>
              <w:tl2br w:val="nil"/>
              <w:tr2bl w:val="nil"/>
            </w:tcBorders>
            <w:tcMar>
              <w:top w:w="15" w:type="dxa"/>
              <w:left w:w="15" w:type="dxa"/>
              <w:right w:w="15" w:type="dxa"/>
            </w:tcMar>
            <w:vAlign w:val="center"/>
          </w:tcPr>
          <w:p>
            <w:pPr>
              <w:snapToGrid w:val="0"/>
              <w:jc w:val="center"/>
              <w:rPr>
                <w:rFonts w:ascii="宋体" w:hAnsi="宋体" w:eastAsia="宋体" w:cs="宋体"/>
                <w:sz w:val="18"/>
                <w:szCs w:val="18"/>
              </w:rPr>
            </w:pPr>
          </w:p>
        </w:tc>
        <w:tc>
          <w:tcPr>
            <w:tcW w:w="1517"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防汛抢险照明设施</w:t>
            </w:r>
          </w:p>
        </w:tc>
        <w:tc>
          <w:tcPr>
            <w:tcW w:w="230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设施损坏</w:t>
            </w:r>
          </w:p>
        </w:tc>
        <w:tc>
          <w:tcPr>
            <w:tcW w:w="2066"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影响夜间防汛抢险</w:t>
            </w:r>
          </w:p>
        </w:tc>
        <w:tc>
          <w:tcPr>
            <w:tcW w:w="850" w:type="dxa"/>
            <w:tcBorders>
              <w:tl2br w:val="nil"/>
              <w:tr2bl w:val="nil"/>
            </w:tcBorders>
            <w:noWrap/>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LS法</w:t>
            </w:r>
          </w:p>
        </w:tc>
        <w:tc>
          <w:tcPr>
            <w:tcW w:w="85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5～10</w:t>
            </w:r>
          </w:p>
        </w:tc>
        <w:tc>
          <w:tcPr>
            <w:tcW w:w="680" w:type="dxa"/>
            <w:tcBorders>
              <w:tl2br w:val="nil"/>
              <w:tr2bl w:val="nil"/>
            </w:tcBorders>
            <w:tcMar>
              <w:top w:w="15" w:type="dxa"/>
              <w:left w:w="15" w:type="dxa"/>
              <w:right w:w="15" w:type="dxa"/>
            </w:tcMar>
            <w:vAlign w:val="center"/>
          </w:tcPr>
          <w:p>
            <w:pPr>
              <w:snapToGrid w:val="0"/>
              <w:jc w:val="center"/>
              <w:rPr>
                <w:rFonts w:ascii="宋体" w:hAnsi="宋体" w:eastAsia="宋体" w:cs="宋体"/>
                <w:sz w:val="18"/>
                <w:szCs w:val="18"/>
              </w:rPr>
            </w:pPr>
            <w:r>
              <w:rPr>
                <w:rFonts w:hint="eastAsia" w:ascii="宋体" w:hAnsi="宋体" w:eastAsia="宋体" w:cs="宋体"/>
                <w:sz w:val="18"/>
                <w:szCs w:val="18"/>
              </w:rPr>
              <w:t>/</w:t>
            </w:r>
          </w:p>
        </w:tc>
        <w:tc>
          <w:tcPr>
            <w:tcW w:w="737"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3～15</w:t>
            </w:r>
          </w:p>
        </w:tc>
        <w:tc>
          <w:tcPr>
            <w:tcW w:w="964"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15～150</w:t>
            </w:r>
          </w:p>
        </w:tc>
        <w:tc>
          <w:tcPr>
            <w:tcW w:w="850" w:type="dxa"/>
            <w:tcBorders>
              <w:tl2br w:val="nil"/>
              <w:tr2bl w:val="nil"/>
            </w:tcBorders>
            <w:noWrap/>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低～一般</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20" w:hRule="atLeast"/>
        </w:trPr>
        <w:tc>
          <w:tcPr>
            <w:tcW w:w="637" w:type="dxa"/>
            <w:tcBorders>
              <w:tl2br w:val="nil"/>
              <w:tr2bl w:val="nil"/>
            </w:tcBorders>
            <w:noWrap/>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59</w:t>
            </w:r>
          </w:p>
        </w:tc>
        <w:tc>
          <w:tcPr>
            <w:tcW w:w="1033" w:type="dxa"/>
            <w:vMerge w:val="continue"/>
            <w:tcBorders>
              <w:top w:val="single" w:color="auto" w:sz="4" w:space="0"/>
              <w:bottom w:val="single" w:color="auto" w:sz="4" w:space="0"/>
              <w:tl2br w:val="nil"/>
              <w:tr2bl w:val="nil"/>
            </w:tcBorders>
            <w:tcMar>
              <w:top w:w="15" w:type="dxa"/>
              <w:left w:w="15" w:type="dxa"/>
              <w:right w:w="15" w:type="dxa"/>
            </w:tcMar>
            <w:vAlign w:val="center"/>
          </w:tcPr>
          <w:p>
            <w:pPr>
              <w:snapToGrid w:val="0"/>
              <w:jc w:val="center"/>
              <w:rPr>
                <w:rFonts w:ascii="宋体" w:hAnsi="宋体" w:eastAsia="宋体" w:cs="宋体"/>
                <w:sz w:val="18"/>
                <w:szCs w:val="18"/>
              </w:rPr>
            </w:pPr>
          </w:p>
        </w:tc>
        <w:tc>
          <w:tcPr>
            <w:tcW w:w="1117" w:type="dxa"/>
            <w:vMerge w:val="continue"/>
            <w:tcBorders>
              <w:tl2br w:val="nil"/>
              <w:tr2bl w:val="nil"/>
            </w:tcBorders>
            <w:tcMar>
              <w:top w:w="15" w:type="dxa"/>
              <w:left w:w="15" w:type="dxa"/>
              <w:right w:w="15" w:type="dxa"/>
            </w:tcMar>
            <w:vAlign w:val="center"/>
          </w:tcPr>
          <w:p>
            <w:pPr>
              <w:snapToGrid w:val="0"/>
              <w:jc w:val="center"/>
              <w:rPr>
                <w:rFonts w:ascii="宋体" w:hAnsi="宋体" w:eastAsia="宋体" w:cs="宋体"/>
                <w:sz w:val="18"/>
                <w:szCs w:val="18"/>
              </w:rPr>
            </w:pPr>
          </w:p>
        </w:tc>
        <w:tc>
          <w:tcPr>
            <w:tcW w:w="1517"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消防设施</w:t>
            </w:r>
          </w:p>
        </w:tc>
        <w:tc>
          <w:tcPr>
            <w:tcW w:w="230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设施损坏、过期或失效</w:t>
            </w:r>
          </w:p>
        </w:tc>
        <w:tc>
          <w:tcPr>
            <w:tcW w:w="2066"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不能及时预警、不能正常发挥灭火功能</w:t>
            </w:r>
          </w:p>
        </w:tc>
        <w:tc>
          <w:tcPr>
            <w:tcW w:w="850" w:type="dxa"/>
            <w:tcBorders>
              <w:tl2br w:val="nil"/>
              <w:tr2bl w:val="nil"/>
            </w:tcBorders>
            <w:noWrap/>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LS法</w:t>
            </w:r>
          </w:p>
        </w:tc>
        <w:tc>
          <w:tcPr>
            <w:tcW w:w="85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5～30</w:t>
            </w:r>
          </w:p>
        </w:tc>
        <w:tc>
          <w:tcPr>
            <w:tcW w:w="680" w:type="dxa"/>
            <w:tcBorders>
              <w:tl2br w:val="nil"/>
              <w:tr2bl w:val="nil"/>
            </w:tcBorders>
            <w:tcMar>
              <w:top w:w="15" w:type="dxa"/>
              <w:left w:w="15" w:type="dxa"/>
              <w:right w:w="15" w:type="dxa"/>
            </w:tcMar>
            <w:vAlign w:val="center"/>
          </w:tcPr>
          <w:p>
            <w:pPr>
              <w:snapToGrid w:val="0"/>
              <w:jc w:val="center"/>
              <w:rPr>
                <w:rFonts w:ascii="宋体" w:hAnsi="宋体" w:eastAsia="宋体" w:cs="宋体"/>
                <w:sz w:val="18"/>
                <w:szCs w:val="18"/>
              </w:rPr>
            </w:pPr>
            <w:r>
              <w:rPr>
                <w:rFonts w:hint="eastAsia" w:ascii="宋体" w:hAnsi="宋体" w:eastAsia="宋体" w:cs="宋体"/>
                <w:sz w:val="18"/>
                <w:szCs w:val="18"/>
              </w:rPr>
              <w:t>/</w:t>
            </w:r>
          </w:p>
        </w:tc>
        <w:tc>
          <w:tcPr>
            <w:tcW w:w="737"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3～15</w:t>
            </w:r>
          </w:p>
        </w:tc>
        <w:tc>
          <w:tcPr>
            <w:tcW w:w="964"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15～450</w:t>
            </w:r>
          </w:p>
        </w:tc>
        <w:tc>
          <w:tcPr>
            <w:tcW w:w="850" w:type="dxa"/>
            <w:tcBorders>
              <w:tl2br w:val="nil"/>
              <w:tr2bl w:val="nil"/>
            </w:tcBorders>
            <w:noWrap/>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低～重大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20" w:hRule="atLeast"/>
        </w:trPr>
        <w:tc>
          <w:tcPr>
            <w:tcW w:w="637" w:type="dxa"/>
            <w:tcBorders>
              <w:tl2br w:val="nil"/>
              <w:tr2bl w:val="nil"/>
            </w:tcBorders>
            <w:shd w:val="clear" w:color="auto" w:fill="auto"/>
            <w:noWrap/>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60</w:t>
            </w:r>
          </w:p>
        </w:tc>
        <w:tc>
          <w:tcPr>
            <w:tcW w:w="1033" w:type="dxa"/>
            <w:vMerge w:val="continue"/>
            <w:tcBorders>
              <w:top w:val="single" w:color="auto" w:sz="4" w:space="0"/>
              <w:bottom w:val="single" w:color="auto" w:sz="4" w:space="0"/>
              <w:tl2br w:val="nil"/>
              <w:tr2bl w:val="nil"/>
            </w:tcBorders>
            <w:shd w:val="clear" w:color="auto" w:fill="auto"/>
            <w:tcMar>
              <w:top w:w="15" w:type="dxa"/>
              <w:left w:w="15" w:type="dxa"/>
              <w:right w:w="15" w:type="dxa"/>
            </w:tcMar>
            <w:vAlign w:val="center"/>
          </w:tcPr>
          <w:p>
            <w:pPr>
              <w:snapToGrid w:val="0"/>
              <w:jc w:val="center"/>
              <w:rPr>
                <w:rFonts w:ascii="宋体" w:hAnsi="宋体" w:eastAsia="宋体" w:cs="宋体"/>
                <w:sz w:val="18"/>
                <w:szCs w:val="18"/>
              </w:rPr>
            </w:pPr>
          </w:p>
        </w:tc>
        <w:tc>
          <w:tcPr>
            <w:tcW w:w="1117" w:type="dxa"/>
            <w:vMerge w:val="continue"/>
            <w:tcBorders>
              <w:tl2br w:val="nil"/>
              <w:tr2bl w:val="nil"/>
            </w:tcBorders>
            <w:shd w:val="clear" w:color="auto" w:fill="auto"/>
            <w:tcMar>
              <w:top w:w="15" w:type="dxa"/>
              <w:left w:w="15" w:type="dxa"/>
              <w:right w:w="15" w:type="dxa"/>
            </w:tcMar>
            <w:vAlign w:val="center"/>
          </w:tcPr>
          <w:p>
            <w:pPr>
              <w:snapToGrid w:val="0"/>
              <w:rPr>
                <w:rFonts w:ascii="宋体" w:hAnsi="宋体" w:eastAsia="宋体" w:cs="宋体"/>
                <w:sz w:val="18"/>
                <w:szCs w:val="18"/>
              </w:rPr>
            </w:pPr>
          </w:p>
        </w:tc>
        <w:tc>
          <w:tcPr>
            <w:tcW w:w="1517" w:type="dxa"/>
            <w:tcBorders>
              <w:tl2br w:val="nil"/>
              <w:tr2bl w:val="nil"/>
            </w:tcBorders>
            <w:shd w:val="clear" w:color="auto" w:fill="FFFFFF"/>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防雷保护系统</w:t>
            </w:r>
          </w:p>
        </w:tc>
        <w:tc>
          <w:tcPr>
            <w:tcW w:w="2300" w:type="dxa"/>
            <w:tcBorders>
              <w:tl2br w:val="nil"/>
              <w:tr2bl w:val="nil"/>
            </w:tcBorders>
            <w:shd w:val="clear" w:color="auto" w:fill="FFFFFF"/>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功能失效</w:t>
            </w:r>
          </w:p>
        </w:tc>
        <w:tc>
          <w:tcPr>
            <w:tcW w:w="2066" w:type="dxa"/>
            <w:tcBorders>
              <w:tl2br w:val="nil"/>
              <w:tr2bl w:val="nil"/>
            </w:tcBorders>
            <w:shd w:val="clear" w:color="auto" w:fill="FFFFFF"/>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电气系统损坏，影响工程运行安全</w:t>
            </w:r>
          </w:p>
        </w:tc>
        <w:tc>
          <w:tcPr>
            <w:tcW w:w="850" w:type="dxa"/>
            <w:tcBorders>
              <w:tl2br w:val="nil"/>
              <w:tr2bl w:val="nil"/>
            </w:tcBorders>
            <w:noWrap/>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LS法</w:t>
            </w:r>
          </w:p>
        </w:tc>
        <w:tc>
          <w:tcPr>
            <w:tcW w:w="85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5～30</w:t>
            </w:r>
          </w:p>
        </w:tc>
        <w:tc>
          <w:tcPr>
            <w:tcW w:w="680" w:type="dxa"/>
            <w:tcBorders>
              <w:tl2br w:val="nil"/>
              <w:tr2bl w:val="nil"/>
            </w:tcBorders>
            <w:tcMar>
              <w:top w:w="15" w:type="dxa"/>
              <w:left w:w="15" w:type="dxa"/>
              <w:right w:w="15" w:type="dxa"/>
            </w:tcMar>
            <w:vAlign w:val="center"/>
          </w:tcPr>
          <w:p>
            <w:pPr>
              <w:snapToGrid w:val="0"/>
              <w:jc w:val="center"/>
              <w:rPr>
                <w:rFonts w:ascii="宋体" w:hAnsi="宋体" w:eastAsia="宋体" w:cs="宋体"/>
                <w:sz w:val="18"/>
                <w:szCs w:val="18"/>
              </w:rPr>
            </w:pPr>
            <w:r>
              <w:rPr>
                <w:rFonts w:hint="eastAsia" w:ascii="宋体" w:hAnsi="宋体" w:eastAsia="宋体" w:cs="宋体"/>
                <w:sz w:val="18"/>
                <w:szCs w:val="18"/>
              </w:rPr>
              <w:t>/</w:t>
            </w:r>
          </w:p>
        </w:tc>
        <w:tc>
          <w:tcPr>
            <w:tcW w:w="737"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3～15</w:t>
            </w:r>
          </w:p>
        </w:tc>
        <w:tc>
          <w:tcPr>
            <w:tcW w:w="964"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15～450</w:t>
            </w:r>
          </w:p>
        </w:tc>
        <w:tc>
          <w:tcPr>
            <w:tcW w:w="850" w:type="dxa"/>
            <w:tcBorders>
              <w:tl2br w:val="nil"/>
              <w:tr2bl w:val="nil"/>
            </w:tcBorders>
            <w:noWrap/>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低～重大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20" w:hRule="atLeast"/>
        </w:trPr>
        <w:tc>
          <w:tcPr>
            <w:tcW w:w="637" w:type="dxa"/>
            <w:tcBorders>
              <w:tl2br w:val="nil"/>
              <w:tr2bl w:val="nil"/>
            </w:tcBorders>
            <w:noWrap/>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61</w:t>
            </w:r>
          </w:p>
        </w:tc>
        <w:tc>
          <w:tcPr>
            <w:tcW w:w="1033" w:type="dxa"/>
            <w:vMerge w:val="restart"/>
            <w:tcBorders>
              <w:top w:val="single" w:color="auto" w:sz="4" w:space="0"/>
              <w:bottom w:val="single" w:color="auto" w:sz="4" w:space="0"/>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作业活动类</w:t>
            </w:r>
          </w:p>
        </w:tc>
        <w:tc>
          <w:tcPr>
            <w:tcW w:w="1117" w:type="dxa"/>
            <w:vMerge w:val="restart"/>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作业活动</w:t>
            </w:r>
          </w:p>
        </w:tc>
        <w:tc>
          <w:tcPr>
            <w:tcW w:w="1517"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机械作业</w:t>
            </w:r>
          </w:p>
        </w:tc>
        <w:tc>
          <w:tcPr>
            <w:tcW w:w="2300" w:type="dxa"/>
            <w:vMerge w:val="restart"/>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违章指挥、违章操作、违反劳动纪律、未正确使用防护用品</w:t>
            </w:r>
          </w:p>
        </w:tc>
        <w:tc>
          <w:tcPr>
            <w:tcW w:w="2066"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机械伤害</w:t>
            </w:r>
          </w:p>
        </w:tc>
        <w:tc>
          <w:tcPr>
            <w:tcW w:w="850" w:type="dxa"/>
            <w:tcBorders>
              <w:tl2br w:val="nil"/>
              <w:tr2bl w:val="nil"/>
            </w:tcBorders>
            <w:noWrap/>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LEC法</w:t>
            </w:r>
          </w:p>
        </w:tc>
        <w:tc>
          <w:tcPr>
            <w:tcW w:w="850" w:type="dxa"/>
            <w:tcBorders>
              <w:tl2br w:val="nil"/>
              <w:tr2bl w:val="nil"/>
            </w:tcBorders>
            <w:noWrap/>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0.5～3</w:t>
            </w:r>
          </w:p>
        </w:tc>
        <w:tc>
          <w:tcPr>
            <w:tcW w:w="68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2～6</w:t>
            </w:r>
          </w:p>
        </w:tc>
        <w:tc>
          <w:tcPr>
            <w:tcW w:w="737" w:type="dxa"/>
            <w:tcBorders>
              <w:tl2br w:val="nil"/>
              <w:tr2bl w:val="nil"/>
            </w:tcBorders>
            <w:noWrap/>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3～7</w:t>
            </w:r>
          </w:p>
        </w:tc>
        <w:tc>
          <w:tcPr>
            <w:tcW w:w="964" w:type="dxa"/>
            <w:tcBorders>
              <w:tl2br w:val="nil"/>
              <w:tr2bl w:val="nil"/>
            </w:tcBorders>
            <w:noWrap/>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3～126</w:t>
            </w:r>
          </w:p>
        </w:tc>
        <w:tc>
          <w:tcPr>
            <w:tcW w:w="85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低～一般</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20" w:hRule="atLeast"/>
        </w:trPr>
        <w:tc>
          <w:tcPr>
            <w:tcW w:w="637" w:type="dxa"/>
            <w:tcBorders>
              <w:tl2br w:val="nil"/>
              <w:tr2bl w:val="nil"/>
            </w:tcBorders>
            <w:noWrap/>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62</w:t>
            </w:r>
          </w:p>
        </w:tc>
        <w:tc>
          <w:tcPr>
            <w:tcW w:w="1033" w:type="dxa"/>
            <w:vMerge w:val="continue"/>
            <w:tcBorders>
              <w:top w:val="single" w:color="auto" w:sz="4" w:space="0"/>
              <w:bottom w:val="single" w:color="auto" w:sz="4" w:space="0"/>
              <w:tl2br w:val="nil"/>
              <w:tr2bl w:val="nil"/>
            </w:tcBorders>
            <w:tcMar>
              <w:top w:w="15" w:type="dxa"/>
              <w:left w:w="15" w:type="dxa"/>
              <w:right w:w="15" w:type="dxa"/>
            </w:tcMar>
            <w:vAlign w:val="center"/>
          </w:tcPr>
          <w:p>
            <w:pPr>
              <w:snapToGrid w:val="0"/>
              <w:jc w:val="center"/>
              <w:rPr>
                <w:rFonts w:ascii="宋体" w:hAnsi="宋体" w:eastAsia="宋体" w:cs="宋体"/>
                <w:sz w:val="18"/>
                <w:szCs w:val="18"/>
              </w:rPr>
            </w:pPr>
          </w:p>
        </w:tc>
        <w:tc>
          <w:tcPr>
            <w:tcW w:w="1117" w:type="dxa"/>
            <w:vMerge w:val="continue"/>
            <w:tcBorders>
              <w:tl2br w:val="nil"/>
              <w:tr2bl w:val="nil"/>
            </w:tcBorders>
            <w:tcMar>
              <w:top w:w="15" w:type="dxa"/>
              <w:left w:w="15" w:type="dxa"/>
              <w:right w:w="15" w:type="dxa"/>
            </w:tcMar>
            <w:vAlign w:val="center"/>
          </w:tcPr>
          <w:p>
            <w:pPr>
              <w:snapToGrid w:val="0"/>
              <w:jc w:val="center"/>
              <w:rPr>
                <w:rFonts w:ascii="宋体" w:hAnsi="宋体" w:eastAsia="宋体" w:cs="宋体"/>
                <w:sz w:val="18"/>
                <w:szCs w:val="18"/>
              </w:rPr>
            </w:pPr>
          </w:p>
        </w:tc>
        <w:tc>
          <w:tcPr>
            <w:tcW w:w="1517"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起重、搬运作业</w:t>
            </w:r>
          </w:p>
        </w:tc>
        <w:tc>
          <w:tcPr>
            <w:tcW w:w="2300" w:type="dxa"/>
            <w:vMerge w:val="continue"/>
            <w:tcBorders>
              <w:tl2br w:val="nil"/>
              <w:tr2bl w:val="nil"/>
            </w:tcBorders>
            <w:tcMar>
              <w:top w:w="15" w:type="dxa"/>
              <w:left w:w="15" w:type="dxa"/>
              <w:right w:w="15" w:type="dxa"/>
            </w:tcMar>
            <w:vAlign w:val="center"/>
          </w:tcPr>
          <w:p>
            <w:pPr>
              <w:snapToGrid w:val="0"/>
              <w:jc w:val="center"/>
              <w:rPr>
                <w:rFonts w:ascii="宋体" w:hAnsi="宋体" w:eastAsia="宋体" w:cs="宋体"/>
                <w:sz w:val="18"/>
                <w:szCs w:val="18"/>
              </w:rPr>
            </w:pPr>
          </w:p>
        </w:tc>
        <w:tc>
          <w:tcPr>
            <w:tcW w:w="2066"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起重伤害、物体打击</w:t>
            </w:r>
          </w:p>
        </w:tc>
        <w:tc>
          <w:tcPr>
            <w:tcW w:w="850" w:type="dxa"/>
            <w:tcBorders>
              <w:tl2br w:val="nil"/>
              <w:tr2bl w:val="nil"/>
            </w:tcBorders>
            <w:noWrap/>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LEC法</w:t>
            </w:r>
          </w:p>
        </w:tc>
        <w:tc>
          <w:tcPr>
            <w:tcW w:w="850" w:type="dxa"/>
            <w:tcBorders>
              <w:tl2br w:val="nil"/>
              <w:tr2bl w:val="nil"/>
            </w:tcBorders>
            <w:noWrap/>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0.5～3</w:t>
            </w:r>
          </w:p>
        </w:tc>
        <w:tc>
          <w:tcPr>
            <w:tcW w:w="68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2～6</w:t>
            </w:r>
          </w:p>
        </w:tc>
        <w:tc>
          <w:tcPr>
            <w:tcW w:w="737" w:type="dxa"/>
            <w:tcBorders>
              <w:tl2br w:val="nil"/>
              <w:tr2bl w:val="nil"/>
            </w:tcBorders>
            <w:noWrap/>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3～7</w:t>
            </w:r>
          </w:p>
        </w:tc>
        <w:tc>
          <w:tcPr>
            <w:tcW w:w="964" w:type="dxa"/>
            <w:tcBorders>
              <w:tl2br w:val="nil"/>
              <w:tr2bl w:val="nil"/>
            </w:tcBorders>
            <w:noWrap/>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3～126</w:t>
            </w:r>
          </w:p>
        </w:tc>
        <w:tc>
          <w:tcPr>
            <w:tcW w:w="85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低～一般</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20" w:hRule="atLeast"/>
        </w:trPr>
        <w:tc>
          <w:tcPr>
            <w:tcW w:w="637" w:type="dxa"/>
            <w:tcBorders>
              <w:tl2br w:val="nil"/>
              <w:tr2bl w:val="nil"/>
            </w:tcBorders>
            <w:noWrap/>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63</w:t>
            </w:r>
          </w:p>
        </w:tc>
        <w:tc>
          <w:tcPr>
            <w:tcW w:w="1033" w:type="dxa"/>
            <w:vMerge w:val="continue"/>
            <w:tcBorders>
              <w:top w:val="single" w:color="auto" w:sz="4" w:space="0"/>
              <w:bottom w:val="single" w:color="auto" w:sz="4" w:space="0"/>
              <w:tl2br w:val="nil"/>
              <w:tr2bl w:val="nil"/>
            </w:tcBorders>
            <w:tcMar>
              <w:top w:w="15" w:type="dxa"/>
              <w:left w:w="15" w:type="dxa"/>
              <w:right w:w="15" w:type="dxa"/>
            </w:tcMar>
            <w:vAlign w:val="center"/>
          </w:tcPr>
          <w:p>
            <w:pPr>
              <w:snapToGrid w:val="0"/>
              <w:jc w:val="center"/>
              <w:rPr>
                <w:rFonts w:ascii="宋体" w:hAnsi="宋体" w:eastAsia="宋体" w:cs="宋体"/>
                <w:sz w:val="18"/>
                <w:szCs w:val="18"/>
              </w:rPr>
            </w:pPr>
          </w:p>
        </w:tc>
        <w:tc>
          <w:tcPr>
            <w:tcW w:w="1117" w:type="dxa"/>
            <w:vMerge w:val="continue"/>
            <w:tcBorders>
              <w:tl2br w:val="nil"/>
              <w:tr2bl w:val="nil"/>
            </w:tcBorders>
            <w:tcMar>
              <w:top w:w="15" w:type="dxa"/>
              <w:left w:w="15" w:type="dxa"/>
              <w:right w:w="15" w:type="dxa"/>
            </w:tcMar>
            <w:vAlign w:val="center"/>
          </w:tcPr>
          <w:p>
            <w:pPr>
              <w:snapToGrid w:val="0"/>
              <w:jc w:val="center"/>
              <w:rPr>
                <w:rFonts w:ascii="宋体" w:hAnsi="宋体" w:eastAsia="宋体" w:cs="宋体"/>
                <w:sz w:val="18"/>
                <w:szCs w:val="18"/>
              </w:rPr>
            </w:pPr>
          </w:p>
        </w:tc>
        <w:tc>
          <w:tcPr>
            <w:tcW w:w="1517"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电焊作业</w:t>
            </w:r>
          </w:p>
        </w:tc>
        <w:tc>
          <w:tcPr>
            <w:tcW w:w="2300" w:type="dxa"/>
            <w:vMerge w:val="continue"/>
            <w:tcBorders>
              <w:tl2br w:val="nil"/>
              <w:tr2bl w:val="nil"/>
            </w:tcBorders>
            <w:tcMar>
              <w:top w:w="15" w:type="dxa"/>
              <w:left w:w="15" w:type="dxa"/>
              <w:right w:w="15" w:type="dxa"/>
            </w:tcMar>
            <w:vAlign w:val="center"/>
          </w:tcPr>
          <w:p>
            <w:pPr>
              <w:snapToGrid w:val="0"/>
              <w:jc w:val="center"/>
              <w:rPr>
                <w:rFonts w:ascii="宋体" w:hAnsi="宋体" w:eastAsia="宋体" w:cs="宋体"/>
                <w:sz w:val="18"/>
                <w:szCs w:val="18"/>
              </w:rPr>
            </w:pPr>
          </w:p>
        </w:tc>
        <w:tc>
          <w:tcPr>
            <w:tcW w:w="2066"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灼烫、触电、火灾</w:t>
            </w:r>
          </w:p>
        </w:tc>
        <w:tc>
          <w:tcPr>
            <w:tcW w:w="850" w:type="dxa"/>
            <w:tcBorders>
              <w:tl2br w:val="nil"/>
              <w:tr2bl w:val="nil"/>
            </w:tcBorders>
            <w:noWrap/>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LEC法</w:t>
            </w:r>
          </w:p>
        </w:tc>
        <w:tc>
          <w:tcPr>
            <w:tcW w:w="850" w:type="dxa"/>
            <w:tcBorders>
              <w:tl2br w:val="nil"/>
              <w:tr2bl w:val="nil"/>
            </w:tcBorders>
            <w:noWrap/>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0.5～3</w:t>
            </w:r>
          </w:p>
        </w:tc>
        <w:tc>
          <w:tcPr>
            <w:tcW w:w="68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2～6</w:t>
            </w:r>
          </w:p>
        </w:tc>
        <w:tc>
          <w:tcPr>
            <w:tcW w:w="737" w:type="dxa"/>
            <w:tcBorders>
              <w:tl2br w:val="nil"/>
              <w:tr2bl w:val="nil"/>
            </w:tcBorders>
            <w:noWrap/>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3～7</w:t>
            </w:r>
          </w:p>
        </w:tc>
        <w:tc>
          <w:tcPr>
            <w:tcW w:w="964" w:type="dxa"/>
            <w:tcBorders>
              <w:tl2br w:val="nil"/>
              <w:tr2bl w:val="nil"/>
            </w:tcBorders>
            <w:noWrap/>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3～126</w:t>
            </w:r>
          </w:p>
        </w:tc>
        <w:tc>
          <w:tcPr>
            <w:tcW w:w="85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低～一般</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20" w:hRule="atLeast"/>
        </w:trPr>
        <w:tc>
          <w:tcPr>
            <w:tcW w:w="637" w:type="dxa"/>
            <w:tcBorders>
              <w:tl2br w:val="nil"/>
              <w:tr2bl w:val="nil"/>
            </w:tcBorders>
            <w:noWrap/>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64</w:t>
            </w:r>
          </w:p>
        </w:tc>
        <w:tc>
          <w:tcPr>
            <w:tcW w:w="1033" w:type="dxa"/>
            <w:vMerge w:val="continue"/>
            <w:tcBorders>
              <w:top w:val="single" w:color="auto" w:sz="4" w:space="0"/>
              <w:bottom w:val="single" w:color="auto" w:sz="4" w:space="0"/>
              <w:tl2br w:val="nil"/>
              <w:tr2bl w:val="nil"/>
            </w:tcBorders>
            <w:tcMar>
              <w:top w:w="15" w:type="dxa"/>
              <w:left w:w="15" w:type="dxa"/>
              <w:right w:w="15" w:type="dxa"/>
            </w:tcMar>
            <w:vAlign w:val="center"/>
          </w:tcPr>
          <w:p>
            <w:pPr>
              <w:snapToGrid w:val="0"/>
              <w:jc w:val="center"/>
              <w:rPr>
                <w:rFonts w:ascii="宋体" w:hAnsi="宋体" w:eastAsia="宋体" w:cs="宋体"/>
                <w:sz w:val="18"/>
                <w:szCs w:val="18"/>
              </w:rPr>
            </w:pPr>
          </w:p>
        </w:tc>
        <w:tc>
          <w:tcPr>
            <w:tcW w:w="1117" w:type="dxa"/>
            <w:vMerge w:val="continue"/>
            <w:tcBorders>
              <w:tl2br w:val="nil"/>
              <w:tr2bl w:val="nil"/>
            </w:tcBorders>
            <w:tcMar>
              <w:top w:w="15" w:type="dxa"/>
              <w:left w:w="15" w:type="dxa"/>
              <w:right w:w="15" w:type="dxa"/>
            </w:tcMar>
            <w:vAlign w:val="center"/>
          </w:tcPr>
          <w:p>
            <w:pPr>
              <w:snapToGrid w:val="0"/>
              <w:jc w:val="center"/>
              <w:rPr>
                <w:rFonts w:ascii="宋体" w:hAnsi="宋体" w:eastAsia="宋体" w:cs="宋体"/>
                <w:sz w:val="18"/>
                <w:szCs w:val="18"/>
              </w:rPr>
            </w:pPr>
          </w:p>
        </w:tc>
        <w:tc>
          <w:tcPr>
            <w:tcW w:w="1517"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水上观测与检查作业</w:t>
            </w:r>
          </w:p>
        </w:tc>
        <w:tc>
          <w:tcPr>
            <w:tcW w:w="2300" w:type="dxa"/>
            <w:vMerge w:val="continue"/>
            <w:tcBorders>
              <w:tl2br w:val="nil"/>
              <w:tr2bl w:val="nil"/>
            </w:tcBorders>
            <w:tcMar>
              <w:top w:w="15" w:type="dxa"/>
              <w:left w:w="15" w:type="dxa"/>
              <w:right w:w="15" w:type="dxa"/>
            </w:tcMar>
            <w:vAlign w:val="center"/>
          </w:tcPr>
          <w:p>
            <w:pPr>
              <w:snapToGrid w:val="0"/>
              <w:jc w:val="center"/>
              <w:rPr>
                <w:rFonts w:ascii="宋体" w:hAnsi="宋体" w:eastAsia="宋体" w:cs="宋体"/>
                <w:sz w:val="18"/>
                <w:szCs w:val="18"/>
              </w:rPr>
            </w:pPr>
          </w:p>
        </w:tc>
        <w:tc>
          <w:tcPr>
            <w:tcW w:w="2066"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淹溺</w:t>
            </w:r>
          </w:p>
        </w:tc>
        <w:tc>
          <w:tcPr>
            <w:tcW w:w="850" w:type="dxa"/>
            <w:tcBorders>
              <w:tl2br w:val="nil"/>
              <w:tr2bl w:val="nil"/>
            </w:tcBorders>
            <w:noWrap/>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LEC法</w:t>
            </w:r>
          </w:p>
        </w:tc>
        <w:tc>
          <w:tcPr>
            <w:tcW w:w="850" w:type="dxa"/>
            <w:tcBorders>
              <w:tl2br w:val="nil"/>
              <w:tr2bl w:val="nil"/>
            </w:tcBorders>
            <w:noWrap/>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0.5～3</w:t>
            </w:r>
          </w:p>
        </w:tc>
        <w:tc>
          <w:tcPr>
            <w:tcW w:w="68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2～6</w:t>
            </w:r>
          </w:p>
        </w:tc>
        <w:tc>
          <w:tcPr>
            <w:tcW w:w="737" w:type="dxa"/>
            <w:tcBorders>
              <w:tl2br w:val="nil"/>
              <w:tr2bl w:val="nil"/>
            </w:tcBorders>
            <w:noWrap/>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3～7</w:t>
            </w:r>
          </w:p>
        </w:tc>
        <w:tc>
          <w:tcPr>
            <w:tcW w:w="964" w:type="dxa"/>
            <w:tcBorders>
              <w:tl2br w:val="nil"/>
              <w:tr2bl w:val="nil"/>
            </w:tcBorders>
            <w:noWrap/>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3～126</w:t>
            </w:r>
          </w:p>
        </w:tc>
        <w:tc>
          <w:tcPr>
            <w:tcW w:w="85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低～一般</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20" w:hRule="atLeast"/>
        </w:trPr>
        <w:tc>
          <w:tcPr>
            <w:tcW w:w="637" w:type="dxa"/>
            <w:tcBorders>
              <w:tl2br w:val="nil"/>
              <w:tr2bl w:val="nil"/>
            </w:tcBorders>
            <w:noWrap/>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65</w:t>
            </w:r>
          </w:p>
        </w:tc>
        <w:tc>
          <w:tcPr>
            <w:tcW w:w="1033" w:type="dxa"/>
            <w:vMerge w:val="continue"/>
            <w:tcBorders>
              <w:top w:val="single" w:color="auto" w:sz="4" w:space="0"/>
              <w:bottom w:val="single" w:color="auto" w:sz="4" w:space="0"/>
              <w:tl2br w:val="nil"/>
              <w:tr2bl w:val="nil"/>
            </w:tcBorders>
            <w:tcMar>
              <w:top w:w="15" w:type="dxa"/>
              <w:left w:w="15" w:type="dxa"/>
              <w:right w:w="15" w:type="dxa"/>
            </w:tcMar>
            <w:vAlign w:val="center"/>
          </w:tcPr>
          <w:p>
            <w:pPr>
              <w:snapToGrid w:val="0"/>
              <w:jc w:val="center"/>
              <w:rPr>
                <w:rFonts w:ascii="宋体" w:hAnsi="宋体" w:eastAsia="宋体" w:cs="宋体"/>
                <w:sz w:val="18"/>
                <w:szCs w:val="18"/>
              </w:rPr>
            </w:pPr>
          </w:p>
        </w:tc>
        <w:tc>
          <w:tcPr>
            <w:tcW w:w="1117" w:type="dxa"/>
            <w:vMerge w:val="continue"/>
            <w:tcBorders>
              <w:tl2br w:val="nil"/>
              <w:tr2bl w:val="nil"/>
            </w:tcBorders>
            <w:tcMar>
              <w:top w:w="15" w:type="dxa"/>
              <w:left w:w="15" w:type="dxa"/>
              <w:right w:w="15" w:type="dxa"/>
            </w:tcMar>
            <w:vAlign w:val="center"/>
          </w:tcPr>
          <w:p>
            <w:pPr>
              <w:snapToGrid w:val="0"/>
              <w:jc w:val="center"/>
              <w:rPr>
                <w:rFonts w:ascii="宋体" w:hAnsi="宋体" w:eastAsia="宋体" w:cs="宋体"/>
                <w:sz w:val="18"/>
                <w:szCs w:val="18"/>
              </w:rPr>
            </w:pPr>
          </w:p>
        </w:tc>
        <w:tc>
          <w:tcPr>
            <w:tcW w:w="1517"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动火作业</w:t>
            </w:r>
          </w:p>
        </w:tc>
        <w:tc>
          <w:tcPr>
            <w:tcW w:w="2300" w:type="dxa"/>
            <w:vMerge w:val="continue"/>
            <w:tcBorders>
              <w:tl2br w:val="nil"/>
              <w:tr2bl w:val="nil"/>
            </w:tcBorders>
            <w:tcMar>
              <w:top w:w="15" w:type="dxa"/>
              <w:left w:w="15" w:type="dxa"/>
              <w:right w:w="15" w:type="dxa"/>
            </w:tcMar>
            <w:vAlign w:val="center"/>
          </w:tcPr>
          <w:p>
            <w:pPr>
              <w:snapToGrid w:val="0"/>
              <w:jc w:val="center"/>
              <w:rPr>
                <w:rFonts w:ascii="宋体" w:hAnsi="宋体" w:eastAsia="宋体" w:cs="宋体"/>
                <w:sz w:val="18"/>
                <w:szCs w:val="18"/>
              </w:rPr>
            </w:pPr>
          </w:p>
        </w:tc>
        <w:tc>
          <w:tcPr>
            <w:tcW w:w="2066"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触电、失火</w:t>
            </w:r>
          </w:p>
        </w:tc>
        <w:tc>
          <w:tcPr>
            <w:tcW w:w="850" w:type="dxa"/>
            <w:tcBorders>
              <w:tl2br w:val="nil"/>
              <w:tr2bl w:val="nil"/>
            </w:tcBorders>
            <w:noWrap/>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LEC法</w:t>
            </w:r>
          </w:p>
        </w:tc>
        <w:tc>
          <w:tcPr>
            <w:tcW w:w="850" w:type="dxa"/>
            <w:tcBorders>
              <w:tl2br w:val="nil"/>
              <w:tr2bl w:val="nil"/>
            </w:tcBorders>
            <w:noWrap/>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0.5～3</w:t>
            </w:r>
          </w:p>
        </w:tc>
        <w:tc>
          <w:tcPr>
            <w:tcW w:w="68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2～6</w:t>
            </w:r>
          </w:p>
        </w:tc>
        <w:tc>
          <w:tcPr>
            <w:tcW w:w="737" w:type="dxa"/>
            <w:tcBorders>
              <w:tl2br w:val="nil"/>
              <w:tr2bl w:val="nil"/>
            </w:tcBorders>
            <w:noWrap/>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3～15</w:t>
            </w:r>
          </w:p>
        </w:tc>
        <w:tc>
          <w:tcPr>
            <w:tcW w:w="964" w:type="dxa"/>
            <w:tcBorders>
              <w:tl2br w:val="nil"/>
              <w:tr2bl w:val="nil"/>
            </w:tcBorders>
            <w:noWrap/>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3～270</w:t>
            </w:r>
          </w:p>
        </w:tc>
        <w:tc>
          <w:tcPr>
            <w:tcW w:w="85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低～较大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20" w:hRule="atLeast"/>
        </w:trPr>
        <w:tc>
          <w:tcPr>
            <w:tcW w:w="637" w:type="dxa"/>
            <w:tcBorders>
              <w:tl2br w:val="nil"/>
              <w:tr2bl w:val="nil"/>
            </w:tcBorders>
            <w:noWrap/>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66</w:t>
            </w:r>
          </w:p>
        </w:tc>
        <w:tc>
          <w:tcPr>
            <w:tcW w:w="1033" w:type="dxa"/>
            <w:vMerge w:val="continue"/>
            <w:tcBorders>
              <w:top w:val="single" w:color="auto" w:sz="4" w:space="0"/>
              <w:bottom w:val="single" w:color="auto" w:sz="4" w:space="0"/>
              <w:tl2br w:val="nil"/>
              <w:tr2bl w:val="nil"/>
            </w:tcBorders>
            <w:tcMar>
              <w:top w:w="15" w:type="dxa"/>
              <w:left w:w="15" w:type="dxa"/>
              <w:right w:w="15" w:type="dxa"/>
            </w:tcMar>
            <w:vAlign w:val="center"/>
          </w:tcPr>
          <w:p>
            <w:pPr>
              <w:snapToGrid w:val="0"/>
              <w:jc w:val="center"/>
              <w:rPr>
                <w:rFonts w:ascii="宋体" w:hAnsi="宋体" w:eastAsia="宋体" w:cs="宋体"/>
                <w:sz w:val="18"/>
                <w:szCs w:val="18"/>
              </w:rPr>
            </w:pPr>
          </w:p>
        </w:tc>
        <w:tc>
          <w:tcPr>
            <w:tcW w:w="1117" w:type="dxa"/>
            <w:vMerge w:val="continue"/>
            <w:tcBorders>
              <w:tl2br w:val="nil"/>
              <w:tr2bl w:val="nil"/>
            </w:tcBorders>
            <w:tcMar>
              <w:top w:w="15" w:type="dxa"/>
              <w:left w:w="15" w:type="dxa"/>
              <w:right w:w="15" w:type="dxa"/>
            </w:tcMar>
            <w:vAlign w:val="center"/>
          </w:tcPr>
          <w:p>
            <w:pPr>
              <w:snapToGrid w:val="0"/>
              <w:jc w:val="center"/>
              <w:rPr>
                <w:rFonts w:ascii="宋体" w:hAnsi="宋体" w:eastAsia="宋体" w:cs="宋体"/>
                <w:sz w:val="18"/>
                <w:szCs w:val="18"/>
              </w:rPr>
            </w:pPr>
          </w:p>
        </w:tc>
        <w:tc>
          <w:tcPr>
            <w:tcW w:w="1517"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断路作业</w:t>
            </w:r>
          </w:p>
        </w:tc>
        <w:tc>
          <w:tcPr>
            <w:tcW w:w="2300" w:type="dxa"/>
            <w:vMerge w:val="continue"/>
            <w:tcBorders>
              <w:tl2br w:val="nil"/>
              <w:tr2bl w:val="nil"/>
            </w:tcBorders>
            <w:tcMar>
              <w:top w:w="15" w:type="dxa"/>
              <w:left w:w="15" w:type="dxa"/>
              <w:right w:w="15" w:type="dxa"/>
            </w:tcMar>
            <w:vAlign w:val="center"/>
          </w:tcPr>
          <w:p>
            <w:pPr>
              <w:snapToGrid w:val="0"/>
              <w:jc w:val="center"/>
              <w:rPr>
                <w:rFonts w:ascii="宋体" w:hAnsi="宋体" w:eastAsia="宋体" w:cs="宋体"/>
                <w:sz w:val="18"/>
                <w:szCs w:val="18"/>
              </w:rPr>
            </w:pPr>
          </w:p>
        </w:tc>
        <w:tc>
          <w:tcPr>
            <w:tcW w:w="2066"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交通事故、人员伤害</w:t>
            </w:r>
          </w:p>
        </w:tc>
        <w:tc>
          <w:tcPr>
            <w:tcW w:w="850" w:type="dxa"/>
            <w:tcBorders>
              <w:tl2br w:val="nil"/>
              <w:tr2bl w:val="nil"/>
            </w:tcBorders>
            <w:noWrap/>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LEC法</w:t>
            </w:r>
          </w:p>
        </w:tc>
        <w:tc>
          <w:tcPr>
            <w:tcW w:w="850" w:type="dxa"/>
            <w:tcBorders>
              <w:tl2br w:val="nil"/>
              <w:tr2bl w:val="nil"/>
            </w:tcBorders>
            <w:noWrap/>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0.5～3</w:t>
            </w:r>
          </w:p>
        </w:tc>
        <w:tc>
          <w:tcPr>
            <w:tcW w:w="68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2～6</w:t>
            </w:r>
          </w:p>
        </w:tc>
        <w:tc>
          <w:tcPr>
            <w:tcW w:w="737" w:type="dxa"/>
            <w:tcBorders>
              <w:tl2br w:val="nil"/>
              <w:tr2bl w:val="nil"/>
            </w:tcBorders>
            <w:noWrap/>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3～15</w:t>
            </w:r>
          </w:p>
        </w:tc>
        <w:tc>
          <w:tcPr>
            <w:tcW w:w="964" w:type="dxa"/>
            <w:tcBorders>
              <w:tl2br w:val="nil"/>
              <w:tr2bl w:val="nil"/>
            </w:tcBorders>
            <w:noWrap/>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3～270</w:t>
            </w:r>
          </w:p>
        </w:tc>
        <w:tc>
          <w:tcPr>
            <w:tcW w:w="85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低～较大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20" w:hRule="atLeast"/>
        </w:trPr>
        <w:tc>
          <w:tcPr>
            <w:tcW w:w="637" w:type="dxa"/>
            <w:tcBorders>
              <w:tl2br w:val="nil"/>
              <w:tr2bl w:val="nil"/>
            </w:tcBorders>
            <w:noWrap/>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67</w:t>
            </w:r>
          </w:p>
        </w:tc>
        <w:tc>
          <w:tcPr>
            <w:tcW w:w="1033" w:type="dxa"/>
            <w:vMerge w:val="continue"/>
            <w:tcBorders>
              <w:top w:val="single" w:color="auto" w:sz="4" w:space="0"/>
              <w:bottom w:val="single" w:color="auto" w:sz="4" w:space="0"/>
              <w:tl2br w:val="nil"/>
              <w:tr2bl w:val="nil"/>
            </w:tcBorders>
            <w:tcMar>
              <w:top w:w="15" w:type="dxa"/>
              <w:left w:w="15" w:type="dxa"/>
              <w:right w:w="15" w:type="dxa"/>
            </w:tcMar>
            <w:vAlign w:val="center"/>
          </w:tcPr>
          <w:p>
            <w:pPr>
              <w:snapToGrid w:val="0"/>
              <w:jc w:val="center"/>
              <w:rPr>
                <w:rFonts w:ascii="宋体" w:hAnsi="宋体" w:eastAsia="宋体" w:cs="宋体"/>
                <w:sz w:val="18"/>
                <w:szCs w:val="18"/>
              </w:rPr>
            </w:pPr>
          </w:p>
        </w:tc>
        <w:tc>
          <w:tcPr>
            <w:tcW w:w="1117" w:type="dxa"/>
            <w:vMerge w:val="continue"/>
            <w:tcBorders>
              <w:tl2br w:val="nil"/>
              <w:tr2bl w:val="nil"/>
            </w:tcBorders>
            <w:tcMar>
              <w:top w:w="15" w:type="dxa"/>
              <w:left w:w="15" w:type="dxa"/>
              <w:right w:w="15" w:type="dxa"/>
            </w:tcMar>
            <w:vAlign w:val="center"/>
          </w:tcPr>
          <w:p>
            <w:pPr>
              <w:snapToGrid w:val="0"/>
              <w:jc w:val="center"/>
              <w:rPr>
                <w:rFonts w:ascii="宋体" w:hAnsi="宋体" w:eastAsia="宋体" w:cs="宋体"/>
                <w:sz w:val="18"/>
                <w:szCs w:val="18"/>
              </w:rPr>
            </w:pPr>
          </w:p>
        </w:tc>
        <w:tc>
          <w:tcPr>
            <w:tcW w:w="1517"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危化作业</w:t>
            </w:r>
          </w:p>
        </w:tc>
        <w:tc>
          <w:tcPr>
            <w:tcW w:w="2300" w:type="dxa"/>
            <w:vMerge w:val="continue"/>
            <w:tcBorders>
              <w:tl2br w:val="nil"/>
              <w:tr2bl w:val="nil"/>
            </w:tcBorders>
            <w:tcMar>
              <w:top w:w="15" w:type="dxa"/>
              <w:left w:w="15" w:type="dxa"/>
              <w:right w:w="15" w:type="dxa"/>
            </w:tcMar>
            <w:vAlign w:val="center"/>
          </w:tcPr>
          <w:p>
            <w:pPr>
              <w:snapToGrid w:val="0"/>
              <w:jc w:val="center"/>
              <w:rPr>
                <w:rFonts w:ascii="宋体" w:hAnsi="宋体" w:eastAsia="宋体" w:cs="宋体"/>
                <w:sz w:val="18"/>
                <w:szCs w:val="18"/>
              </w:rPr>
            </w:pPr>
          </w:p>
        </w:tc>
        <w:tc>
          <w:tcPr>
            <w:tcW w:w="2066"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中毒、水体污染</w:t>
            </w:r>
          </w:p>
        </w:tc>
        <w:tc>
          <w:tcPr>
            <w:tcW w:w="850" w:type="dxa"/>
            <w:tcBorders>
              <w:tl2br w:val="nil"/>
              <w:tr2bl w:val="nil"/>
            </w:tcBorders>
            <w:noWrap/>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LEC法</w:t>
            </w:r>
          </w:p>
        </w:tc>
        <w:tc>
          <w:tcPr>
            <w:tcW w:w="850" w:type="dxa"/>
            <w:tcBorders>
              <w:tl2br w:val="nil"/>
              <w:tr2bl w:val="nil"/>
            </w:tcBorders>
            <w:noWrap/>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0.5～3</w:t>
            </w:r>
          </w:p>
        </w:tc>
        <w:tc>
          <w:tcPr>
            <w:tcW w:w="68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2～6</w:t>
            </w:r>
          </w:p>
        </w:tc>
        <w:tc>
          <w:tcPr>
            <w:tcW w:w="737" w:type="dxa"/>
            <w:tcBorders>
              <w:tl2br w:val="nil"/>
              <w:tr2bl w:val="nil"/>
            </w:tcBorders>
            <w:noWrap/>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3～15</w:t>
            </w:r>
          </w:p>
        </w:tc>
        <w:tc>
          <w:tcPr>
            <w:tcW w:w="964" w:type="dxa"/>
            <w:tcBorders>
              <w:tl2br w:val="nil"/>
              <w:tr2bl w:val="nil"/>
            </w:tcBorders>
            <w:noWrap/>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3～270</w:t>
            </w:r>
          </w:p>
        </w:tc>
        <w:tc>
          <w:tcPr>
            <w:tcW w:w="85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低～较大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20" w:hRule="atLeast"/>
        </w:trPr>
        <w:tc>
          <w:tcPr>
            <w:tcW w:w="637" w:type="dxa"/>
            <w:tcBorders>
              <w:tl2br w:val="nil"/>
              <w:tr2bl w:val="nil"/>
            </w:tcBorders>
            <w:noWrap/>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68</w:t>
            </w:r>
          </w:p>
        </w:tc>
        <w:tc>
          <w:tcPr>
            <w:tcW w:w="1033" w:type="dxa"/>
            <w:vMerge w:val="continue"/>
            <w:tcBorders>
              <w:top w:val="single" w:color="auto" w:sz="4" w:space="0"/>
              <w:bottom w:val="single" w:color="auto" w:sz="4" w:space="0"/>
              <w:tl2br w:val="nil"/>
              <w:tr2bl w:val="nil"/>
            </w:tcBorders>
            <w:tcMar>
              <w:top w:w="15" w:type="dxa"/>
              <w:left w:w="15" w:type="dxa"/>
              <w:right w:w="15" w:type="dxa"/>
            </w:tcMar>
            <w:vAlign w:val="center"/>
          </w:tcPr>
          <w:p>
            <w:pPr>
              <w:snapToGrid w:val="0"/>
              <w:jc w:val="center"/>
              <w:rPr>
                <w:rFonts w:ascii="宋体" w:hAnsi="宋体" w:eastAsia="宋体" w:cs="宋体"/>
                <w:sz w:val="18"/>
                <w:szCs w:val="18"/>
              </w:rPr>
            </w:pPr>
          </w:p>
        </w:tc>
        <w:tc>
          <w:tcPr>
            <w:tcW w:w="1117" w:type="dxa"/>
            <w:vMerge w:val="continue"/>
            <w:tcBorders>
              <w:tl2br w:val="nil"/>
              <w:tr2bl w:val="nil"/>
            </w:tcBorders>
            <w:tcMar>
              <w:top w:w="15" w:type="dxa"/>
              <w:left w:w="15" w:type="dxa"/>
              <w:right w:w="15" w:type="dxa"/>
            </w:tcMar>
            <w:vAlign w:val="center"/>
          </w:tcPr>
          <w:p>
            <w:pPr>
              <w:snapToGrid w:val="0"/>
              <w:jc w:val="center"/>
              <w:rPr>
                <w:rFonts w:ascii="宋体" w:hAnsi="宋体" w:eastAsia="宋体" w:cs="宋体"/>
                <w:sz w:val="18"/>
                <w:szCs w:val="18"/>
              </w:rPr>
            </w:pPr>
          </w:p>
        </w:tc>
        <w:tc>
          <w:tcPr>
            <w:tcW w:w="1517"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破土作业</w:t>
            </w:r>
          </w:p>
        </w:tc>
        <w:tc>
          <w:tcPr>
            <w:tcW w:w="2300" w:type="dxa"/>
            <w:vMerge w:val="continue"/>
            <w:tcBorders>
              <w:tl2br w:val="nil"/>
              <w:tr2bl w:val="nil"/>
            </w:tcBorders>
            <w:tcMar>
              <w:top w:w="15" w:type="dxa"/>
              <w:left w:w="15" w:type="dxa"/>
              <w:right w:w="15" w:type="dxa"/>
            </w:tcMar>
            <w:vAlign w:val="center"/>
          </w:tcPr>
          <w:p>
            <w:pPr>
              <w:snapToGrid w:val="0"/>
              <w:jc w:val="center"/>
              <w:rPr>
                <w:rFonts w:ascii="宋体" w:hAnsi="宋体" w:eastAsia="宋体" w:cs="宋体"/>
                <w:sz w:val="18"/>
                <w:szCs w:val="18"/>
              </w:rPr>
            </w:pPr>
          </w:p>
        </w:tc>
        <w:tc>
          <w:tcPr>
            <w:tcW w:w="2066"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管线破坏、中毒、坍塌</w:t>
            </w:r>
          </w:p>
        </w:tc>
        <w:tc>
          <w:tcPr>
            <w:tcW w:w="850" w:type="dxa"/>
            <w:tcBorders>
              <w:tl2br w:val="nil"/>
              <w:tr2bl w:val="nil"/>
            </w:tcBorders>
            <w:noWrap/>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LEC法</w:t>
            </w:r>
          </w:p>
        </w:tc>
        <w:tc>
          <w:tcPr>
            <w:tcW w:w="850" w:type="dxa"/>
            <w:tcBorders>
              <w:tl2br w:val="nil"/>
              <w:tr2bl w:val="nil"/>
            </w:tcBorders>
            <w:noWrap/>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0.5～3</w:t>
            </w:r>
          </w:p>
        </w:tc>
        <w:tc>
          <w:tcPr>
            <w:tcW w:w="68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2～6</w:t>
            </w:r>
          </w:p>
        </w:tc>
        <w:tc>
          <w:tcPr>
            <w:tcW w:w="737" w:type="dxa"/>
            <w:tcBorders>
              <w:tl2br w:val="nil"/>
              <w:tr2bl w:val="nil"/>
            </w:tcBorders>
            <w:noWrap/>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3～15</w:t>
            </w:r>
          </w:p>
        </w:tc>
        <w:tc>
          <w:tcPr>
            <w:tcW w:w="964" w:type="dxa"/>
            <w:tcBorders>
              <w:tl2br w:val="nil"/>
              <w:tr2bl w:val="nil"/>
            </w:tcBorders>
            <w:noWrap/>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3～270</w:t>
            </w:r>
          </w:p>
        </w:tc>
        <w:tc>
          <w:tcPr>
            <w:tcW w:w="85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低～较大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20" w:hRule="atLeast"/>
        </w:trPr>
        <w:tc>
          <w:tcPr>
            <w:tcW w:w="637" w:type="dxa"/>
            <w:tcBorders>
              <w:tl2br w:val="nil"/>
              <w:tr2bl w:val="nil"/>
            </w:tcBorders>
            <w:noWrap/>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69</w:t>
            </w:r>
          </w:p>
        </w:tc>
        <w:tc>
          <w:tcPr>
            <w:tcW w:w="1033" w:type="dxa"/>
            <w:vMerge w:val="continue"/>
            <w:tcBorders>
              <w:top w:val="single" w:color="auto" w:sz="4" w:space="0"/>
              <w:bottom w:val="single" w:color="auto" w:sz="4" w:space="0"/>
              <w:tl2br w:val="nil"/>
              <w:tr2bl w:val="nil"/>
            </w:tcBorders>
            <w:tcMar>
              <w:top w:w="15" w:type="dxa"/>
              <w:left w:w="15" w:type="dxa"/>
              <w:right w:w="15" w:type="dxa"/>
            </w:tcMar>
            <w:vAlign w:val="center"/>
          </w:tcPr>
          <w:p>
            <w:pPr>
              <w:snapToGrid w:val="0"/>
              <w:jc w:val="center"/>
              <w:rPr>
                <w:rFonts w:ascii="宋体" w:hAnsi="宋体" w:eastAsia="宋体" w:cs="宋体"/>
                <w:sz w:val="18"/>
                <w:szCs w:val="18"/>
              </w:rPr>
            </w:pPr>
          </w:p>
        </w:tc>
        <w:tc>
          <w:tcPr>
            <w:tcW w:w="1117" w:type="dxa"/>
            <w:vMerge w:val="continue"/>
            <w:tcBorders>
              <w:tl2br w:val="nil"/>
              <w:tr2bl w:val="nil"/>
            </w:tcBorders>
            <w:tcMar>
              <w:top w:w="15" w:type="dxa"/>
              <w:left w:w="15" w:type="dxa"/>
              <w:right w:w="15" w:type="dxa"/>
            </w:tcMar>
            <w:vAlign w:val="center"/>
          </w:tcPr>
          <w:p>
            <w:pPr>
              <w:snapToGrid w:val="0"/>
              <w:jc w:val="center"/>
              <w:rPr>
                <w:rFonts w:ascii="宋体" w:hAnsi="宋体" w:eastAsia="宋体" w:cs="宋体"/>
                <w:sz w:val="18"/>
                <w:szCs w:val="18"/>
              </w:rPr>
            </w:pPr>
          </w:p>
        </w:tc>
        <w:tc>
          <w:tcPr>
            <w:tcW w:w="1517"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盲板封堵</w:t>
            </w:r>
          </w:p>
        </w:tc>
        <w:tc>
          <w:tcPr>
            <w:tcW w:w="2300" w:type="dxa"/>
            <w:vMerge w:val="continue"/>
            <w:tcBorders>
              <w:tl2br w:val="nil"/>
              <w:tr2bl w:val="nil"/>
            </w:tcBorders>
            <w:tcMar>
              <w:top w:w="15" w:type="dxa"/>
              <w:left w:w="15" w:type="dxa"/>
              <w:right w:w="15" w:type="dxa"/>
            </w:tcMar>
            <w:vAlign w:val="center"/>
          </w:tcPr>
          <w:p>
            <w:pPr>
              <w:snapToGrid w:val="0"/>
              <w:jc w:val="center"/>
              <w:rPr>
                <w:rFonts w:ascii="宋体" w:hAnsi="宋体" w:eastAsia="宋体" w:cs="宋体"/>
                <w:sz w:val="18"/>
                <w:szCs w:val="18"/>
              </w:rPr>
            </w:pPr>
          </w:p>
        </w:tc>
        <w:tc>
          <w:tcPr>
            <w:tcW w:w="2066"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淹溺</w:t>
            </w:r>
          </w:p>
        </w:tc>
        <w:tc>
          <w:tcPr>
            <w:tcW w:w="850" w:type="dxa"/>
            <w:tcBorders>
              <w:tl2br w:val="nil"/>
              <w:tr2bl w:val="nil"/>
            </w:tcBorders>
            <w:noWrap/>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LEC法</w:t>
            </w:r>
          </w:p>
        </w:tc>
        <w:tc>
          <w:tcPr>
            <w:tcW w:w="850" w:type="dxa"/>
            <w:tcBorders>
              <w:tl2br w:val="nil"/>
              <w:tr2bl w:val="nil"/>
            </w:tcBorders>
            <w:noWrap/>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0.5～3</w:t>
            </w:r>
          </w:p>
        </w:tc>
        <w:tc>
          <w:tcPr>
            <w:tcW w:w="68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2～6</w:t>
            </w:r>
          </w:p>
        </w:tc>
        <w:tc>
          <w:tcPr>
            <w:tcW w:w="737" w:type="dxa"/>
            <w:tcBorders>
              <w:tl2br w:val="nil"/>
              <w:tr2bl w:val="nil"/>
            </w:tcBorders>
            <w:noWrap/>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3～15</w:t>
            </w:r>
          </w:p>
        </w:tc>
        <w:tc>
          <w:tcPr>
            <w:tcW w:w="964" w:type="dxa"/>
            <w:tcBorders>
              <w:tl2br w:val="nil"/>
              <w:tr2bl w:val="nil"/>
            </w:tcBorders>
            <w:noWrap/>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3～270</w:t>
            </w:r>
          </w:p>
        </w:tc>
        <w:tc>
          <w:tcPr>
            <w:tcW w:w="85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低～较大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20" w:hRule="atLeast"/>
        </w:trPr>
        <w:tc>
          <w:tcPr>
            <w:tcW w:w="637" w:type="dxa"/>
            <w:tcBorders>
              <w:tl2br w:val="nil"/>
              <w:tr2bl w:val="nil"/>
            </w:tcBorders>
            <w:noWrap/>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70</w:t>
            </w:r>
          </w:p>
        </w:tc>
        <w:tc>
          <w:tcPr>
            <w:tcW w:w="1033" w:type="dxa"/>
            <w:vMerge w:val="continue"/>
            <w:tcBorders>
              <w:top w:val="single" w:color="auto" w:sz="4" w:space="0"/>
              <w:bottom w:val="single" w:color="auto" w:sz="4" w:space="0"/>
              <w:tl2br w:val="nil"/>
              <w:tr2bl w:val="nil"/>
            </w:tcBorders>
            <w:tcMar>
              <w:top w:w="15" w:type="dxa"/>
              <w:left w:w="15" w:type="dxa"/>
              <w:right w:w="15" w:type="dxa"/>
            </w:tcMar>
            <w:vAlign w:val="center"/>
          </w:tcPr>
          <w:p>
            <w:pPr>
              <w:snapToGrid w:val="0"/>
              <w:jc w:val="center"/>
              <w:rPr>
                <w:rFonts w:ascii="宋体" w:hAnsi="宋体" w:eastAsia="宋体" w:cs="宋体"/>
                <w:sz w:val="18"/>
                <w:szCs w:val="18"/>
              </w:rPr>
            </w:pPr>
          </w:p>
        </w:tc>
        <w:tc>
          <w:tcPr>
            <w:tcW w:w="1117" w:type="dxa"/>
            <w:vMerge w:val="continue"/>
            <w:tcBorders>
              <w:tl2br w:val="nil"/>
              <w:tr2bl w:val="nil"/>
            </w:tcBorders>
            <w:tcMar>
              <w:top w:w="15" w:type="dxa"/>
              <w:left w:w="15" w:type="dxa"/>
              <w:right w:w="15" w:type="dxa"/>
            </w:tcMar>
            <w:vAlign w:val="center"/>
          </w:tcPr>
          <w:p>
            <w:pPr>
              <w:snapToGrid w:val="0"/>
              <w:jc w:val="center"/>
              <w:rPr>
                <w:rFonts w:ascii="宋体" w:hAnsi="宋体" w:eastAsia="宋体" w:cs="宋体"/>
                <w:sz w:val="18"/>
                <w:szCs w:val="18"/>
              </w:rPr>
            </w:pPr>
          </w:p>
        </w:tc>
        <w:tc>
          <w:tcPr>
            <w:tcW w:w="1517"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高压电气设备巡视、检修作业</w:t>
            </w:r>
          </w:p>
        </w:tc>
        <w:tc>
          <w:tcPr>
            <w:tcW w:w="230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防护距离不够，违章操作</w:t>
            </w:r>
          </w:p>
        </w:tc>
        <w:tc>
          <w:tcPr>
            <w:tcW w:w="2066"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触电</w:t>
            </w:r>
          </w:p>
        </w:tc>
        <w:tc>
          <w:tcPr>
            <w:tcW w:w="850" w:type="dxa"/>
            <w:tcBorders>
              <w:tl2br w:val="nil"/>
              <w:tr2bl w:val="nil"/>
            </w:tcBorders>
            <w:noWrap/>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LEC法</w:t>
            </w:r>
          </w:p>
        </w:tc>
        <w:tc>
          <w:tcPr>
            <w:tcW w:w="850" w:type="dxa"/>
            <w:tcBorders>
              <w:tl2br w:val="nil"/>
              <w:tr2bl w:val="nil"/>
            </w:tcBorders>
            <w:noWrap/>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0.5～3</w:t>
            </w:r>
          </w:p>
        </w:tc>
        <w:tc>
          <w:tcPr>
            <w:tcW w:w="68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2～6</w:t>
            </w:r>
          </w:p>
        </w:tc>
        <w:tc>
          <w:tcPr>
            <w:tcW w:w="737" w:type="dxa"/>
            <w:tcBorders>
              <w:tl2br w:val="nil"/>
              <w:tr2bl w:val="nil"/>
            </w:tcBorders>
            <w:noWrap/>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3～15</w:t>
            </w:r>
          </w:p>
        </w:tc>
        <w:tc>
          <w:tcPr>
            <w:tcW w:w="964" w:type="dxa"/>
            <w:tcBorders>
              <w:tl2br w:val="nil"/>
              <w:tr2bl w:val="nil"/>
            </w:tcBorders>
            <w:noWrap/>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3～270</w:t>
            </w:r>
          </w:p>
        </w:tc>
        <w:tc>
          <w:tcPr>
            <w:tcW w:w="85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低～较大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20" w:hRule="atLeast"/>
        </w:trPr>
        <w:tc>
          <w:tcPr>
            <w:tcW w:w="637" w:type="dxa"/>
            <w:tcBorders>
              <w:tl2br w:val="nil"/>
              <w:tr2bl w:val="nil"/>
            </w:tcBorders>
            <w:noWrap/>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71</w:t>
            </w:r>
          </w:p>
        </w:tc>
        <w:tc>
          <w:tcPr>
            <w:tcW w:w="1033" w:type="dxa"/>
            <w:vMerge w:val="continue"/>
            <w:tcBorders>
              <w:top w:val="single" w:color="auto" w:sz="4" w:space="0"/>
              <w:bottom w:val="single" w:color="auto" w:sz="4" w:space="0"/>
              <w:tl2br w:val="nil"/>
              <w:tr2bl w:val="nil"/>
            </w:tcBorders>
            <w:tcMar>
              <w:top w:w="15" w:type="dxa"/>
              <w:left w:w="15" w:type="dxa"/>
              <w:right w:w="15" w:type="dxa"/>
            </w:tcMar>
            <w:vAlign w:val="center"/>
          </w:tcPr>
          <w:p>
            <w:pPr>
              <w:snapToGrid w:val="0"/>
              <w:jc w:val="center"/>
              <w:rPr>
                <w:rFonts w:ascii="宋体" w:hAnsi="宋体" w:eastAsia="宋体" w:cs="宋体"/>
                <w:sz w:val="18"/>
                <w:szCs w:val="18"/>
              </w:rPr>
            </w:pPr>
          </w:p>
        </w:tc>
        <w:tc>
          <w:tcPr>
            <w:tcW w:w="1117" w:type="dxa"/>
            <w:vMerge w:val="restart"/>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检修</w:t>
            </w:r>
          </w:p>
        </w:tc>
        <w:tc>
          <w:tcPr>
            <w:tcW w:w="1517"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水泵、风机检修作业</w:t>
            </w:r>
          </w:p>
        </w:tc>
        <w:tc>
          <w:tcPr>
            <w:tcW w:w="2300" w:type="dxa"/>
            <w:vMerge w:val="restart"/>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违章指挥、违章操作、违反劳动纪律、未正确使用防护用品、无证上岗</w:t>
            </w:r>
          </w:p>
        </w:tc>
        <w:tc>
          <w:tcPr>
            <w:tcW w:w="2066"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触电、机械伤害</w:t>
            </w:r>
          </w:p>
        </w:tc>
        <w:tc>
          <w:tcPr>
            <w:tcW w:w="85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LEC法</w:t>
            </w:r>
          </w:p>
        </w:tc>
        <w:tc>
          <w:tcPr>
            <w:tcW w:w="85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0.5～3</w:t>
            </w:r>
          </w:p>
        </w:tc>
        <w:tc>
          <w:tcPr>
            <w:tcW w:w="68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2～6</w:t>
            </w:r>
          </w:p>
        </w:tc>
        <w:tc>
          <w:tcPr>
            <w:tcW w:w="737"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3～15</w:t>
            </w:r>
          </w:p>
        </w:tc>
        <w:tc>
          <w:tcPr>
            <w:tcW w:w="964"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3～270</w:t>
            </w:r>
          </w:p>
        </w:tc>
        <w:tc>
          <w:tcPr>
            <w:tcW w:w="850" w:type="dxa"/>
            <w:tcBorders>
              <w:tl2br w:val="nil"/>
              <w:tr2bl w:val="nil"/>
            </w:tcBorders>
            <w:noWrap/>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低～较大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20" w:hRule="atLeast"/>
        </w:trPr>
        <w:tc>
          <w:tcPr>
            <w:tcW w:w="637" w:type="dxa"/>
            <w:tcBorders>
              <w:tl2br w:val="nil"/>
              <w:tr2bl w:val="nil"/>
            </w:tcBorders>
            <w:noWrap/>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72</w:t>
            </w:r>
          </w:p>
        </w:tc>
        <w:tc>
          <w:tcPr>
            <w:tcW w:w="1033" w:type="dxa"/>
            <w:vMerge w:val="continue"/>
            <w:tcBorders>
              <w:top w:val="single" w:color="auto" w:sz="4" w:space="0"/>
              <w:bottom w:val="single" w:color="auto" w:sz="4" w:space="0"/>
              <w:tl2br w:val="nil"/>
              <w:tr2bl w:val="nil"/>
            </w:tcBorders>
            <w:tcMar>
              <w:top w:w="15" w:type="dxa"/>
              <w:left w:w="15" w:type="dxa"/>
              <w:right w:w="15" w:type="dxa"/>
            </w:tcMar>
            <w:vAlign w:val="center"/>
          </w:tcPr>
          <w:p>
            <w:pPr>
              <w:snapToGrid w:val="0"/>
              <w:jc w:val="center"/>
              <w:rPr>
                <w:rFonts w:ascii="宋体" w:hAnsi="宋体" w:eastAsia="宋体" w:cs="宋体"/>
                <w:sz w:val="18"/>
                <w:szCs w:val="18"/>
              </w:rPr>
            </w:pPr>
          </w:p>
        </w:tc>
        <w:tc>
          <w:tcPr>
            <w:tcW w:w="1117" w:type="dxa"/>
            <w:vMerge w:val="continue"/>
            <w:tcBorders>
              <w:tl2br w:val="nil"/>
              <w:tr2bl w:val="nil"/>
            </w:tcBorders>
            <w:tcMar>
              <w:top w:w="15" w:type="dxa"/>
              <w:left w:w="15" w:type="dxa"/>
              <w:right w:w="15" w:type="dxa"/>
            </w:tcMar>
            <w:vAlign w:val="center"/>
          </w:tcPr>
          <w:p>
            <w:pPr>
              <w:snapToGrid w:val="0"/>
              <w:jc w:val="center"/>
              <w:rPr>
                <w:rFonts w:ascii="宋体" w:hAnsi="宋体" w:eastAsia="宋体" w:cs="宋体"/>
                <w:sz w:val="18"/>
                <w:szCs w:val="18"/>
              </w:rPr>
            </w:pPr>
          </w:p>
        </w:tc>
        <w:tc>
          <w:tcPr>
            <w:tcW w:w="1517"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管道、压力容器检修作业</w:t>
            </w:r>
          </w:p>
        </w:tc>
        <w:tc>
          <w:tcPr>
            <w:tcW w:w="2300" w:type="dxa"/>
            <w:vMerge w:val="continue"/>
            <w:tcBorders>
              <w:tl2br w:val="nil"/>
              <w:tr2bl w:val="nil"/>
            </w:tcBorders>
            <w:tcMar>
              <w:top w:w="15" w:type="dxa"/>
              <w:left w:w="15" w:type="dxa"/>
              <w:right w:w="15" w:type="dxa"/>
            </w:tcMar>
            <w:vAlign w:val="center"/>
          </w:tcPr>
          <w:p>
            <w:pPr>
              <w:snapToGrid w:val="0"/>
              <w:jc w:val="center"/>
              <w:rPr>
                <w:rFonts w:ascii="宋体" w:hAnsi="宋体" w:eastAsia="宋体" w:cs="宋体"/>
                <w:sz w:val="18"/>
                <w:szCs w:val="18"/>
              </w:rPr>
            </w:pPr>
          </w:p>
        </w:tc>
        <w:tc>
          <w:tcPr>
            <w:tcW w:w="2066"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中毒和窒息</w:t>
            </w:r>
          </w:p>
        </w:tc>
        <w:tc>
          <w:tcPr>
            <w:tcW w:w="85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LEC法</w:t>
            </w:r>
          </w:p>
        </w:tc>
        <w:tc>
          <w:tcPr>
            <w:tcW w:w="85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0.5～3</w:t>
            </w:r>
          </w:p>
        </w:tc>
        <w:tc>
          <w:tcPr>
            <w:tcW w:w="68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2～6</w:t>
            </w:r>
          </w:p>
        </w:tc>
        <w:tc>
          <w:tcPr>
            <w:tcW w:w="737"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3～15</w:t>
            </w:r>
          </w:p>
        </w:tc>
        <w:tc>
          <w:tcPr>
            <w:tcW w:w="964"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3～270</w:t>
            </w:r>
          </w:p>
        </w:tc>
        <w:tc>
          <w:tcPr>
            <w:tcW w:w="850" w:type="dxa"/>
            <w:tcBorders>
              <w:tl2br w:val="nil"/>
              <w:tr2bl w:val="nil"/>
            </w:tcBorders>
            <w:noWrap/>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低～较大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20" w:hRule="atLeast"/>
        </w:trPr>
        <w:tc>
          <w:tcPr>
            <w:tcW w:w="637" w:type="dxa"/>
            <w:tcBorders>
              <w:tl2br w:val="nil"/>
              <w:tr2bl w:val="nil"/>
            </w:tcBorders>
            <w:noWrap/>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73</w:t>
            </w:r>
          </w:p>
        </w:tc>
        <w:tc>
          <w:tcPr>
            <w:tcW w:w="1033" w:type="dxa"/>
            <w:vMerge w:val="restart"/>
            <w:tcBorders>
              <w:top w:val="single" w:color="auto" w:sz="4" w:space="0"/>
              <w:bottom w:val="single" w:color="auto" w:sz="4" w:space="0"/>
              <w:tl2br w:val="nil"/>
              <w:tr2bl w:val="nil"/>
            </w:tcBorders>
            <w:tcMar>
              <w:top w:w="15" w:type="dxa"/>
              <w:left w:w="15" w:type="dxa"/>
              <w:right w:w="15" w:type="dxa"/>
            </w:tcMar>
            <w:vAlign w:val="center"/>
          </w:tcPr>
          <w:p>
            <w:pPr>
              <w:snapToGrid w:val="0"/>
              <w:jc w:val="center"/>
              <w:rPr>
                <w:rFonts w:ascii="宋体" w:hAnsi="宋体" w:eastAsia="宋体" w:cs="宋体"/>
                <w:sz w:val="18"/>
                <w:szCs w:val="18"/>
              </w:rPr>
            </w:pPr>
            <w:r>
              <w:rPr>
                <w:rFonts w:hint="eastAsia" w:ascii="宋体" w:hAnsi="宋体" w:eastAsia="宋体" w:cs="宋体"/>
                <w:sz w:val="18"/>
                <w:szCs w:val="18"/>
                <w:lang w:bidi="ar"/>
              </w:rPr>
              <w:t>作业活动类</w:t>
            </w:r>
          </w:p>
        </w:tc>
        <w:tc>
          <w:tcPr>
            <w:tcW w:w="1117" w:type="dxa"/>
            <w:vMerge w:val="restart"/>
            <w:tcBorders>
              <w:tl2br w:val="nil"/>
              <w:tr2bl w:val="nil"/>
            </w:tcBorders>
            <w:tcMar>
              <w:top w:w="15" w:type="dxa"/>
              <w:left w:w="15" w:type="dxa"/>
              <w:right w:w="15" w:type="dxa"/>
            </w:tcMar>
            <w:vAlign w:val="center"/>
          </w:tcPr>
          <w:p>
            <w:pPr>
              <w:snapToGrid w:val="0"/>
              <w:jc w:val="center"/>
              <w:rPr>
                <w:rFonts w:ascii="宋体" w:hAnsi="宋体" w:eastAsia="宋体" w:cs="宋体"/>
                <w:sz w:val="18"/>
                <w:szCs w:val="18"/>
              </w:rPr>
            </w:pPr>
            <w:r>
              <w:rPr>
                <w:rFonts w:hint="eastAsia" w:ascii="宋体" w:hAnsi="宋体" w:eastAsia="宋体" w:cs="宋体"/>
                <w:sz w:val="18"/>
                <w:szCs w:val="18"/>
              </w:rPr>
              <w:t>检修</w:t>
            </w:r>
          </w:p>
        </w:tc>
        <w:tc>
          <w:tcPr>
            <w:tcW w:w="1517" w:type="dxa"/>
            <w:vMerge w:val="restart"/>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油库、油箱、油管道的运行和检修作业，电机、变压器（机械设备、电气设备）油类作业（含油取样及分析）</w:t>
            </w:r>
          </w:p>
        </w:tc>
        <w:tc>
          <w:tcPr>
            <w:tcW w:w="230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油遇到火源</w:t>
            </w:r>
          </w:p>
        </w:tc>
        <w:tc>
          <w:tcPr>
            <w:tcW w:w="2066"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火灾、触电</w:t>
            </w:r>
          </w:p>
        </w:tc>
        <w:tc>
          <w:tcPr>
            <w:tcW w:w="85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LEC法</w:t>
            </w:r>
          </w:p>
        </w:tc>
        <w:tc>
          <w:tcPr>
            <w:tcW w:w="85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0.5～3</w:t>
            </w:r>
          </w:p>
        </w:tc>
        <w:tc>
          <w:tcPr>
            <w:tcW w:w="68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2～6</w:t>
            </w:r>
          </w:p>
        </w:tc>
        <w:tc>
          <w:tcPr>
            <w:tcW w:w="737"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3～15</w:t>
            </w:r>
          </w:p>
        </w:tc>
        <w:tc>
          <w:tcPr>
            <w:tcW w:w="964"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3～270</w:t>
            </w:r>
          </w:p>
        </w:tc>
        <w:tc>
          <w:tcPr>
            <w:tcW w:w="850" w:type="dxa"/>
            <w:tcBorders>
              <w:tl2br w:val="nil"/>
              <w:tr2bl w:val="nil"/>
            </w:tcBorders>
            <w:noWrap/>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低～较大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20" w:hRule="atLeast"/>
        </w:trPr>
        <w:tc>
          <w:tcPr>
            <w:tcW w:w="637" w:type="dxa"/>
            <w:tcBorders>
              <w:tl2br w:val="nil"/>
              <w:tr2bl w:val="nil"/>
            </w:tcBorders>
            <w:noWrap/>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74</w:t>
            </w:r>
          </w:p>
        </w:tc>
        <w:tc>
          <w:tcPr>
            <w:tcW w:w="1033" w:type="dxa"/>
            <w:vMerge w:val="continue"/>
            <w:tcBorders>
              <w:top w:val="single" w:color="auto" w:sz="4" w:space="0"/>
              <w:bottom w:val="single" w:color="auto" w:sz="4" w:space="0"/>
              <w:tl2br w:val="nil"/>
              <w:tr2bl w:val="nil"/>
            </w:tcBorders>
            <w:tcMar>
              <w:top w:w="15" w:type="dxa"/>
              <w:left w:w="15" w:type="dxa"/>
              <w:right w:w="15" w:type="dxa"/>
            </w:tcMar>
            <w:vAlign w:val="center"/>
          </w:tcPr>
          <w:p>
            <w:pPr>
              <w:snapToGrid w:val="0"/>
              <w:jc w:val="center"/>
              <w:rPr>
                <w:rFonts w:ascii="宋体" w:hAnsi="宋体" w:eastAsia="宋体" w:cs="宋体"/>
                <w:sz w:val="18"/>
                <w:szCs w:val="18"/>
              </w:rPr>
            </w:pPr>
          </w:p>
        </w:tc>
        <w:tc>
          <w:tcPr>
            <w:tcW w:w="1117" w:type="dxa"/>
            <w:vMerge w:val="continue"/>
            <w:tcBorders>
              <w:top w:val="single" w:color="auto" w:sz="4" w:space="0"/>
              <w:bottom w:val="single" w:color="auto" w:sz="4" w:space="0"/>
              <w:tl2br w:val="nil"/>
              <w:tr2bl w:val="nil"/>
            </w:tcBorders>
            <w:tcMar>
              <w:top w:w="15" w:type="dxa"/>
              <w:left w:w="15" w:type="dxa"/>
              <w:right w:w="15" w:type="dxa"/>
            </w:tcMar>
            <w:vAlign w:val="center"/>
          </w:tcPr>
          <w:p>
            <w:pPr>
              <w:snapToGrid w:val="0"/>
              <w:jc w:val="center"/>
              <w:rPr>
                <w:rFonts w:ascii="宋体" w:hAnsi="宋体" w:eastAsia="宋体" w:cs="宋体"/>
                <w:sz w:val="18"/>
                <w:szCs w:val="18"/>
              </w:rPr>
            </w:pPr>
          </w:p>
        </w:tc>
        <w:tc>
          <w:tcPr>
            <w:tcW w:w="1517" w:type="dxa"/>
            <w:vMerge w:val="continue"/>
            <w:tcBorders>
              <w:tl2br w:val="nil"/>
              <w:tr2bl w:val="nil"/>
            </w:tcBorders>
            <w:tcMar>
              <w:top w:w="15" w:type="dxa"/>
              <w:left w:w="15" w:type="dxa"/>
              <w:right w:w="15" w:type="dxa"/>
            </w:tcMar>
            <w:vAlign w:val="center"/>
          </w:tcPr>
          <w:p>
            <w:pPr>
              <w:snapToGrid w:val="0"/>
              <w:jc w:val="center"/>
              <w:rPr>
                <w:rFonts w:ascii="宋体" w:hAnsi="宋体" w:eastAsia="宋体" w:cs="宋体"/>
                <w:sz w:val="18"/>
                <w:szCs w:val="18"/>
              </w:rPr>
            </w:pPr>
          </w:p>
        </w:tc>
        <w:tc>
          <w:tcPr>
            <w:tcW w:w="230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油处理不规范</w:t>
            </w:r>
          </w:p>
        </w:tc>
        <w:tc>
          <w:tcPr>
            <w:tcW w:w="2066"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变压器、电机（电气设备、机械设备）设备损坏</w:t>
            </w:r>
          </w:p>
        </w:tc>
        <w:tc>
          <w:tcPr>
            <w:tcW w:w="85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LEC法</w:t>
            </w:r>
          </w:p>
        </w:tc>
        <w:tc>
          <w:tcPr>
            <w:tcW w:w="85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0.5～3</w:t>
            </w:r>
          </w:p>
        </w:tc>
        <w:tc>
          <w:tcPr>
            <w:tcW w:w="68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2～6</w:t>
            </w:r>
          </w:p>
        </w:tc>
        <w:tc>
          <w:tcPr>
            <w:tcW w:w="737"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3～15</w:t>
            </w:r>
          </w:p>
        </w:tc>
        <w:tc>
          <w:tcPr>
            <w:tcW w:w="964"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3～270</w:t>
            </w:r>
          </w:p>
        </w:tc>
        <w:tc>
          <w:tcPr>
            <w:tcW w:w="850" w:type="dxa"/>
            <w:tcBorders>
              <w:tl2br w:val="nil"/>
              <w:tr2bl w:val="nil"/>
            </w:tcBorders>
            <w:noWrap/>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低～较大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20" w:hRule="atLeast"/>
        </w:trPr>
        <w:tc>
          <w:tcPr>
            <w:tcW w:w="637" w:type="dxa"/>
            <w:tcBorders>
              <w:tl2br w:val="nil"/>
              <w:tr2bl w:val="nil"/>
            </w:tcBorders>
            <w:noWrap/>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75</w:t>
            </w:r>
          </w:p>
        </w:tc>
        <w:tc>
          <w:tcPr>
            <w:tcW w:w="1033" w:type="dxa"/>
            <w:vMerge w:val="continue"/>
            <w:tcBorders>
              <w:top w:val="single" w:color="auto" w:sz="4" w:space="0"/>
              <w:bottom w:val="single" w:color="auto" w:sz="4" w:space="0"/>
              <w:tl2br w:val="nil"/>
              <w:tr2bl w:val="nil"/>
            </w:tcBorders>
            <w:tcMar>
              <w:top w:w="15" w:type="dxa"/>
              <w:left w:w="15" w:type="dxa"/>
              <w:right w:w="15" w:type="dxa"/>
            </w:tcMar>
            <w:vAlign w:val="center"/>
          </w:tcPr>
          <w:p>
            <w:pPr>
              <w:snapToGrid w:val="0"/>
              <w:jc w:val="center"/>
              <w:rPr>
                <w:rFonts w:ascii="宋体" w:hAnsi="宋体" w:eastAsia="宋体" w:cs="宋体"/>
                <w:sz w:val="18"/>
                <w:szCs w:val="18"/>
              </w:rPr>
            </w:pPr>
          </w:p>
        </w:tc>
        <w:tc>
          <w:tcPr>
            <w:tcW w:w="1117" w:type="dxa"/>
            <w:vMerge w:val="continue"/>
            <w:tcBorders>
              <w:top w:val="single" w:color="auto" w:sz="4" w:space="0"/>
              <w:bottom w:val="single" w:color="auto" w:sz="4" w:space="0"/>
              <w:tl2br w:val="nil"/>
              <w:tr2bl w:val="nil"/>
            </w:tcBorders>
            <w:tcMar>
              <w:top w:w="15" w:type="dxa"/>
              <w:left w:w="15" w:type="dxa"/>
              <w:right w:w="15" w:type="dxa"/>
            </w:tcMar>
            <w:vAlign w:val="center"/>
          </w:tcPr>
          <w:p>
            <w:pPr>
              <w:snapToGrid w:val="0"/>
              <w:jc w:val="center"/>
              <w:rPr>
                <w:rFonts w:ascii="宋体" w:hAnsi="宋体" w:eastAsia="宋体" w:cs="宋体"/>
                <w:sz w:val="18"/>
                <w:szCs w:val="18"/>
              </w:rPr>
            </w:pPr>
          </w:p>
        </w:tc>
        <w:tc>
          <w:tcPr>
            <w:tcW w:w="1517" w:type="dxa"/>
            <w:vMerge w:val="continue"/>
            <w:tcBorders>
              <w:tl2br w:val="nil"/>
              <w:tr2bl w:val="nil"/>
            </w:tcBorders>
            <w:tcMar>
              <w:top w:w="15" w:type="dxa"/>
              <w:left w:w="15" w:type="dxa"/>
              <w:right w:w="15" w:type="dxa"/>
            </w:tcMar>
            <w:vAlign w:val="center"/>
          </w:tcPr>
          <w:p>
            <w:pPr>
              <w:snapToGrid w:val="0"/>
              <w:jc w:val="center"/>
              <w:rPr>
                <w:rFonts w:ascii="宋体" w:hAnsi="宋体" w:eastAsia="宋体" w:cs="宋体"/>
                <w:sz w:val="18"/>
                <w:szCs w:val="18"/>
              </w:rPr>
            </w:pPr>
          </w:p>
        </w:tc>
        <w:tc>
          <w:tcPr>
            <w:tcW w:w="230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安全措施不完善</w:t>
            </w:r>
          </w:p>
        </w:tc>
        <w:tc>
          <w:tcPr>
            <w:tcW w:w="2066"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火灾、爆炸</w:t>
            </w:r>
          </w:p>
        </w:tc>
        <w:tc>
          <w:tcPr>
            <w:tcW w:w="85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LEC法</w:t>
            </w:r>
          </w:p>
        </w:tc>
        <w:tc>
          <w:tcPr>
            <w:tcW w:w="85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0.5～3</w:t>
            </w:r>
          </w:p>
        </w:tc>
        <w:tc>
          <w:tcPr>
            <w:tcW w:w="68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2～6</w:t>
            </w:r>
          </w:p>
        </w:tc>
        <w:tc>
          <w:tcPr>
            <w:tcW w:w="737"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3～15</w:t>
            </w:r>
          </w:p>
        </w:tc>
        <w:tc>
          <w:tcPr>
            <w:tcW w:w="964"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3～270</w:t>
            </w:r>
          </w:p>
        </w:tc>
        <w:tc>
          <w:tcPr>
            <w:tcW w:w="850" w:type="dxa"/>
            <w:tcBorders>
              <w:tl2br w:val="nil"/>
              <w:tr2bl w:val="nil"/>
            </w:tcBorders>
            <w:noWrap/>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低～较大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20" w:hRule="atLeast"/>
        </w:trPr>
        <w:tc>
          <w:tcPr>
            <w:tcW w:w="637" w:type="dxa"/>
            <w:tcBorders>
              <w:tl2br w:val="nil"/>
              <w:tr2bl w:val="nil"/>
            </w:tcBorders>
            <w:noWrap/>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76</w:t>
            </w:r>
          </w:p>
        </w:tc>
        <w:tc>
          <w:tcPr>
            <w:tcW w:w="1033" w:type="dxa"/>
            <w:vMerge w:val="continue"/>
            <w:tcBorders>
              <w:top w:val="single" w:color="auto" w:sz="4" w:space="0"/>
              <w:bottom w:val="single" w:color="auto" w:sz="4" w:space="0"/>
              <w:tl2br w:val="nil"/>
              <w:tr2bl w:val="nil"/>
            </w:tcBorders>
            <w:tcMar>
              <w:top w:w="15" w:type="dxa"/>
              <w:left w:w="15" w:type="dxa"/>
              <w:right w:w="15" w:type="dxa"/>
            </w:tcMar>
            <w:vAlign w:val="center"/>
          </w:tcPr>
          <w:p>
            <w:pPr>
              <w:snapToGrid w:val="0"/>
              <w:jc w:val="center"/>
              <w:rPr>
                <w:rFonts w:ascii="宋体" w:hAnsi="宋体" w:eastAsia="宋体" w:cs="宋体"/>
                <w:sz w:val="18"/>
                <w:szCs w:val="18"/>
              </w:rPr>
            </w:pPr>
          </w:p>
        </w:tc>
        <w:tc>
          <w:tcPr>
            <w:tcW w:w="1117" w:type="dxa"/>
            <w:vMerge w:val="continue"/>
            <w:tcBorders>
              <w:top w:val="single" w:color="auto" w:sz="4" w:space="0"/>
              <w:bottom w:val="single" w:color="auto" w:sz="4" w:space="0"/>
              <w:tl2br w:val="nil"/>
              <w:tr2bl w:val="nil"/>
            </w:tcBorders>
            <w:tcMar>
              <w:top w:w="15" w:type="dxa"/>
              <w:left w:w="15" w:type="dxa"/>
              <w:right w:w="15" w:type="dxa"/>
            </w:tcMar>
            <w:vAlign w:val="center"/>
          </w:tcPr>
          <w:p>
            <w:pPr>
              <w:snapToGrid w:val="0"/>
              <w:jc w:val="center"/>
              <w:rPr>
                <w:rFonts w:ascii="宋体" w:hAnsi="宋体" w:eastAsia="宋体" w:cs="宋体"/>
                <w:sz w:val="18"/>
                <w:szCs w:val="18"/>
              </w:rPr>
            </w:pPr>
          </w:p>
        </w:tc>
        <w:tc>
          <w:tcPr>
            <w:tcW w:w="1517" w:type="dxa"/>
            <w:vMerge w:val="continue"/>
            <w:tcBorders>
              <w:tl2br w:val="nil"/>
              <w:tr2bl w:val="nil"/>
            </w:tcBorders>
            <w:tcMar>
              <w:top w:w="15" w:type="dxa"/>
              <w:left w:w="15" w:type="dxa"/>
              <w:right w:w="15" w:type="dxa"/>
            </w:tcMar>
            <w:vAlign w:val="center"/>
          </w:tcPr>
          <w:p>
            <w:pPr>
              <w:snapToGrid w:val="0"/>
              <w:jc w:val="center"/>
              <w:rPr>
                <w:rFonts w:ascii="宋体" w:hAnsi="宋体" w:eastAsia="宋体" w:cs="宋体"/>
                <w:sz w:val="18"/>
                <w:szCs w:val="18"/>
              </w:rPr>
            </w:pPr>
          </w:p>
        </w:tc>
        <w:tc>
          <w:tcPr>
            <w:tcW w:w="230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违章作业</w:t>
            </w:r>
          </w:p>
        </w:tc>
        <w:tc>
          <w:tcPr>
            <w:tcW w:w="2066"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火灾、爆炸</w:t>
            </w:r>
          </w:p>
        </w:tc>
        <w:tc>
          <w:tcPr>
            <w:tcW w:w="85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LEC法</w:t>
            </w:r>
          </w:p>
        </w:tc>
        <w:tc>
          <w:tcPr>
            <w:tcW w:w="85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0.5～3</w:t>
            </w:r>
          </w:p>
        </w:tc>
        <w:tc>
          <w:tcPr>
            <w:tcW w:w="68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2～6</w:t>
            </w:r>
          </w:p>
        </w:tc>
        <w:tc>
          <w:tcPr>
            <w:tcW w:w="737"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3～15</w:t>
            </w:r>
          </w:p>
        </w:tc>
        <w:tc>
          <w:tcPr>
            <w:tcW w:w="964"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3～270</w:t>
            </w:r>
          </w:p>
        </w:tc>
        <w:tc>
          <w:tcPr>
            <w:tcW w:w="850" w:type="dxa"/>
            <w:tcBorders>
              <w:tl2br w:val="nil"/>
              <w:tr2bl w:val="nil"/>
            </w:tcBorders>
            <w:noWrap/>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低～较大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20" w:hRule="atLeast"/>
        </w:trPr>
        <w:tc>
          <w:tcPr>
            <w:tcW w:w="637" w:type="dxa"/>
            <w:tcBorders>
              <w:tl2br w:val="nil"/>
              <w:tr2bl w:val="nil"/>
            </w:tcBorders>
            <w:noWrap/>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77</w:t>
            </w:r>
          </w:p>
        </w:tc>
        <w:tc>
          <w:tcPr>
            <w:tcW w:w="1033" w:type="dxa"/>
            <w:vMerge w:val="continue"/>
            <w:tcBorders>
              <w:top w:val="single" w:color="auto" w:sz="4" w:space="0"/>
              <w:bottom w:val="single" w:color="auto" w:sz="4" w:space="0"/>
              <w:tl2br w:val="nil"/>
              <w:tr2bl w:val="nil"/>
            </w:tcBorders>
            <w:tcMar>
              <w:top w:w="15" w:type="dxa"/>
              <w:left w:w="15" w:type="dxa"/>
              <w:right w:w="15" w:type="dxa"/>
            </w:tcMar>
            <w:vAlign w:val="center"/>
          </w:tcPr>
          <w:p>
            <w:pPr>
              <w:snapToGrid w:val="0"/>
              <w:jc w:val="center"/>
              <w:rPr>
                <w:rFonts w:ascii="宋体" w:hAnsi="宋体" w:eastAsia="宋体" w:cs="宋体"/>
                <w:sz w:val="18"/>
                <w:szCs w:val="18"/>
              </w:rPr>
            </w:pPr>
          </w:p>
        </w:tc>
        <w:tc>
          <w:tcPr>
            <w:tcW w:w="1117" w:type="dxa"/>
            <w:vMerge w:val="continue"/>
            <w:tcBorders>
              <w:top w:val="single" w:color="auto" w:sz="4" w:space="0"/>
              <w:bottom w:val="single" w:color="auto" w:sz="4" w:space="0"/>
              <w:tl2br w:val="nil"/>
              <w:tr2bl w:val="nil"/>
            </w:tcBorders>
            <w:tcMar>
              <w:top w:w="15" w:type="dxa"/>
              <w:left w:w="15" w:type="dxa"/>
              <w:right w:w="15" w:type="dxa"/>
            </w:tcMar>
            <w:vAlign w:val="center"/>
          </w:tcPr>
          <w:p>
            <w:pPr>
              <w:snapToGrid w:val="0"/>
              <w:jc w:val="center"/>
              <w:rPr>
                <w:rFonts w:ascii="宋体" w:hAnsi="宋体" w:eastAsia="宋体" w:cs="宋体"/>
                <w:sz w:val="18"/>
                <w:szCs w:val="18"/>
              </w:rPr>
            </w:pPr>
          </w:p>
        </w:tc>
        <w:tc>
          <w:tcPr>
            <w:tcW w:w="1517"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现场设备检查维护作业</w:t>
            </w:r>
          </w:p>
        </w:tc>
        <w:tc>
          <w:tcPr>
            <w:tcW w:w="230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作业违反操作规程</w:t>
            </w:r>
          </w:p>
        </w:tc>
        <w:tc>
          <w:tcPr>
            <w:tcW w:w="2066"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触电，机械伤害</w:t>
            </w:r>
          </w:p>
        </w:tc>
        <w:tc>
          <w:tcPr>
            <w:tcW w:w="850" w:type="dxa"/>
            <w:tcBorders>
              <w:tl2br w:val="nil"/>
              <w:tr2bl w:val="nil"/>
            </w:tcBorders>
            <w:noWrap/>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LEC法</w:t>
            </w:r>
          </w:p>
        </w:tc>
        <w:tc>
          <w:tcPr>
            <w:tcW w:w="85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0.5～3</w:t>
            </w:r>
          </w:p>
        </w:tc>
        <w:tc>
          <w:tcPr>
            <w:tcW w:w="68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2～6</w:t>
            </w:r>
          </w:p>
        </w:tc>
        <w:tc>
          <w:tcPr>
            <w:tcW w:w="737"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3～15</w:t>
            </w:r>
          </w:p>
        </w:tc>
        <w:tc>
          <w:tcPr>
            <w:tcW w:w="964"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3～270</w:t>
            </w:r>
          </w:p>
        </w:tc>
        <w:tc>
          <w:tcPr>
            <w:tcW w:w="850" w:type="dxa"/>
            <w:tcBorders>
              <w:tl2br w:val="nil"/>
              <w:tr2bl w:val="nil"/>
            </w:tcBorders>
            <w:noWrap/>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低～较大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20" w:hRule="atLeast"/>
        </w:trPr>
        <w:tc>
          <w:tcPr>
            <w:tcW w:w="637" w:type="dxa"/>
            <w:tcBorders>
              <w:tl2br w:val="nil"/>
              <w:tr2bl w:val="nil"/>
            </w:tcBorders>
            <w:noWrap/>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78</w:t>
            </w:r>
          </w:p>
        </w:tc>
        <w:tc>
          <w:tcPr>
            <w:tcW w:w="1033" w:type="dxa"/>
            <w:vMerge w:val="continue"/>
            <w:tcBorders>
              <w:top w:val="single" w:color="auto" w:sz="4" w:space="0"/>
              <w:bottom w:val="single" w:color="auto" w:sz="4" w:space="0"/>
              <w:tl2br w:val="nil"/>
              <w:tr2bl w:val="nil"/>
            </w:tcBorders>
            <w:tcMar>
              <w:top w:w="15" w:type="dxa"/>
              <w:left w:w="15" w:type="dxa"/>
              <w:right w:w="15" w:type="dxa"/>
            </w:tcMar>
            <w:vAlign w:val="center"/>
          </w:tcPr>
          <w:p>
            <w:pPr>
              <w:snapToGrid w:val="0"/>
              <w:jc w:val="center"/>
              <w:rPr>
                <w:rFonts w:ascii="宋体" w:hAnsi="宋体" w:eastAsia="宋体" w:cs="宋体"/>
                <w:sz w:val="18"/>
                <w:szCs w:val="18"/>
              </w:rPr>
            </w:pPr>
          </w:p>
        </w:tc>
        <w:tc>
          <w:tcPr>
            <w:tcW w:w="1117" w:type="dxa"/>
            <w:vMerge w:val="restart"/>
            <w:tcBorders>
              <w:top w:val="single" w:color="auto" w:sz="4" w:space="0"/>
              <w:bottom w:val="single" w:color="auto" w:sz="4" w:space="0"/>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试验检验</w:t>
            </w:r>
          </w:p>
        </w:tc>
        <w:tc>
          <w:tcPr>
            <w:tcW w:w="1517"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管道水压试验</w:t>
            </w:r>
          </w:p>
        </w:tc>
        <w:tc>
          <w:tcPr>
            <w:tcW w:w="230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超压爆裂</w:t>
            </w:r>
          </w:p>
        </w:tc>
        <w:tc>
          <w:tcPr>
            <w:tcW w:w="2066"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人身伤害</w:t>
            </w:r>
          </w:p>
        </w:tc>
        <w:tc>
          <w:tcPr>
            <w:tcW w:w="85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LEC法</w:t>
            </w:r>
          </w:p>
        </w:tc>
        <w:tc>
          <w:tcPr>
            <w:tcW w:w="85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0.5～6</w:t>
            </w:r>
          </w:p>
        </w:tc>
        <w:tc>
          <w:tcPr>
            <w:tcW w:w="68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1～6</w:t>
            </w:r>
          </w:p>
        </w:tc>
        <w:tc>
          <w:tcPr>
            <w:tcW w:w="737"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3～15</w:t>
            </w:r>
          </w:p>
        </w:tc>
        <w:tc>
          <w:tcPr>
            <w:tcW w:w="964" w:type="dxa"/>
            <w:tcBorders>
              <w:tl2br w:val="nil"/>
              <w:tr2bl w:val="nil"/>
            </w:tcBorders>
            <w:noWrap/>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1.5～540</w:t>
            </w:r>
          </w:p>
        </w:tc>
        <w:tc>
          <w:tcPr>
            <w:tcW w:w="85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低～重大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20" w:hRule="atLeast"/>
        </w:trPr>
        <w:tc>
          <w:tcPr>
            <w:tcW w:w="637" w:type="dxa"/>
            <w:tcBorders>
              <w:tl2br w:val="nil"/>
              <w:tr2bl w:val="nil"/>
            </w:tcBorders>
            <w:noWrap/>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79</w:t>
            </w:r>
          </w:p>
        </w:tc>
        <w:tc>
          <w:tcPr>
            <w:tcW w:w="1033" w:type="dxa"/>
            <w:vMerge w:val="continue"/>
            <w:tcBorders>
              <w:top w:val="single" w:color="auto" w:sz="4" w:space="0"/>
              <w:bottom w:val="single" w:color="auto" w:sz="4" w:space="0"/>
              <w:tl2br w:val="nil"/>
              <w:tr2bl w:val="nil"/>
            </w:tcBorders>
            <w:tcMar>
              <w:top w:w="15" w:type="dxa"/>
              <w:left w:w="15" w:type="dxa"/>
              <w:right w:w="15" w:type="dxa"/>
            </w:tcMar>
            <w:vAlign w:val="center"/>
          </w:tcPr>
          <w:p>
            <w:pPr>
              <w:snapToGrid w:val="0"/>
              <w:jc w:val="center"/>
              <w:rPr>
                <w:rFonts w:ascii="宋体" w:hAnsi="宋体" w:eastAsia="宋体" w:cs="宋体"/>
                <w:sz w:val="18"/>
                <w:szCs w:val="18"/>
              </w:rPr>
            </w:pPr>
          </w:p>
        </w:tc>
        <w:tc>
          <w:tcPr>
            <w:tcW w:w="1117" w:type="dxa"/>
            <w:vMerge w:val="continue"/>
            <w:tcBorders>
              <w:top w:val="single" w:color="auto" w:sz="4" w:space="0"/>
              <w:bottom w:val="single" w:color="auto" w:sz="4" w:space="0"/>
              <w:tl2br w:val="nil"/>
              <w:tr2bl w:val="nil"/>
            </w:tcBorders>
            <w:tcMar>
              <w:top w:w="15" w:type="dxa"/>
              <w:left w:w="15" w:type="dxa"/>
              <w:right w:w="15" w:type="dxa"/>
            </w:tcMar>
            <w:vAlign w:val="center"/>
          </w:tcPr>
          <w:p>
            <w:pPr>
              <w:snapToGrid w:val="0"/>
              <w:jc w:val="center"/>
              <w:rPr>
                <w:rFonts w:ascii="宋体" w:hAnsi="宋体" w:eastAsia="宋体" w:cs="宋体"/>
                <w:sz w:val="18"/>
                <w:szCs w:val="18"/>
              </w:rPr>
            </w:pPr>
          </w:p>
        </w:tc>
        <w:tc>
          <w:tcPr>
            <w:tcW w:w="1517"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验电</w:t>
            </w:r>
          </w:p>
        </w:tc>
        <w:tc>
          <w:tcPr>
            <w:tcW w:w="230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验电顺序不合规</w:t>
            </w:r>
          </w:p>
        </w:tc>
        <w:tc>
          <w:tcPr>
            <w:tcW w:w="2066"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触电</w:t>
            </w:r>
          </w:p>
        </w:tc>
        <w:tc>
          <w:tcPr>
            <w:tcW w:w="85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LEC法</w:t>
            </w:r>
          </w:p>
        </w:tc>
        <w:tc>
          <w:tcPr>
            <w:tcW w:w="85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0.5～6</w:t>
            </w:r>
          </w:p>
        </w:tc>
        <w:tc>
          <w:tcPr>
            <w:tcW w:w="68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1～6</w:t>
            </w:r>
          </w:p>
        </w:tc>
        <w:tc>
          <w:tcPr>
            <w:tcW w:w="737"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3～15</w:t>
            </w:r>
          </w:p>
        </w:tc>
        <w:tc>
          <w:tcPr>
            <w:tcW w:w="964" w:type="dxa"/>
            <w:tcBorders>
              <w:tl2br w:val="nil"/>
              <w:tr2bl w:val="nil"/>
            </w:tcBorders>
            <w:noWrap/>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1.5～540</w:t>
            </w:r>
          </w:p>
        </w:tc>
        <w:tc>
          <w:tcPr>
            <w:tcW w:w="85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低～重大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20" w:hRule="atLeast"/>
        </w:trPr>
        <w:tc>
          <w:tcPr>
            <w:tcW w:w="637" w:type="dxa"/>
            <w:tcBorders>
              <w:tl2br w:val="nil"/>
              <w:tr2bl w:val="nil"/>
            </w:tcBorders>
            <w:noWrap/>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80</w:t>
            </w:r>
          </w:p>
        </w:tc>
        <w:tc>
          <w:tcPr>
            <w:tcW w:w="1033" w:type="dxa"/>
            <w:vMerge w:val="continue"/>
            <w:tcBorders>
              <w:top w:val="single" w:color="auto" w:sz="4" w:space="0"/>
              <w:bottom w:val="single" w:color="auto" w:sz="4" w:space="0"/>
              <w:tl2br w:val="nil"/>
              <w:tr2bl w:val="nil"/>
            </w:tcBorders>
            <w:tcMar>
              <w:top w:w="15" w:type="dxa"/>
              <w:left w:w="15" w:type="dxa"/>
              <w:right w:w="15" w:type="dxa"/>
            </w:tcMar>
            <w:vAlign w:val="center"/>
          </w:tcPr>
          <w:p>
            <w:pPr>
              <w:snapToGrid w:val="0"/>
              <w:jc w:val="center"/>
              <w:rPr>
                <w:rFonts w:ascii="宋体" w:hAnsi="宋体" w:eastAsia="宋体" w:cs="宋体"/>
                <w:sz w:val="18"/>
                <w:szCs w:val="18"/>
              </w:rPr>
            </w:pPr>
          </w:p>
        </w:tc>
        <w:tc>
          <w:tcPr>
            <w:tcW w:w="1117" w:type="dxa"/>
            <w:vMerge w:val="continue"/>
            <w:tcBorders>
              <w:top w:val="single" w:color="auto" w:sz="4" w:space="0"/>
              <w:bottom w:val="single" w:color="auto" w:sz="4" w:space="0"/>
              <w:tl2br w:val="nil"/>
              <w:tr2bl w:val="nil"/>
            </w:tcBorders>
            <w:tcMar>
              <w:top w:w="15" w:type="dxa"/>
              <w:left w:w="15" w:type="dxa"/>
              <w:right w:w="15" w:type="dxa"/>
            </w:tcMar>
            <w:vAlign w:val="center"/>
          </w:tcPr>
          <w:p>
            <w:pPr>
              <w:snapToGrid w:val="0"/>
              <w:jc w:val="center"/>
              <w:rPr>
                <w:rFonts w:ascii="宋体" w:hAnsi="宋体" w:eastAsia="宋体" w:cs="宋体"/>
                <w:sz w:val="18"/>
                <w:szCs w:val="18"/>
              </w:rPr>
            </w:pPr>
          </w:p>
        </w:tc>
        <w:tc>
          <w:tcPr>
            <w:tcW w:w="1517"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高电压试验</w:t>
            </w:r>
          </w:p>
        </w:tc>
        <w:tc>
          <w:tcPr>
            <w:tcW w:w="230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漏电</w:t>
            </w:r>
          </w:p>
        </w:tc>
        <w:tc>
          <w:tcPr>
            <w:tcW w:w="2066"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触电</w:t>
            </w:r>
          </w:p>
        </w:tc>
        <w:tc>
          <w:tcPr>
            <w:tcW w:w="85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LEC法</w:t>
            </w:r>
          </w:p>
        </w:tc>
        <w:tc>
          <w:tcPr>
            <w:tcW w:w="85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0.5～6</w:t>
            </w:r>
          </w:p>
        </w:tc>
        <w:tc>
          <w:tcPr>
            <w:tcW w:w="68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1～6</w:t>
            </w:r>
          </w:p>
        </w:tc>
        <w:tc>
          <w:tcPr>
            <w:tcW w:w="737"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3～15</w:t>
            </w:r>
          </w:p>
        </w:tc>
        <w:tc>
          <w:tcPr>
            <w:tcW w:w="964" w:type="dxa"/>
            <w:tcBorders>
              <w:tl2br w:val="nil"/>
              <w:tr2bl w:val="nil"/>
            </w:tcBorders>
            <w:noWrap/>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1.5～540</w:t>
            </w:r>
          </w:p>
        </w:tc>
        <w:tc>
          <w:tcPr>
            <w:tcW w:w="85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低～重大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20" w:hRule="atLeast"/>
        </w:trPr>
        <w:tc>
          <w:tcPr>
            <w:tcW w:w="637" w:type="dxa"/>
            <w:tcBorders>
              <w:tl2br w:val="nil"/>
              <w:tr2bl w:val="nil"/>
            </w:tcBorders>
            <w:noWrap/>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81</w:t>
            </w:r>
          </w:p>
        </w:tc>
        <w:tc>
          <w:tcPr>
            <w:tcW w:w="1033" w:type="dxa"/>
            <w:vMerge w:val="restart"/>
            <w:tcBorders>
              <w:top w:val="single" w:color="auto" w:sz="4" w:space="0"/>
              <w:bottom w:val="single" w:color="auto" w:sz="4" w:space="0"/>
              <w:tl2br w:val="nil"/>
              <w:tr2bl w:val="nil"/>
            </w:tcBorders>
            <w:noWrap/>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管理类</w:t>
            </w:r>
          </w:p>
        </w:tc>
        <w:tc>
          <w:tcPr>
            <w:tcW w:w="1117" w:type="dxa"/>
            <w:vMerge w:val="restart"/>
            <w:tcBorders>
              <w:top w:val="single" w:color="auto" w:sz="4" w:space="0"/>
              <w:bottom w:val="single" w:color="auto" w:sz="4" w:space="0"/>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管理体系</w:t>
            </w:r>
          </w:p>
        </w:tc>
        <w:tc>
          <w:tcPr>
            <w:tcW w:w="1517"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机构组成与人员配备</w:t>
            </w:r>
          </w:p>
        </w:tc>
        <w:tc>
          <w:tcPr>
            <w:tcW w:w="230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机构不健全</w:t>
            </w:r>
          </w:p>
        </w:tc>
        <w:tc>
          <w:tcPr>
            <w:tcW w:w="2066"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影响工程运行管理</w:t>
            </w:r>
          </w:p>
        </w:tc>
        <w:tc>
          <w:tcPr>
            <w:tcW w:w="850" w:type="dxa"/>
            <w:tcBorders>
              <w:tl2br w:val="nil"/>
              <w:tr2bl w:val="nil"/>
            </w:tcBorders>
            <w:noWrap/>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LS法</w:t>
            </w:r>
          </w:p>
        </w:tc>
        <w:tc>
          <w:tcPr>
            <w:tcW w:w="85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5～30</w:t>
            </w:r>
          </w:p>
        </w:tc>
        <w:tc>
          <w:tcPr>
            <w:tcW w:w="680" w:type="dxa"/>
            <w:tcBorders>
              <w:tl2br w:val="nil"/>
              <w:tr2bl w:val="nil"/>
            </w:tcBorders>
            <w:tcMar>
              <w:top w:w="15" w:type="dxa"/>
              <w:left w:w="15" w:type="dxa"/>
              <w:right w:w="15" w:type="dxa"/>
            </w:tcMar>
            <w:vAlign w:val="center"/>
          </w:tcPr>
          <w:p>
            <w:pPr>
              <w:snapToGrid w:val="0"/>
              <w:jc w:val="center"/>
              <w:rPr>
                <w:rFonts w:ascii="宋体" w:hAnsi="宋体" w:eastAsia="宋体" w:cs="宋体"/>
                <w:sz w:val="18"/>
                <w:szCs w:val="18"/>
              </w:rPr>
            </w:pPr>
            <w:r>
              <w:rPr>
                <w:rFonts w:hint="eastAsia" w:ascii="宋体" w:hAnsi="宋体" w:eastAsia="宋体" w:cs="宋体"/>
                <w:sz w:val="18"/>
                <w:szCs w:val="18"/>
              </w:rPr>
              <w:t>/</w:t>
            </w:r>
          </w:p>
        </w:tc>
        <w:tc>
          <w:tcPr>
            <w:tcW w:w="737"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3～15</w:t>
            </w:r>
          </w:p>
        </w:tc>
        <w:tc>
          <w:tcPr>
            <w:tcW w:w="964"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15～450</w:t>
            </w:r>
          </w:p>
        </w:tc>
        <w:tc>
          <w:tcPr>
            <w:tcW w:w="85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低～重大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20" w:hRule="atLeast"/>
        </w:trPr>
        <w:tc>
          <w:tcPr>
            <w:tcW w:w="637" w:type="dxa"/>
            <w:tcBorders>
              <w:tl2br w:val="nil"/>
              <w:tr2bl w:val="nil"/>
            </w:tcBorders>
            <w:noWrap/>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82</w:t>
            </w:r>
          </w:p>
        </w:tc>
        <w:tc>
          <w:tcPr>
            <w:tcW w:w="1033" w:type="dxa"/>
            <w:vMerge w:val="continue"/>
            <w:tcBorders>
              <w:top w:val="single" w:color="auto" w:sz="4" w:space="0"/>
              <w:bottom w:val="single" w:color="auto" w:sz="4" w:space="0"/>
              <w:tl2br w:val="nil"/>
              <w:tr2bl w:val="nil"/>
            </w:tcBorders>
            <w:noWrap/>
            <w:tcMar>
              <w:top w:w="15" w:type="dxa"/>
              <w:left w:w="15" w:type="dxa"/>
              <w:right w:w="15" w:type="dxa"/>
            </w:tcMar>
            <w:vAlign w:val="center"/>
          </w:tcPr>
          <w:p>
            <w:pPr>
              <w:snapToGrid w:val="0"/>
              <w:jc w:val="center"/>
              <w:rPr>
                <w:rFonts w:ascii="宋体" w:hAnsi="宋体" w:eastAsia="宋体" w:cs="宋体"/>
                <w:sz w:val="18"/>
                <w:szCs w:val="18"/>
              </w:rPr>
            </w:pPr>
          </w:p>
        </w:tc>
        <w:tc>
          <w:tcPr>
            <w:tcW w:w="1117" w:type="dxa"/>
            <w:vMerge w:val="continue"/>
            <w:tcBorders>
              <w:top w:val="single" w:color="auto" w:sz="4" w:space="0"/>
              <w:bottom w:val="single" w:color="auto" w:sz="4" w:space="0"/>
              <w:tl2br w:val="nil"/>
              <w:tr2bl w:val="nil"/>
            </w:tcBorders>
            <w:tcMar>
              <w:top w:w="15" w:type="dxa"/>
              <w:left w:w="15" w:type="dxa"/>
              <w:right w:w="15" w:type="dxa"/>
            </w:tcMar>
            <w:vAlign w:val="center"/>
          </w:tcPr>
          <w:p>
            <w:pPr>
              <w:snapToGrid w:val="0"/>
              <w:jc w:val="center"/>
              <w:rPr>
                <w:rFonts w:ascii="宋体" w:hAnsi="宋体" w:eastAsia="宋体" w:cs="宋体"/>
                <w:sz w:val="18"/>
                <w:szCs w:val="18"/>
              </w:rPr>
            </w:pPr>
          </w:p>
        </w:tc>
        <w:tc>
          <w:tcPr>
            <w:tcW w:w="1517"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安全管理规章制度与操作规程制定</w:t>
            </w:r>
          </w:p>
        </w:tc>
        <w:tc>
          <w:tcPr>
            <w:tcW w:w="230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制度不健全</w:t>
            </w:r>
          </w:p>
        </w:tc>
        <w:tc>
          <w:tcPr>
            <w:tcW w:w="2066"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影响工程运行管理</w:t>
            </w:r>
          </w:p>
        </w:tc>
        <w:tc>
          <w:tcPr>
            <w:tcW w:w="850" w:type="dxa"/>
            <w:tcBorders>
              <w:tl2br w:val="nil"/>
              <w:tr2bl w:val="nil"/>
            </w:tcBorders>
            <w:noWrap/>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LS法</w:t>
            </w:r>
          </w:p>
        </w:tc>
        <w:tc>
          <w:tcPr>
            <w:tcW w:w="85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5～30</w:t>
            </w:r>
          </w:p>
        </w:tc>
        <w:tc>
          <w:tcPr>
            <w:tcW w:w="680" w:type="dxa"/>
            <w:tcBorders>
              <w:tl2br w:val="nil"/>
              <w:tr2bl w:val="nil"/>
            </w:tcBorders>
            <w:tcMar>
              <w:top w:w="15" w:type="dxa"/>
              <w:left w:w="15" w:type="dxa"/>
              <w:right w:w="15" w:type="dxa"/>
            </w:tcMar>
            <w:vAlign w:val="center"/>
          </w:tcPr>
          <w:p>
            <w:pPr>
              <w:snapToGrid w:val="0"/>
              <w:jc w:val="center"/>
              <w:rPr>
                <w:rFonts w:ascii="宋体" w:hAnsi="宋体" w:eastAsia="宋体" w:cs="宋体"/>
                <w:sz w:val="18"/>
                <w:szCs w:val="18"/>
              </w:rPr>
            </w:pPr>
            <w:r>
              <w:rPr>
                <w:rFonts w:hint="eastAsia" w:ascii="宋体" w:hAnsi="宋体" w:eastAsia="宋体" w:cs="宋体"/>
                <w:sz w:val="18"/>
                <w:szCs w:val="18"/>
              </w:rPr>
              <w:t>/</w:t>
            </w:r>
          </w:p>
        </w:tc>
        <w:tc>
          <w:tcPr>
            <w:tcW w:w="737"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3～15</w:t>
            </w:r>
          </w:p>
        </w:tc>
        <w:tc>
          <w:tcPr>
            <w:tcW w:w="964"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15～450</w:t>
            </w:r>
          </w:p>
        </w:tc>
        <w:tc>
          <w:tcPr>
            <w:tcW w:w="85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低～重大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20" w:hRule="atLeast"/>
        </w:trPr>
        <w:tc>
          <w:tcPr>
            <w:tcW w:w="637" w:type="dxa"/>
            <w:tcBorders>
              <w:tl2br w:val="nil"/>
              <w:tr2bl w:val="nil"/>
            </w:tcBorders>
            <w:noWrap/>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83</w:t>
            </w:r>
          </w:p>
        </w:tc>
        <w:tc>
          <w:tcPr>
            <w:tcW w:w="1033" w:type="dxa"/>
            <w:vMerge w:val="restart"/>
            <w:tcBorders>
              <w:top w:val="single" w:color="auto" w:sz="4" w:space="0"/>
              <w:tl2br w:val="nil"/>
              <w:tr2bl w:val="nil"/>
            </w:tcBorders>
            <w:noWrap/>
            <w:tcMar>
              <w:top w:w="15" w:type="dxa"/>
              <w:left w:w="15" w:type="dxa"/>
              <w:right w:w="15" w:type="dxa"/>
            </w:tcMar>
            <w:vAlign w:val="center"/>
          </w:tcPr>
          <w:p>
            <w:pPr>
              <w:snapToGrid w:val="0"/>
              <w:jc w:val="center"/>
              <w:rPr>
                <w:rFonts w:ascii="宋体" w:hAnsi="宋体" w:eastAsia="宋体" w:cs="宋体"/>
                <w:sz w:val="18"/>
                <w:szCs w:val="18"/>
              </w:rPr>
            </w:pPr>
            <w:r>
              <w:rPr>
                <w:rFonts w:hint="eastAsia" w:ascii="宋体" w:hAnsi="宋体" w:eastAsia="宋体" w:cs="宋体"/>
                <w:sz w:val="18"/>
                <w:szCs w:val="18"/>
                <w:lang w:bidi="ar"/>
              </w:rPr>
              <w:t>管理类</w:t>
            </w:r>
          </w:p>
        </w:tc>
        <w:tc>
          <w:tcPr>
            <w:tcW w:w="1117" w:type="dxa"/>
            <w:vMerge w:val="restart"/>
            <w:tcBorders>
              <w:top w:val="single" w:color="auto" w:sz="4" w:space="0"/>
              <w:bottom w:val="single" w:color="auto" w:sz="4" w:space="0"/>
              <w:tl2br w:val="nil"/>
              <w:tr2bl w:val="nil"/>
            </w:tcBorders>
            <w:tcMar>
              <w:top w:w="15" w:type="dxa"/>
              <w:left w:w="15" w:type="dxa"/>
              <w:right w:w="15" w:type="dxa"/>
            </w:tcMar>
            <w:vAlign w:val="center"/>
          </w:tcPr>
          <w:p>
            <w:pPr>
              <w:snapToGrid w:val="0"/>
              <w:jc w:val="center"/>
              <w:rPr>
                <w:rFonts w:ascii="宋体" w:hAnsi="宋体" w:eastAsia="宋体" w:cs="宋体"/>
                <w:sz w:val="18"/>
                <w:szCs w:val="18"/>
              </w:rPr>
            </w:pPr>
            <w:r>
              <w:rPr>
                <w:rFonts w:hint="eastAsia" w:ascii="宋体" w:hAnsi="宋体" w:eastAsia="宋体" w:cs="宋体"/>
                <w:sz w:val="18"/>
                <w:szCs w:val="18"/>
                <w:lang w:bidi="ar"/>
              </w:rPr>
              <w:t>管理体系</w:t>
            </w:r>
          </w:p>
        </w:tc>
        <w:tc>
          <w:tcPr>
            <w:tcW w:w="1517"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防汛抢险物料准备</w:t>
            </w:r>
          </w:p>
        </w:tc>
        <w:tc>
          <w:tcPr>
            <w:tcW w:w="230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物料准备不足</w:t>
            </w:r>
          </w:p>
        </w:tc>
        <w:tc>
          <w:tcPr>
            <w:tcW w:w="2066"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影响工程防汛抢险</w:t>
            </w:r>
          </w:p>
        </w:tc>
        <w:tc>
          <w:tcPr>
            <w:tcW w:w="850" w:type="dxa"/>
            <w:tcBorders>
              <w:tl2br w:val="nil"/>
              <w:tr2bl w:val="nil"/>
            </w:tcBorders>
            <w:noWrap/>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LS法</w:t>
            </w:r>
          </w:p>
        </w:tc>
        <w:tc>
          <w:tcPr>
            <w:tcW w:w="85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5～10</w:t>
            </w:r>
          </w:p>
        </w:tc>
        <w:tc>
          <w:tcPr>
            <w:tcW w:w="680" w:type="dxa"/>
            <w:tcBorders>
              <w:tl2br w:val="nil"/>
              <w:tr2bl w:val="nil"/>
            </w:tcBorders>
            <w:tcMar>
              <w:top w:w="15" w:type="dxa"/>
              <w:left w:w="15" w:type="dxa"/>
              <w:right w:w="15" w:type="dxa"/>
            </w:tcMar>
            <w:vAlign w:val="center"/>
          </w:tcPr>
          <w:p>
            <w:pPr>
              <w:snapToGrid w:val="0"/>
              <w:jc w:val="center"/>
              <w:rPr>
                <w:rFonts w:ascii="宋体" w:hAnsi="宋体" w:eastAsia="宋体" w:cs="宋体"/>
                <w:sz w:val="18"/>
                <w:szCs w:val="18"/>
              </w:rPr>
            </w:pPr>
            <w:r>
              <w:rPr>
                <w:rFonts w:hint="eastAsia" w:ascii="宋体" w:hAnsi="宋体" w:eastAsia="宋体" w:cs="宋体"/>
                <w:sz w:val="18"/>
                <w:szCs w:val="18"/>
              </w:rPr>
              <w:t>/</w:t>
            </w:r>
          </w:p>
        </w:tc>
        <w:tc>
          <w:tcPr>
            <w:tcW w:w="737"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3～15</w:t>
            </w:r>
          </w:p>
        </w:tc>
        <w:tc>
          <w:tcPr>
            <w:tcW w:w="964"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15～150</w:t>
            </w:r>
          </w:p>
        </w:tc>
        <w:tc>
          <w:tcPr>
            <w:tcW w:w="850" w:type="dxa"/>
            <w:tcBorders>
              <w:tl2br w:val="nil"/>
              <w:tr2bl w:val="nil"/>
            </w:tcBorders>
            <w:noWrap/>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低～一般</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20" w:hRule="atLeast"/>
        </w:trPr>
        <w:tc>
          <w:tcPr>
            <w:tcW w:w="637" w:type="dxa"/>
            <w:tcBorders>
              <w:tl2br w:val="nil"/>
              <w:tr2bl w:val="nil"/>
            </w:tcBorders>
            <w:noWrap/>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84</w:t>
            </w:r>
          </w:p>
        </w:tc>
        <w:tc>
          <w:tcPr>
            <w:tcW w:w="1033" w:type="dxa"/>
            <w:vMerge w:val="continue"/>
            <w:tcBorders>
              <w:top w:val="single" w:color="auto" w:sz="4" w:space="0"/>
              <w:bottom w:val="single" w:color="auto" w:sz="4" w:space="0"/>
              <w:tl2br w:val="nil"/>
              <w:tr2bl w:val="nil"/>
            </w:tcBorders>
            <w:noWrap/>
            <w:tcMar>
              <w:top w:w="15" w:type="dxa"/>
              <w:left w:w="15" w:type="dxa"/>
              <w:right w:w="15" w:type="dxa"/>
            </w:tcMar>
            <w:vAlign w:val="center"/>
          </w:tcPr>
          <w:p>
            <w:pPr>
              <w:snapToGrid w:val="0"/>
              <w:jc w:val="center"/>
              <w:rPr>
                <w:rFonts w:ascii="宋体" w:hAnsi="宋体" w:eastAsia="宋体" w:cs="宋体"/>
                <w:sz w:val="18"/>
                <w:szCs w:val="18"/>
              </w:rPr>
            </w:pPr>
          </w:p>
        </w:tc>
        <w:tc>
          <w:tcPr>
            <w:tcW w:w="1117" w:type="dxa"/>
            <w:vMerge w:val="continue"/>
            <w:tcBorders>
              <w:top w:val="single" w:color="auto" w:sz="4" w:space="0"/>
              <w:bottom w:val="single" w:color="auto" w:sz="4" w:space="0"/>
              <w:tl2br w:val="nil"/>
              <w:tr2bl w:val="nil"/>
            </w:tcBorders>
            <w:tcMar>
              <w:top w:w="15" w:type="dxa"/>
              <w:left w:w="15" w:type="dxa"/>
              <w:right w:w="15" w:type="dxa"/>
            </w:tcMar>
            <w:vAlign w:val="center"/>
          </w:tcPr>
          <w:p>
            <w:pPr>
              <w:snapToGrid w:val="0"/>
              <w:jc w:val="center"/>
              <w:rPr>
                <w:rFonts w:ascii="宋体" w:hAnsi="宋体" w:eastAsia="宋体" w:cs="宋体"/>
                <w:sz w:val="18"/>
                <w:szCs w:val="18"/>
              </w:rPr>
            </w:pPr>
          </w:p>
        </w:tc>
        <w:tc>
          <w:tcPr>
            <w:tcW w:w="1517"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维修养护物资准备</w:t>
            </w:r>
          </w:p>
        </w:tc>
        <w:tc>
          <w:tcPr>
            <w:tcW w:w="230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物资准备不足</w:t>
            </w:r>
          </w:p>
        </w:tc>
        <w:tc>
          <w:tcPr>
            <w:tcW w:w="2066"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影响工程运行安全</w:t>
            </w:r>
          </w:p>
        </w:tc>
        <w:tc>
          <w:tcPr>
            <w:tcW w:w="850" w:type="dxa"/>
            <w:tcBorders>
              <w:tl2br w:val="nil"/>
              <w:tr2bl w:val="nil"/>
            </w:tcBorders>
            <w:noWrap/>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LS法</w:t>
            </w:r>
          </w:p>
        </w:tc>
        <w:tc>
          <w:tcPr>
            <w:tcW w:w="85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5～10</w:t>
            </w:r>
          </w:p>
        </w:tc>
        <w:tc>
          <w:tcPr>
            <w:tcW w:w="680" w:type="dxa"/>
            <w:tcBorders>
              <w:tl2br w:val="nil"/>
              <w:tr2bl w:val="nil"/>
            </w:tcBorders>
            <w:tcMar>
              <w:top w:w="15" w:type="dxa"/>
              <w:left w:w="15" w:type="dxa"/>
              <w:right w:w="15" w:type="dxa"/>
            </w:tcMar>
            <w:vAlign w:val="center"/>
          </w:tcPr>
          <w:p>
            <w:pPr>
              <w:snapToGrid w:val="0"/>
              <w:jc w:val="center"/>
              <w:rPr>
                <w:rFonts w:ascii="宋体" w:hAnsi="宋体" w:eastAsia="宋体" w:cs="宋体"/>
                <w:sz w:val="18"/>
                <w:szCs w:val="18"/>
              </w:rPr>
            </w:pPr>
            <w:r>
              <w:rPr>
                <w:rFonts w:hint="eastAsia" w:ascii="宋体" w:hAnsi="宋体" w:eastAsia="宋体" w:cs="宋体"/>
                <w:sz w:val="18"/>
                <w:szCs w:val="18"/>
              </w:rPr>
              <w:t>/</w:t>
            </w:r>
          </w:p>
        </w:tc>
        <w:tc>
          <w:tcPr>
            <w:tcW w:w="737"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3～15</w:t>
            </w:r>
          </w:p>
        </w:tc>
        <w:tc>
          <w:tcPr>
            <w:tcW w:w="964"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15～150</w:t>
            </w:r>
          </w:p>
        </w:tc>
        <w:tc>
          <w:tcPr>
            <w:tcW w:w="850" w:type="dxa"/>
            <w:tcBorders>
              <w:tl2br w:val="nil"/>
              <w:tr2bl w:val="nil"/>
            </w:tcBorders>
            <w:noWrap/>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低～一般</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20" w:hRule="atLeast"/>
        </w:trPr>
        <w:tc>
          <w:tcPr>
            <w:tcW w:w="637" w:type="dxa"/>
            <w:tcBorders>
              <w:tl2br w:val="nil"/>
              <w:tr2bl w:val="nil"/>
            </w:tcBorders>
            <w:noWrap/>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85</w:t>
            </w:r>
          </w:p>
        </w:tc>
        <w:tc>
          <w:tcPr>
            <w:tcW w:w="1033" w:type="dxa"/>
            <w:vMerge w:val="continue"/>
            <w:tcBorders>
              <w:top w:val="single" w:color="auto" w:sz="4" w:space="0"/>
              <w:bottom w:val="single" w:color="auto" w:sz="4" w:space="0"/>
              <w:tl2br w:val="nil"/>
              <w:tr2bl w:val="nil"/>
            </w:tcBorders>
            <w:noWrap/>
            <w:tcMar>
              <w:top w:w="15" w:type="dxa"/>
              <w:left w:w="15" w:type="dxa"/>
              <w:right w:w="15" w:type="dxa"/>
            </w:tcMar>
            <w:vAlign w:val="center"/>
          </w:tcPr>
          <w:p>
            <w:pPr>
              <w:snapToGrid w:val="0"/>
              <w:jc w:val="center"/>
              <w:rPr>
                <w:rFonts w:ascii="宋体" w:hAnsi="宋体" w:eastAsia="宋体" w:cs="宋体"/>
                <w:sz w:val="18"/>
                <w:szCs w:val="18"/>
              </w:rPr>
            </w:pPr>
          </w:p>
        </w:tc>
        <w:tc>
          <w:tcPr>
            <w:tcW w:w="1117" w:type="dxa"/>
            <w:vMerge w:val="continue"/>
            <w:tcBorders>
              <w:top w:val="single" w:color="auto" w:sz="4" w:space="0"/>
              <w:bottom w:val="single" w:color="auto" w:sz="4" w:space="0"/>
              <w:tl2br w:val="nil"/>
              <w:tr2bl w:val="nil"/>
            </w:tcBorders>
            <w:tcMar>
              <w:top w:w="15" w:type="dxa"/>
              <w:left w:w="15" w:type="dxa"/>
              <w:right w:w="15" w:type="dxa"/>
            </w:tcMar>
            <w:vAlign w:val="center"/>
          </w:tcPr>
          <w:p>
            <w:pPr>
              <w:snapToGrid w:val="0"/>
              <w:jc w:val="center"/>
              <w:rPr>
                <w:rFonts w:ascii="宋体" w:hAnsi="宋体" w:eastAsia="宋体" w:cs="宋体"/>
                <w:sz w:val="18"/>
                <w:szCs w:val="18"/>
              </w:rPr>
            </w:pPr>
          </w:p>
        </w:tc>
        <w:tc>
          <w:tcPr>
            <w:tcW w:w="1517"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人员基本支出和工程维修养护经费落实</w:t>
            </w:r>
          </w:p>
        </w:tc>
        <w:tc>
          <w:tcPr>
            <w:tcW w:w="230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经费未落实</w:t>
            </w:r>
          </w:p>
        </w:tc>
        <w:tc>
          <w:tcPr>
            <w:tcW w:w="2066"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影响工程运行管理</w:t>
            </w:r>
          </w:p>
        </w:tc>
        <w:tc>
          <w:tcPr>
            <w:tcW w:w="850" w:type="dxa"/>
            <w:tcBorders>
              <w:tl2br w:val="nil"/>
              <w:tr2bl w:val="nil"/>
            </w:tcBorders>
            <w:noWrap/>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LS法</w:t>
            </w:r>
          </w:p>
        </w:tc>
        <w:tc>
          <w:tcPr>
            <w:tcW w:w="85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5～30</w:t>
            </w:r>
          </w:p>
        </w:tc>
        <w:tc>
          <w:tcPr>
            <w:tcW w:w="680" w:type="dxa"/>
            <w:tcBorders>
              <w:tl2br w:val="nil"/>
              <w:tr2bl w:val="nil"/>
            </w:tcBorders>
            <w:tcMar>
              <w:top w:w="15" w:type="dxa"/>
              <w:left w:w="15" w:type="dxa"/>
              <w:right w:w="15" w:type="dxa"/>
            </w:tcMar>
            <w:vAlign w:val="center"/>
          </w:tcPr>
          <w:p>
            <w:pPr>
              <w:snapToGrid w:val="0"/>
              <w:jc w:val="center"/>
              <w:rPr>
                <w:rFonts w:ascii="宋体" w:hAnsi="宋体" w:eastAsia="宋体" w:cs="宋体"/>
                <w:sz w:val="18"/>
                <w:szCs w:val="18"/>
              </w:rPr>
            </w:pPr>
            <w:r>
              <w:rPr>
                <w:rFonts w:hint="eastAsia" w:ascii="宋体" w:hAnsi="宋体" w:eastAsia="宋体" w:cs="宋体"/>
                <w:sz w:val="18"/>
                <w:szCs w:val="18"/>
              </w:rPr>
              <w:t>/</w:t>
            </w:r>
          </w:p>
        </w:tc>
        <w:tc>
          <w:tcPr>
            <w:tcW w:w="737"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3～15</w:t>
            </w:r>
          </w:p>
        </w:tc>
        <w:tc>
          <w:tcPr>
            <w:tcW w:w="964"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15～450</w:t>
            </w:r>
          </w:p>
        </w:tc>
        <w:tc>
          <w:tcPr>
            <w:tcW w:w="85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低～重大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20" w:hRule="atLeast"/>
        </w:trPr>
        <w:tc>
          <w:tcPr>
            <w:tcW w:w="637" w:type="dxa"/>
            <w:tcBorders>
              <w:tl2br w:val="nil"/>
              <w:tr2bl w:val="nil"/>
            </w:tcBorders>
            <w:noWrap/>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86</w:t>
            </w:r>
          </w:p>
        </w:tc>
        <w:tc>
          <w:tcPr>
            <w:tcW w:w="1033" w:type="dxa"/>
            <w:vMerge w:val="continue"/>
            <w:tcBorders>
              <w:top w:val="single" w:color="auto" w:sz="4" w:space="0"/>
              <w:bottom w:val="single" w:color="auto" w:sz="4" w:space="0"/>
              <w:tl2br w:val="nil"/>
              <w:tr2bl w:val="nil"/>
            </w:tcBorders>
            <w:noWrap/>
            <w:tcMar>
              <w:top w:w="15" w:type="dxa"/>
              <w:left w:w="15" w:type="dxa"/>
              <w:right w:w="15" w:type="dxa"/>
            </w:tcMar>
            <w:vAlign w:val="center"/>
          </w:tcPr>
          <w:p>
            <w:pPr>
              <w:snapToGrid w:val="0"/>
              <w:jc w:val="center"/>
              <w:rPr>
                <w:rFonts w:ascii="宋体" w:hAnsi="宋体" w:eastAsia="宋体" w:cs="宋体"/>
                <w:sz w:val="18"/>
                <w:szCs w:val="18"/>
              </w:rPr>
            </w:pPr>
          </w:p>
        </w:tc>
        <w:tc>
          <w:tcPr>
            <w:tcW w:w="1117" w:type="dxa"/>
            <w:vMerge w:val="continue"/>
            <w:tcBorders>
              <w:top w:val="single" w:color="auto" w:sz="4" w:space="0"/>
              <w:bottom w:val="single" w:color="auto" w:sz="4" w:space="0"/>
              <w:tl2br w:val="nil"/>
              <w:tr2bl w:val="nil"/>
            </w:tcBorders>
            <w:tcMar>
              <w:top w:w="15" w:type="dxa"/>
              <w:left w:w="15" w:type="dxa"/>
              <w:right w:w="15" w:type="dxa"/>
            </w:tcMar>
            <w:vAlign w:val="center"/>
          </w:tcPr>
          <w:p>
            <w:pPr>
              <w:snapToGrid w:val="0"/>
              <w:jc w:val="center"/>
              <w:rPr>
                <w:rFonts w:ascii="宋体" w:hAnsi="宋体" w:eastAsia="宋体" w:cs="宋体"/>
                <w:sz w:val="18"/>
                <w:szCs w:val="18"/>
              </w:rPr>
            </w:pPr>
          </w:p>
        </w:tc>
        <w:tc>
          <w:tcPr>
            <w:tcW w:w="1517"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管理、作业人员教育培训</w:t>
            </w:r>
          </w:p>
        </w:tc>
        <w:tc>
          <w:tcPr>
            <w:tcW w:w="230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培训不到位</w:t>
            </w:r>
          </w:p>
        </w:tc>
        <w:tc>
          <w:tcPr>
            <w:tcW w:w="2066"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影响工程运行安全、人员作业安全</w:t>
            </w:r>
          </w:p>
        </w:tc>
        <w:tc>
          <w:tcPr>
            <w:tcW w:w="850" w:type="dxa"/>
            <w:tcBorders>
              <w:tl2br w:val="nil"/>
              <w:tr2bl w:val="nil"/>
            </w:tcBorders>
            <w:noWrap/>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LS法</w:t>
            </w:r>
          </w:p>
        </w:tc>
        <w:tc>
          <w:tcPr>
            <w:tcW w:w="85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5～30</w:t>
            </w:r>
          </w:p>
        </w:tc>
        <w:tc>
          <w:tcPr>
            <w:tcW w:w="680" w:type="dxa"/>
            <w:tcBorders>
              <w:tl2br w:val="nil"/>
              <w:tr2bl w:val="nil"/>
            </w:tcBorders>
            <w:tcMar>
              <w:top w:w="15" w:type="dxa"/>
              <w:left w:w="15" w:type="dxa"/>
              <w:right w:w="15" w:type="dxa"/>
            </w:tcMar>
            <w:vAlign w:val="center"/>
          </w:tcPr>
          <w:p>
            <w:pPr>
              <w:snapToGrid w:val="0"/>
              <w:jc w:val="center"/>
              <w:rPr>
                <w:rFonts w:ascii="宋体" w:hAnsi="宋体" w:eastAsia="宋体" w:cs="宋体"/>
                <w:sz w:val="18"/>
                <w:szCs w:val="18"/>
              </w:rPr>
            </w:pPr>
            <w:r>
              <w:rPr>
                <w:rFonts w:hint="eastAsia" w:ascii="宋体" w:hAnsi="宋体" w:eastAsia="宋体" w:cs="宋体"/>
                <w:sz w:val="18"/>
                <w:szCs w:val="18"/>
              </w:rPr>
              <w:t>/</w:t>
            </w:r>
          </w:p>
        </w:tc>
        <w:tc>
          <w:tcPr>
            <w:tcW w:w="737"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3～15</w:t>
            </w:r>
          </w:p>
        </w:tc>
        <w:tc>
          <w:tcPr>
            <w:tcW w:w="964"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15～450</w:t>
            </w:r>
          </w:p>
        </w:tc>
        <w:tc>
          <w:tcPr>
            <w:tcW w:w="85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低～重大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20" w:hRule="atLeast"/>
        </w:trPr>
        <w:tc>
          <w:tcPr>
            <w:tcW w:w="637" w:type="dxa"/>
            <w:tcBorders>
              <w:tl2br w:val="nil"/>
              <w:tr2bl w:val="nil"/>
            </w:tcBorders>
            <w:noWrap/>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87</w:t>
            </w:r>
          </w:p>
        </w:tc>
        <w:tc>
          <w:tcPr>
            <w:tcW w:w="1033" w:type="dxa"/>
            <w:vMerge w:val="continue"/>
            <w:tcBorders>
              <w:top w:val="single" w:color="auto" w:sz="4" w:space="0"/>
              <w:bottom w:val="single" w:color="auto" w:sz="4" w:space="0"/>
              <w:tl2br w:val="nil"/>
              <w:tr2bl w:val="nil"/>
            </w:tcBorders>
            <w:noWrap/>
            <w:tcMar>
              <w:top w:w="15" w:type="dxa"/>
              <w:left w:w="15" w:type="dxa"/>
              <w:right w:w="15" w:type="dxa"/>
            </w:tcMar>
            <w:vAlign w:val="center"/>
          </w:tcPr>
          <w:p>
            <w:pPr>
              <w:snapToGrid w:val="0"/>
              <w:jc w:val="center"/>
              <w:rPr>
                <w:rFonts w:ascii="宋体" w:hAnsi="宋体" w:eastAsia="宋体" w:cs="宋体"/>
                <w:sz w:val="18"/>
                <w:szCs w:val="18"/>
              </w:rPr>
            </w:pPr>
          </w:p>
        </w:tc>
        <w:tc>
          <w:tcPr>
            <w:tcW w:w="1117" w:type="dxa"/>
            <w:vMerge w:val="restart"/>
            <w:tcBorders>
              <w:top w:val="single" w:color="auto" w:sz="4" w:space="0"/>
              <w:bottom w:val="single" w:color="auto" w:sz="4" w:space="0"/>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运行管理</w:t>
            </w:r>
          </w:p>
        </w:tc>
        <w:tc>
          <w:tcPr>
            <w:tcW w:w="1517"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观测与监测</w:t>
            </w:r>
          </w:p>
        </w:tc>
        <w:tc>
          <w:tcPr>
            <w:tcW w:w="230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未按规定开展</w:t>
            </w:r>
          </w:p>
        </w:tc>
        <w:tc>
          <w:tcPr>
            <w:tcW w:w="2066" w:type="dxa"/>
            <w:vMerge w:val="restart"/>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设备设施严重损（破）坏</w:t>
            </w:r>
          </w:p>
        </w:tc>
        <w:tc>
          <w:tcPr>
            <w:tcW w:w="850" w:type="dxa"/>
            <w:tcBorders>
              <w:tl2br w:val="nil"/>
              <w:tr2bl w:val="nil"/>
            </w:tcBorders>
            <w:noWrap/>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LS法</w:t>
            </w:r>
          </w:p>
        </w:tc>
        <w:tc>
          <w:tcPr>
            <w:tcW w:w="85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5～30</w:t>
            </w:r>
          </w:p>
        </w:tc>
        <w:tc>
          <w:tcPr>
            <w:tcW w:w="680" w:type="dxa"/>
            <w:tcBorders>
              <w:tl2br w:val="nil"/>
              <w:tr2bl w:val="nil"/>
            </w:tcBorders>
            <w:tcMar>
              <w:top w:w="15" w:type="dxa"/>
              <w:left w:w="15" w:type="dxa"/>
              <w:right w:w="15" w:type="dxa"/>
            </w:tcMar>
            <w:vAlign w:val="center"/>
          </w:tcPr>
          <w:p>
            <w:pPr>
              <w:snapToGrid w:val="0"/>
              <w:jc w:val="center"/>
              <w:rPr>
                <w:rFonts w:ascii="宋体" w:hAnsi="宋体" w:eastAsia="宋体" w:cs="宋体"/>
                <w:sz w:val="18"/>
                <w:szCs w:val="18"/>
              </w:rPr>
            </w:pPr>
            <w:r>
              <w:rPr>
                <w:rFonts w:hint="eastAsia" w:ascii="宋体" w:hAnsi="宋体" w:eastAsia="宋体" w:cs="宋体"/>
                <w:sz w:val="18"/>
                <w:szCs w:val="18"/>
              </w:rPr>
              <w:t>/</w:t>
            </w:r>
          </w:p>
        </w:tc>
        <w:tc>
          <w:tcPr>
            <w:tcW w:w="737"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3～15</w:t>
            </w:r>
          </w:p>
        </w:tc>
        <w:tc>
          <w:tcPr>
            <w:tcW w:w="964"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15～450</w:t>
            </w:r>
          </w:p>
        </w:tc>
        <w:tc>
          <w:tcPr>
            <w:tcW w:w="85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低～重大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20" w:hRule="atLeast"/>
        </w:trPr>
        <w:tc>
          <w:tcPr>
            <w:tcW w:w="637" w:type="dxa"/>
            <w:tcBorders>
              <w:tl2br w:val="nil"/>
              <w:tr2bl w:val="nil"/>
            </w:tcBorders>
            <w:noWrap/>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88</w:t>
            </w:r>
          </w:p>
        </w:tc>
        <w:tc>
          <w:tcPr>
            <w:tcW w:w="1033" w:type="dxa"/>
            <w:vMerge w:val="continue"/>
            <w:tcBorders>
              <w:top w:val="single" w:color="auto" w:sz="4" w:space="0"/>
              <w:bottom w:val="single" w:color="auto" w:sz="4" w:space="0"/>
              <w:tl2br w:val="nil"/>
              <w:tr2bl w:val="nil"/>
            </w:tcBorders>
            <w:noWrap/>
            <w:tcMar>
              <w:top w:w="15" w:type="dxa"/>
              <w:left w:w="15" w:type="dxa"/>
              <w:right w:w="15" w:type="dxa"/>
            </w:tcMar>
            <w:vAlign w:val="center"/>
          </w:tcPr>
          <w:p>
            <w:pPr>
              <w:snapToGrid w:val="0"/>
              <w:jc w:val="center"/>
              <w:rPr>
                <w:rFonts w:ascii="宋体" w:hAnsi="宋体" w:eastAsia="宋体" w:cs="宋体"/>
                <w:sz w:val="18"/>
                <w:szCs w:val="18"/>
              </w:rPr>
            </w:pPr>
          </w:p>
        </w:tc>
        <w:tc>
          <w:tcPr>
            <w:tcW w:w="1117" w:type="dxa"/>
            <w:vMerge w:val="continue"/>
            <w:tcBorders>
              <w:top w:val="single" w:color="auto" w:sz="4" w:space="0"/>
              <w:bottom w:val="single" w:color="auto" w:sz="4" w:space="0"/>
              <w:tl2br w:val="nil"/>
              <w:tr2bl w:val="nil"/>
            </w:tcBorders>
            <w:tcMar>
              <w:top w:w="15" w:type="dxa"/>
              <w:left w:w="15" w:type="dxa"/>
              <w:right w:w="15" w:type="dxa"/>
            </w:tcMar>
            <w:vAlign w:val="center"/>
          </w:tcPr>
          <w:p>
            <w:pPr>
              <w:snapToGrid w:val="0"/>
              <w:jc w:val="center"/>
              <w:rPr>
                <w:rFonts w:ascii="宋体" w:hAnsi="宋体" w:eastAsia="宋体" w:cs="宋体"/>
                <w:sz w:val="18"/>
                <w:szCs w:val="18"/>
              </w:rPr>
            </w:pPr>
          </w:p>
        </w:tc>
        <w:tc>
          <w:tcPr>
            <w:tcW w:w="1517"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安全检查制度执行</w:t>
            </w:r>
          </w:p>
        </w:tc>
        <w:tc>
          <w:tcPr>
            <w:tcW w:w="230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未按规定开展或检查不到位</w:t>
            </w:r>
          </w:p>
        </w:tc>
        <w:tc>
          <w:tcPr>
            <w:tcW w:w="2066" w:type="dxa"/>
            <w:vMerge w:val="continue"/>
            <w:tcBorders>
              <w:tl2br w:val="nil"/>
              <w:tr2bl w:val="nil"/>
            </w:tcBorders>
            <w:tcMar>
              <w:top w:w="15" w:type="dxa"/>
              <w:left w:w="15" w:type="dxa"/>
              <w:right w:w="15" w:type="dxa"/>
            </w:tcMar>
            <w:vAlign w:val="center"/>
          </w:tcPr>
          <w:p>
            <w:pPr>
              <w:snapToGrid w:val="0"/>
              <w:jc w:val="center"/>
              <w:rPr>
                <w:rFonts w:ascii="宋体" w:hAnsi="宋体" w:eastAsia="宋体" w:cs="宋体"/>
                <w:sz w:val="18"/>
                <w:szCs w:val="18"/>
              </w:rPr>
            </w:pPr>
          </w:p>
        </w:tc>
        <w:tc>
          <w:tcPr>
            <w:tcW w:w="850" w:type="dxa"/>
            <w:tcBorders>
              <w:tl2br w:val="nil"/>
              <w:tr2bl w:val="nil"/>
            </w:tcBorders>
            <w:noWrap/>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LS法</w:t>
            </w:r>
          </w:p>
        </w:tc>
        <w:tc>
          <w:tcPr>
            <w:tcW w:w="85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5～10</w:t>
            </w:r>
          </w:p>
        </w:tc>
        <w:tc>
          <w:tcPr>
            <w:tcW w:w="680" w:type="dxa"/>
            <w:tcBorders>
              <w:tl2br w:val="nil"/>
              <w:tr2bl w:val="nil"/>
            </w:tcBorders>
            <w:tcMar>
              <w:top w:w="15" w:type="dxa"/>
              <w:left w:w="15" w:type="dxa"/>
              <w:right w:w="15" w:type="dxa"/>
            </w:tcMar>
            <w:vAlign w:val="center"/>
          </w:tcPr>
          <w:p>
            <w:pPr>
              <w:snapToGrid w:val="0"/>
              <w:jc w:val="center"/>
              <w:rPr>
                <w:rFonts w:ascii="宋体" w:hAnsi="宋体" w:eastAsia="宋体" w:cs="宋体"/>
                <w:sz w:val="18"/>
                <w:szCs w:val="18"/>
              </w:rPr>
            </w:pPr>
            <w:r>
              <w:rPr>
                <w:rFonts w:hint="eastAsia" w:ascii="宋体" w:hAnsi="宋体" w:eastAsia="宋体" w:cs="宋体"/>
                <w:sz w:val="18"/>
                <w:szCs w:val="18"/>
              </w:rPr>
              <w:t>/</w:t>
            </w:r>
          </w:p>
        </w:tc>
        <w:tc>
          <w:tcPr>
            <w:tcW w:w="737"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3～15</w:t>
            </w:r>
          </w:p>
        </w:tc>
        <w:tc>
          <w:tcPr>
            <w:tcW w:w="964"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15～150</w:t>
            </w:r>
          </w:p>
        </w:tc>
        <w:tc>
          <w:tcPr>
            <w:tcW w:w="850" w:type="dxa"/>
            <w:tcBorders>
              <w:tl2br w:val="nil"/>
              <w:tr2bl w:val="nil"/>
            </w:tcBorders>
            <w:noWrap/>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低～一般</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20" w:hRule="atLeast"/>
        </w:trPr>
        <w:tc>
          <w:tcPr>
            <w:tcW w:w="637" w:type="dxa"/>
            <w:tcBorders>
              <w:tl2br w:val="nil"/>
              <w:tr2bl w:val="nil"/>
            </w:tcBorders>
            <w:noWrap/>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89</w:t>
            </w:r>
          </w:p>
        </w:tc>
        <w:tc>
          <w:tcPr>
            <w:tcW w:w="1033" w:type="dxa"/>
            <w:vMerge w:val="continue"/>
            <w:tcBorders>
              <w:top w:val="single" w:color="auto" w:sz="4" w:space="0"/>
              <w:bottom w:val="single" w:color="auto" w:sz="4" w:space="0"/>
              <w:tl2br w:val="nil"/>
              <w:tr2bl w:val="nil"/>
            </w:tcBorders>
            <w:noWrap/>
            <w:tcMar>
              <w:top w:w="15" w:type="dxa"/>
              <w:left w:w="15" w:type="dxa"/>
              <w:right w:w="15" w:type="dxa"/>
            </w:tcMar>
            <w:vAlign w:val="center"/>
          </w:tcPr>
          <w:p>
            <w:pPr>
              <w:snapToGrid w:val="0"/>
              <w:jc w:val="center"/>
              <w:rPr>
                <w:rFonts w:ascii="宋体" w:hAnsi="宋体" w:eastAsia="宋体" w:cs="宋体"/>
                <w:sz w:val="18"/>
                <w:szCs w:val="18"/>
              </w:rPr>
            </w:pPr>
          </w:p>
        </w:tc>
        <w:tc>
          <w:tcPr>
            <w:tcW w:w="1117" w:type="dxa"/>
            <w:vMerge w:val="continue"/>
            <w:tcBorders>
              <w:top w:val="single" w:color="auto" w:sz="4" w:space="0"/>
              <w:bottom w:val="single" w:color="auto" w:sz="4" w:space="0"/>
              <w:tl2br w:val="nil"/>
              <w:tr2bl w:val="nil"/>
            </w:tcBorders>
            <w:tcMar>
              <w:top w:w="15" w:type="dxa"/>
              <w:left w:w="15" w:type="dxa"/>
              <w:right w:w="15" w:type="dxa"/>
            </w:tcMar>
            <w:vAlign w:val="center"/>
          </w:tcPr>
          <w:p>
            <w:pPr>
              <w:snapToGrid w:val="0"/>
              <w:jc w:val="center"/>
              <w:rPr>
                <w:rFonts w:ascii="宋体" w:hAnsi="宋体" w:eastAsia="宋体" w:cs="宋体"/>
                <w:sz w:val="18"/>
                <w:szCs w:val="18"/>
              </w:rPr>
            </w:pPr>
          </w:p>
        </w:tc>
        <w:tc>
          <w:tcPr>
            <w:tcW w:w="1517"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外部人员的活动</w:t>
            </w:r>
          </w:p>
        </w:tc>
        <w:tc>
          <w:tcPr>
            <w:tcW w:w="230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活动未经许可</w:t>
            </w:r>
          </w:p>
        </w:tc>
        <w:tc>
          <w:tcPr>
            <w:tcW w:w="2066" w:type="dxa"/>
            <w:vMerge w:val="continue"/>
            <w:tcBorders>
              <w:tl2br w:val="nil"/>
              <w:tr2bl w:val="nil"/>
            </w:tcBorders>
            <w:tcMar>
              <w:top w:w="15" w:type="dxa"/>
              <w:left w:w="15" w:type="dxa"/>
              <w:right w:w="15" w:type="dxa"/>
            </w:tcMar>
            <w:vAlign w:val="center"/>
          </w:tcPr>
          <w:p>
            <w:pPr>
              <w:snapToGrid w:val="0"/>
              <w:jc w:val="center"/>
              <w:rPr>
                <w:rFonts w:ascii="宋体" w:hAnsi="宋体" w:eastAsia="宋体" w:cs="宋体"/>
                <w:sz w:val="18"/>
                <w:szCs w:val="18"/>
              </w:rPr>
            </w:pPr>
          </w:p>
        </w:tc>
        <w:tc>
          <w:tcPr>
            <w:tcW w:w="850" w:type="dxa"/>
            <w:tcBorders>
              <w:tl2br w:val="nil"/>
              <w:tr2bl w:val="nil"/>
            </w:tcBorders>
            <w:noWrap/>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LS法</w:t>
            </w:r>
          </w:p>
        </w:tc>
        <w:tc>
          <w:tcPr>
            <w:tcW w:w="85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5～30</w:t>
            </w:r>
          </w:p>
        </w:tc>
        <w:tc>
          <w:tcPr>
            <w:tcW w:w="680" w:type="dxa"/>
            <w:tcBorders>
              <w:tl2br w:val="nil"/>
              <w:tr2bl w:val="nil"/>
            </w:tcBorders>
            <w:tcMar>
              <w:top w:w="15" w:type="dxa"/>
              <w:left w:w="15" w:type="dxa"/>
              <w:right w:w="15" w:type="dxa"/>
            </w:tcMar>
            <w:vAlign w:val="center"/>
          </w:tcPr>
          <w:p>
            <w:pPr>
              <w:snapToGrid w:val="0"/>
              <w:jc w:val="center"/>
              <w:rPr>
                <w:rFonts w:ascii="宋体" w:hAnsi="宋体" w:eastAsia="宋体" w:cs="宋体"/>
                <w:sz w:val="18"/>
                <w:szCs w:val="18"/>
              </w:rPr>
            </w:pPr>
            <w:r>
              <w:rPr>
                <w:rFonts w:hint="eastAsia" w:ascii="宋体" w:hAnsi="宋体" w:eastAsia="宋体" w:cs="宋体"/>
                <w:sz w:val="18"/>
                <w:szCs w:val="18"/>
              </w:rPr>
              <w:t>/</w:t>
            </w:r>
          </w:p>
        </w:tc>
        <w:tc>
          <w:tcPr>
            <w:tcW w:w="737"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3～15</w:t>
            </w:r>
          </w:p>
        </w:tc>
        <w:tc>
          <w:tcPr>
            <w:tcW w:w="964"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15～450</w:t>
            </w:r>
          </w:p>
        </w:tc>
        <w:tc>
          <w:tcPr>
            <w:tcW w:w="85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低～重大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20" w:hRule="atLeast"/>
        </w:trPr>
        <w:tc>
          <w:tcPr>
            <w:tcW w:w="637" w:type="dxa"/>
            <w:tcBorders>
              <w:tl2br w:val="nil"/>
              <w:tr2bl w:val="nil"/>
            </w:tcBorders>
            <w:noWrap/>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90</w:t>
            </w:r>
          </w:p>
        </w:tc>
        <w:tc>
          <w:tcPr>
            <w:tcW w:w="1033" w:type="dxa"/>
            <w:vMerge w:val="continue"/>
            <w:tcBorders>
              <w:top w:val="single" w:color="auto" w:sz="4" w:space="0"/>
              <w:bottom w:val="single" w:color="auto" w:sz="4" w:space="0"/>
              <w:tl2br w:val="nil"/>
              <w:tr2bl w:val="nil"/>
            </w:tcBorders>
            <w:noWrap/>
            <w:tcMar>
              <w:top w:w="15" w:type="dxa"/>
              <w:left w:w="15" w:type="dxa"/>
              <w:right w:w="15" w:type="dxa"/>
            </w:tcMar>
            <w:vAlign w:val="center"/>
          </w:tcPr>
          <w:p>
            <w:pPr>
              <w:snapToGrid w:val="0"/>
              <w:jc w:val="center"/>
              <w:rPr>
                <w:rFonts w:ascii="宋体" w:hAnsi="宋体" w:eastAsia="宋体" w:cs="宋体"/>
                <w:sz w:val="18"/>
                <w:szCs w:val="18"/>
              </w:rPr>
            </w:pPr>
          </w:p>
        </w:tc>
        <w:tc>
          <w:tcPr>
            <w:tcW w:w="1117" w:type="dxa"/>
            <w:vMerge w:val="continue"/>
            <w:tcBorders>
              <w:top w:val="single" w:color="auto" w:sz="4" w:space="0"/>
              <w:bottom w:val="single" w:color="auto" w:sz="4" w:space="0"/>
              <w:tl2br w:val="nil"/>
              <w:tr2bl w:val="nil"/>
            </w:tcBorders>
            <w:tcMar>
              <w:top w:w="15" w:type="dxa"/>
              <w:left w:w="15" w:type="dxa"/>
              <w:right w:w="15" w:type="dxa"/>
            </w:tcMar>
            <w:vAlign w:val="center"/>
          </w:tcPr>
          <w:p>
            <w:pPr>
              <w:snapToGrid w:val="0"/>
              <w:jc w:val="center"/>
              <w:rPr>
                <w:rFonts w:ascii="宋体" w:hAnsi="宋体" w:eastAsia="宋体" w:cs="宋体"/>
                <w:sz w:val="18"/>
                <w:szCs w:val="18"/>
              </w:rPr>
            </w:pPr>
          </w:p>
        </w:tc>
        <w:tc>
          <w:tcPr>
            <w:tcW w:w="1517"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管理和保护范围划定</w:t>
            </w:r>
          </w:p>
        </w:tc>
        <w:tc>
          <w:tcPr>
            <w:tcW w:w="230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范围不明确</w:t>
            </w:r>
          </w:p>
        </w:tc>
        <w:tc>
          <w:tcPr>
            <w:tcW w:w="2066"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影响工程运行管理</w:t>
            </w:r>
          </w:p>
        </w:tc>
        <w:tc>
          <w:tcPr>
            <w:tcW w:w="85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LS法</w:t>
            </w:r>
          </w:p>
        </w:tc>
        <w:tc>
          <w:tcPr>
            <w:tcW w:w="85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5～30</w:t>
            </w:r>
          </w:p>
        </w:tc>
        <w:tc>
          <w:tcPr>
            <w:tcW w:w="680" w:type="dxa"/>
            <w:tcBorders>
              <w:tl2br w:val="nil"/>
              <w:tr2bl w:val="nil"/>
            </w:tcBorders>
            <w:tcMar>
              <w:top w:w="15" w:type="dxa"/>
              <w:left w:w="15" w:type="dxa"/>
              <w:right w:w="15" w:type="dxa"/>
            </w:tcMar>
            <w:vAlign w:val="center"/>
          </w:tcPr>
          <w:p>
            <w:pPr>
              <w:snapToGrid w:val="0"/>
              <w:jc w:val="center"/>
              <w:rPr>
                <w:rFonts w:ascii="宋体" w:hAnsi="宋体" w:eastAsia="宋体" w:cs="宋体"/>
                <w:sz w:val="18"/>
                <w:szCs w:val="18"/>
              </w:rPr>
            </w:pPr>
            <w:r>
              <w:rPr>
                <w:rFonts w:hint="eastAsia" w:ascii="宋体" w:hAnsi="宋体" w:eastAsia="宋体" w:cs="宋体"/>
                <w:sz w:val="18"/>
                <w:szCs w:val="18"/>
              </w:rPr>
              <w:t>/</w:t>
            </w:r>
          </w:p>
        </w:tc>
        <w:tc>
          <w:tcPr>
            <w:tcW w:w="737"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3～15</w:t>
            </w:r>
          </w:p>
        </w:tc>
        <w:tc>
          <w:tcPr>
            <w:tcW w:w="964"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15～450</w:t>
            </w:r>
          </w:p>
        </w:tc>
        <w:tc>
          <w:tcPr>
            <w:tcW w:w="85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低～重大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20" w:hRule="atLeast"/>
        </w:trPr>
        <w:tc>
          <w:tcPr>
            <w:tcW w:w="637" w:type="dxa"/>
            <w:tcBorders>
              <w:tl2br w:val="nil"/>
              <w:tr2bl w:val="nil"/>
            </w:tcBorders>
            <w:noWrap/>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91</w:t>
            </w:r>
          </w:p>
        </w:tc>
        <w:tc>
          <w:tcPr>
            <w:tcW w:w="1033" w:type="dxa"/>
            <w:vMerge w:val="continue"/>
            <w:tcBorders>
              <w:top w:val="single" w:color="auto" w:sz="4" w:space="0"/>
              <w:bottom w:val="single" w:color="auto" w:sz="4" w:space="0"/>
              <w:tl2br w:val="nil"/>
              <w:tr2bl w:val="nil"/>
            </w:tcBorders>
            <w:noWrap/>
            <w:tcMar>
              <w:top w:w="15" w:type="dxa"/>
              <w:left w:w="15" w:type="dxa"/>
              <w:right w:w="15" w:type="dxa"/>
            </w:tcMar>
            <w:vAlign w:val="center"/>
          </w:tcPr>
          <w:p>
            <w:pPr>
              <w:snapToGrid w:val="0"/>
              <w:jc w:val="center"/>
              <w:rPr>
                <w:rFonts w:ascii="宋体" w:hAnsi="宋体" w:eastAsia="宋体" w:cs="宋体"/>
                <w:sz w:val="18"/>
                <w:szCs w:val="18"/>
              </w:rPr>
            </w:pPr>
          </w:p>
        </w:tc>
        <w:tc>
          <w:tcPr>
            <w:tcW w:w="1117" w:type="dxa"/>
            <w:vMerge w:val="continue"/>
            <w:tcBorders>
              <w:top w:val="single" w:color="auto" w:sz="4" w:space="0"/>
              <w:bottom w:val="single" w:color="auto" w:sz="4" w:space="0"/>
              <w:tl2br w:val="nil"/>
              <w:tr2bl w:val="nil"/>
            </w:tcBorders>
            <w:tcMar>
              <w:top w:w="15" w:type="dxa"/>
              <w:left w:w="15" w:type="dxa"/>
              <w:right w:w="15" w:type="dxa"/>
            </w:tcMar>
            <w:vAlign w:val="center"/>
          </w:tcPr>
          <w:p>
            <w:pPr>
              <w:snapToGrid w:val="0"/>
              <w:jc w:val="center"/>
              <w:rPr>
                <w:rFonts w:ascii="宋体" w:hAnsi="宋体" w:eastAsia="宋体" w:cs="宋体"/>
                <w:sz w:val="18"/>
                <w:szCs w:val="18"/>
              </w:rPr>
            </w:pPr>
          </w:p>
        </w:tc>
        <w:tc>
          <w:tcPr>
            <w:tcW w:w="1517"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应急预案编制、报批、演练</w:t>
            </w:r>
          </w:p>
        </w:tc>
        <w:tc>
          <w:tcPr>
            <w:tcW w:w="230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未编制、报批或演练</w:t>
            </w:r>
          </w:p>
        </w:tc>
        <w:tc>
          <w:tcPr>
            <w:tcW w:w="2066"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影响工程防汛抢险</w:t>
            </w:r>
          </w:p>
        </w:tc>
        <w:tc>
          <w:tcPr>
            <w:tcW w:w="85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LS法</w:t>
            </w:r>
          </w:p>
        </w:tc>
        <w:tc>
          <w:tcPr>
            <w:tcW w:w="85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5～10</w:t>
            </w:r>
          </w:p>
        </w:tc>
        <w:tc>
          <w:tcPr>
            <w:tcW w:w="680" w:type="dxa"/>
            <w:tcBorders>
              <w:tl2br w:val="nil"/>
              <w:tr2bl w:val="nil"/>
            </w:tcBorders>
            <w:tcMar>
              <w:top w:w="15" w:type="dxa"/>
              <w:left w:w="15" w:type="dxa"/>
              <w:right w:w="15" w:type="dxa"/>
            </w:tcMar>
            <w:vAlign w:val="center"/>
          </w:tcPr>
          <w:p>
            <w:pPr>
              <w:snapToGrid w:val="0"/>
              <w:jc w:val="center"/>
              <w:rPr>
                <w:rFonts w:ascii="宋体" w:hAnsi="宋体" w:eastAsia="宋体" w:cs="宋体"/>
                <w:sz w:val="18"/>
                <w:szCs w:val="18"/>
              </w:rPr>
            </w:pPr>
            <w:r>
              <w:rPr>
                <w:rFonts w:hint="eastAsia" w:ascii="宋体" w:hAnsi="宋体" w:eastAsia="宋体" w:cs="宋体"/>
                <w:sz w:val="18"/>
                <w:szCs w:val="18"/>
              </w:rPr>
              <w:t>/</w:t>
            </w:r>
          </w:p>
        </w:tc>
        <w:tc>
          <w:tcPr>
            <w:tcW w:w="737"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3～15</w:t>
            </w:r>
          </w:p>
        </w:tc>
        <w:tc>
          <w:tcPr>
            <w:tcW w:w="964"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15～150</w:t>
            </w:r>
          </w:p>
        </w:tc>
        <w:tc>
          <w:tcPr>
            <w:tcW w:w="850" w:type="dxa"/>
            <w:tcBorders>
              <w:tl2br w:val="nil"/>
              <w:tr2bl w:val="nil"/>
            </w:tcBorders>
            <w:noWrap/>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低～一般</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20" w:hRule="atLeast"/>
        </w:trPr>
        <w:tc>
          <w:tcPr>
            <w:tcW w:w="637" w:type="dxa"/>
            <w:tcBorders>
              <w:tl2br w:val="nil"/>
              <w:tr2bl w:val="nil"/>
            </w:tcBorders>
            <w:noWrap/>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92</w:t>
            </w:r>
          </w:p>
        </w:tc>
        <w:tc>
          <w:tcPr>
            <w:tcW w:w="1033" w:type="dxa"/>
            <w:vMerge w:val="restart"/>
            <w:tcBorders>
              <w:top w:val="single" w:color="auto" w:sz="4" w:space="0"/>
              <w:tl2br w:val="nil"/>
              <w:tr2bl w:val="nil"/>
            </w:tcBorders>
            <w:noWrap/>
            <w:tcMar>
              <w:top w:w="15" w:type="dxa"/>
              <w:left w:w="15" w:type="dxa"/>
              <w:right w:w="15" w:type="dxa"/>
            </w:tcMar>
            <w:vAlign w:val="center"/>
          </w:tcPr>
          <w:p>
            <w:pPr>
              <w:snapToGrid w:val="0"/>
              <w:jc w:val="center"/>
              <w:rPr>
                <w:rFonts w:ascii="宋体" w:hAnsi="宋体" w:eastAsia="宋体" w:cs="宋体"/>
                <w:sz w:val="18"/>
                <w:szCs w:val="18"/>
              </w:rPr>
            </w:pPr>
            <w:r>
              <w:rPr>
                <w:rFonts w:hint="eastAsia" w:ascii="宋体" w:hAnsi="宋体" w:eastAsia="宋体" w:cs="宋体"/>
                <w:sz w:val="18"/>
                <w:szCs w:val="18"/>
                <w:lang w:bidi="ar"/>
              </w:rPr>
              <w:t>管理类</w:t>
            </w:r>
          </w:p>
        </w:tc>
        <w:tc>
          <w:tcPr>
            <w:tcW w:w="1117" w:type="dxa"/>
            <w:vMerge w:val="restart"/>
            <w:tcBorders>
              <w:top w:val="single" w:color="auto" w:sz="4" w:space="0"/>
              <w:bottom w:val="single" w:color="auto" w:sz="4" w:space="0"/>
              <w:tl2br w:val="nil"/>
              <w:tr2bl w:val="nil"/>
            </w:tcBorders>
            <w:tcMar>
              <w:top w:w="15" w:type="dxa"/>
              <w:left w:w="15" w:type="dxa"/>
              <w:right w:w="15" w:type="dxa"/>
            </w:tcMar>
            <w:vAlign w:val="center"/>
          </w:tcPr>
          <w:p>
            <w:pPr>
              <w:snapToGrid w:val="0"/>
              <w:jc w:val="center"/>
              <w:rPr>
                <w:rFonts w:ascii="宋体" w:hAnsi="宋体" w:eastAsia="宋体" w:cs="宋体"/>
                <w:sz w:val="18"/>
                <w:szCs w:val="18"/>
              </w:rPr>
            </w:pPr>
            <w:r>
              <w:rPr>
                <w:rFonts w:hint="eastAsia" w:ascii="宋体" w:hAnsi="宋体" w:eastAsia="宋体" w:cs="宋体"/>
                <w:sz w:val="18"/>
                <w:szCs w:val="18"/>
                <w:lang w:bidi="ar"/>
              </w:rPr>
              <w:t>运行管理</w:t>
            </w:r>
          </w:p>
        </w:tc>
        <w:tc>
          <w:tcPr>
            <w:tcW w:w="1517"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维修养护计划制定</w:t>
            </w:r>
          </w:p>
        </w:tc>
        <w:tc>
          <w:tcPr>
            <w:tcW w:w="230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未制定</w:t>
            </w:r>
          </w:p>
        </w:tc>
        <w:tc>
          <w:tcPr>
            <w:tcW w:w="2066"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不能及时消除工程隐患</w:t>
            </w:r>
          </w:p>
        </w:tc>
        <w:tc>
          <w:tcPr>
            <w:tcW w:w="85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LS法</w:t>
            </w:r>
          </w:p>
        </w:tc>
        <w:tc>
          <w:tcPr>
            <w:tcW w:w="85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5～10</w:t>
            </w:r>
          </w:p>
        </w:tc>
        <w:tc>
          <w:tcPr>
            <w:tcW w:w="680" w:type="dxa"/>
            <w:tcBorders>
              <w:tl2br w:val="nil"/>
              <w:tr2bl w:val="nil"/>
            </w:tcBorders>
            <w:tcMar>
              <w:top w:w="15" w:type="dxa"/>
              <w:left w:w="15" w:type="dxa"/>
              <w:right w:w="15" w:type="dxa"/>
            </w:tcMar>
            <w:vAlign w:val="center"/>
          </w:tcPr>
          <w:p>
            <w:pPr>
              <w:snapToGrid w:val="0"/>
              <w:jc w:val="center"/>
              <w:rPr>
                <w:rFonts w:ascii="宋体" w:hAnsi="宋体" w:eastAsia="宋体" w:cs="宋体"/>
                <w:sz w:val="18"/>
                <w:szCs w:val="18"/>
              </w:rPr>
            </w:pPr>
            <w:r>
              <w:rPr>
                <w:rFonts w:hint="eastAsia" w:ascii="宋体" w:hAnsi="宋体" w:eastAsia="宋体" w:cs="宋体"/>
                <w:sz w:val="18"/>
                <w:szCs w:val="18"/>
              </w:rPr>
              <w:t>/</w:t>
            </w:r>
          </w:p>
        </w:tc>
        <w:tc>
          <w:tcPr>
            <w:tcW w:w="737"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3～15</w:t>
            </w:r>
          </w:p>
        </w:tc>
        <w:tc>
          <w:tcPr>
            <w:tcW w:w="964"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15～150</w:t>
            </w:r>
          </w:p>
        </w:tc>
        <w:tc>
          <w:tcPr>
            <w:tcW w:w="850" w:type="dxa"/>
            <w:tcBorders>
              <w:tl2br w:val="nil"/>
              <w:tr2bl w:val="nil"/>
            </w:tcBorders>
            <w:noWrap/>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低～一般</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20" w:hRule="atLeast"/>
        </w:trPr>
        <w:tc>
          <w:tcPr>
            <w:tcW w:w="637" w:type="dxa"/>
            <w:tcBorders>
              <w:tl2br w:val="nil"/>
              <w:tr2bl w:val="nil"/>
            </w:tcBorders>
            <w:noWrap/>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93</w:t>
            </w:r>
          </w:p>
        </w:tc>
        <w:tc>
          <w:tcPr>
            <w:tcW w:w="1033" w:type="dxa"/>
            <w:vMerge w:val="continue"/>
            <w:tcBorders>
              <w:top w:val="single" w:color="auto" w:sz="4" w:space="0"/>
              <w:bottom w:val="single" w:color="auto" w:sz="4" w:space="0"/>
              <w:tl2br w:val="nil"/>
              <w:tr2bl w:val="nil"/>
            </w:tcBorders>
            <w:noWrap/>
            <w:tcMar>
              <w:top w:w="15" w:type="dxa"/>
              <w:left w:w="15" w:type="dxa"/>
              <w:right w:w="15" w:type="dxa"/>
            </w:tcMar>
            <w:vAlign w:val="center"/>
          </w:tcPr>
          <w:p>
            <w:pPr>
              <w:snapToGrid w:val="0"/>
              <w:jc w:val="center"/>
              <w:rPr>
                <w:rFonts w:ascii="宋体" w:hAnsi="宋体" w:eastAsia="宋体" w:cs="宋体"/>
                <w:sz w:val="18"/>
                <w:szCs w:val="18"/>
              </w:rPr>
            </w:pPr>
          </w:p>
        </w:tc>
        <w:tc>
          <w:tcPr>
            <w:tcW w:w="1117" w:type="dxa"/>
            <w:vMerge w:val="continue"/>
            <w:tcBorders>
              <w:top w:val="single" w:color="auto" w:sz="4" w:space="0"/>
              <w:bottom w:val="single" w:color="auto" w:sz="4" w:space="0"/>
              <w:tl2br w:val="nil"/>
              <w:tr2bl w:val="nil"/>
            </w:tcBorders>
            <w:tcMar>
              <w:top w:w="15" w:type="dxa"/>
              <w:left w:w="15" w:type="dxa"/>
              <w:right w:w="15" w:type="dxa"/>
            </w:tcMar>
            <w:vAlign w:val="center"/>
          </w:tcPr>
          <w:p>
            <w:pPr>
              <w:snapToGrid w:val="0"/>
              <w:jc w:val="center"/>
              <w:rPr>
                <w:rFonts w:ascii="宋体" w:hAnsi="宋体" w:eastAsia="宋体" w:cs="宋体"/>
                <w:sz w:val="18"/>
                <w:szCs w:val="18"/>
              </w:rPr>
            </w:pPr>
          </w:p>
        </w:tc>
        <w:tc>
          <w:tcPr>
            <w:tcW w:w="1517"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采用新技术、新材料、新设备、新工艺</w:t>
            </w:r>
          </w:p>
        </w:tc>
        <w:tc>
          <w:tcPr>
            <w:tcW w:w="230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缺少相关标准和经验</w:t>
            </w:r>
          </w:p>
        </w:tc>
        <w:tc>
          <w:tcPr>
            <w:tcW w:w="2066"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故障、设备损坏、人员伤害</w:t>
            </w:r>
          </w:p>
        </w:tc>
        <w:tc>
          <w:tcPr>
            <w:tcW w:w="850" w:type="dxa"/>
            <w:tcBorders>
              <w:tl2br w:val="nil"/>
              <w:tr2bl w:val="nil"/>
            </w:tcBorders>
            <w:noWrap/>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LS法</w:t>
            </w:r>
          </w:p>
        </w:tc>
        <w:tc>
          <w:tcPr>
            <w:tcW w:w="850" w:type="dxa"/>
            <w:tcBorders>
              <w:tl2br w:val="nil"/>
              <w:tr2bl w:val="nil"/>
            </w:tcBorders>
            <w:noWrap/>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5～30</w:t>
            </w:r>
          </w:p>
        </w:tc>
        <w:tc>
          <w:tcPr>
            <w:tcW w:w="680" w:type="dxa"/>
            <w:tcBorders>
              <w:tl2br w:val="nil"/>
              <w:tr2bl w:val="nil"/>
            </w:tcBorders>
            <w:tcMar>
              <w:top w:w="15" w:type="dxa"/>
              <w:left w:w="15" w:type="dxa"/>
              <w:right w:w="15" w:type="dxa"/>
            </w:tcMar>
            <w:vAlign w:val="center"/>
          </w:tcPr>
          <w:p>
            <w:pPr>
              <w:snapToGrid w:val="0"/>
              <w:jc w:val="center"/>
              <w:rPr>
                <w:rFonts w:ascii="宋体" w:hAnsi="宋体" w:eastAsia="宋体" w:cs="宋体"/>
                <w:sz w:val="18"/>
                <w:szCs w:val="18"/>
              </w:rPr>
            </w:pPr>
            <w:r>
              <w:rPr>
                <w:rFonts w:hint="eastAsia" w:ascii="宋体" w:hAnsi="宋体" w:eastAsia="宋体" w:cs="宋体"/>
                <w:sz w:val="18"/>
                <w:szCs w:val="18"/>
              </w:rPr>
              <w:t>/</w:t>
            </w:r>
          </w:p>
        </w:tc>
        <w:tc>
          <w:tcPr>
            <w:tcW w:w="737" w:type="dxa"/>
            <w:tcBorders>
              <w:tl2br w:val="nil"/>
              <w:tr2bl w:val="nil"/>
            </w:tcBorders>
            <w:noWrap/>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3～15</w:t>
            </w:r>
          </w:p>
        </w:tc>
        <w:tc>
          <w:tcPr>
            <w:tcW w:w="964" w:type="dxa"/>
            <w:tcBorders>
              <w:tl2br w:val="nil"/>
              <w:tr2bl w:val="nil"/>
            </w:tcBorders>
            <w:noWrap/>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15～450</w:t>
            </w:r>
          </w:p>
        </w:tc>
        <w:tc>
          <w:tcPr>
            <w:tcW w:w="850" w:type="dxa"/>
            <w:tcBorders>
              <w:tl2br w:val="nil"/>
              <w:tr2bl w:val="nil"/>
            </w:tcBorders>
            <w:noWrap/>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低～重大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20" w:hRule="atLeast"/>
        </w:trPr>
        <w:tc>
          <w:tcPr>
            <w:tcW w:w="637" w:type="dxa"/>
            <w:tcBorders>
              <w:tl2br w:val="nil"/>
              <w:tr2bl w:val="nil"/>
            </w:tcBorders>
            <w:shd w:val="clear" w:color="auto" w:fill="auto"/>
            <w:noWrap/>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94</w:t>
            </w:r>
          </w:p>
        </w:tc>
        <w:tc>
          <w:tcPr>
            <w:tcW w:w="1033" w:type="dxa"/>
            <w:vMerge w:val="continue"/>
            <w:tcBorders>
              <w:top w:val="single" w:color="auto" w:sz="4" w:space="0"/>
              <w:bottom w:val="single" w:color="auto" w:sz="4" w:space="0"/>
              <w:tl2br w:val="nil"/>
              <w:tr2bl w:val="nil"/>
            </w:tcBorders>
            <w:shd w:val="clear" w:color="auto" w:fill="auto"/>
            <w:noWrap/>
            <w:tcMar>
              <w:top w:w="15" w:type="dxa"/>
              <w:left w:w="15" w:type="dxa"/>
              <w:right w:w="15" w:type="dxa"/>
            </w:tcMar>
            <w:vAlign w:val="center"/>
          </w:tcPr>
          <w:p>
            <w:pPr>
              <w:snapToGrid w:val="0"/>
              <w:jc w:val="center"/>
              <w:rPr>
                <w:rFonts w:ascii="宋体" w:hAnsi="宋体" w:eastAsia="宋体" w:cs="宋体"/>
                <w:sz w:val="18"/>
                <w:szCs w:val="18"/>
              </w:rPr>
            </w:pPr>
          </w:p>
        </w:tc>
        <w:tc>
          <w:tcPr>
            <w:tcW w:w="1117" w:type="dxa"/>
            <w:vMerge w:val="continue"/>
            <w:tcBorders>
              <w:top w:val="single" w:color="auto" w:sz="4" w:space="0"/>
              <w:bottom w:val="single" w:color="auto" w:sz="4" w:space="0"/>
              <w:tl2br w:val="nil"/>
              <w:tr2bl w:val="nil"/>
            </w:tcBorders>
            <w:shd w:val="clear" w:color="auto" w:fill="auto"/>
            <w:tcMar>
              <w:top w:w="15" w:type="dxa"/>
              <w:left w:w="15" w:type="dxa"/>
              <w:right w:w="15" w:type="dxa"/>
            </w:tcMar>
            <w:vAlign w:val="center"/>
          </w:tcPr>
          <w:p>
            <w:pPr>
              <w:snapToGrid w:val="0"/>
              <w:jc w:val="center"/>
              <w:rPr>
                <w:rFonts w:ascii="宋体" w:hAnsi="宋体" w:eastAsia="宋体" w:cs="宋体"/>
                <w:sz w:val="18"/>
                <w:szCs w:val="18"/>
              </w:rPr>
            </w:pPr>
          </w:p>
        </w:tc>
        <w:tc>
          <w:tcPr>
            <w:tcW w:w="1517" w:type="dxa"/>
            <w:tcBorders>
              <w:tl2br w:val="nil"/>
              <w:tr2bl w:val="nil"/>
            </w:tcBorders>
            <w:shd w:val="clear" w:color="auto" w:fill="FFFFFF"/>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警示、警告标识设置</w:t>
            </w:r>
          </w:p>
        </w:tc>
        <w:tc>
          <w:tcPr>
            <w:tcW w:w="2300" w:type="dxa"/>
            <w:tcBorders>
              <w:tl2br w:val="nil"/>
              <w:tr2bl w:val="nil"/>
            </w:tcBorders>
            <w:shd w:val="clear" w:color="auto" w:fill="FFFFFF"/>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缺失</w:t>
            </w:r>
          </w:p>
        </w:tc>
        <w:tc>
          <w:tcPr>
            <w:tcW w:w="2066" w:type="dxa"/>
            <w:tcBorders>
              <w:tl2br w:val="nil"/>
              <w:tr2bl w:val="nil"/>
            </w:tcBorders>
            <w:shd w:val="clear" w:color="auto" w:fill="FFFFFF"/>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影响工程安全运行、人员安全</w:t>
            </w:r>
          </w:p>
        </w:tc>
        <w:tc>
          <w:tcPr>
            <w:tcW w:w="850" w:type="dxa"/>
            <w:tcBorders>
              <w:tl2br w:val="nil"/>
              <w:tr2bl w:val="nil"/>
            </w:tcBorders>
            <w:shd w:val="clear" w:color="auto" w:fill="FFFFFF"/>
            <w:noWrap/>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LS法</w:t>
            </w:r>
          </w:p>
        </w:tc>
        <w:tc>
          <w:tcPr>
            <w:tcW w:w="850" w:type="dxa"/>
            <w:tcBorders>
              <w:tl2br w:val="nil"/>
              <w:tr2bl w:val="nil"/>
            </w:tcBorders>
            <w:shd w:val="clear" w:color="auto" w:fill="auto"/>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5～30</w:t>
            </w:r>
          </w:p>
        </w:tc>
        <w:tc>
          <w:tcPr>
            <w:tcW w:w="680" w:type="dxa"/>
            <w:tcBorders>
              <w:tl2br w:val="nil"/>
              <w:tr2bl w:val="nil"/>
            </w:tcBorders>
            <w:shd w:val="clear" w:color="auto" w:fill="FFFFFF"/>
            <w:tcMar>
              <w:top w:w="15" w:type="dxa"/>
              <w:left w:w="15" w:type="dxa"/>
              <w:right w:w="15" w:type="dxa"/>
            </w:tcMar>
            <w:vAlign w:val="center"/>
          </w:tcPr>
          <w:p>
            <w:pPr>
              <w:snapToGrid w:val="0"/>
              <w:jc w:val="center"/>
              <w:rPr>
                <w:rFonts w:ascii="宋体" w:hAnsi="宋体" w:eastAsia="宋体" w:cs="宋体"/>
                <w:sz w:val="18"/>
                <w:szCs w:val="18"/>
              </w:rPr>
            </w:pPr>
            <w:r>
              <w:rPr>
                <w:rFonts w:hint="eastAsia" w:ascii="宋体" w:hAnsi="宋体" w:eastAsia="宋体" w:cs="宋体"/>
                <w:sz w:val="18"/>
                <w:szCs w:val="18"/>
              </w:rPr>
              <w:t>/</w:t>
            </w:r>
          </w:p>
        </w:tc>
        <w:tc>
          <w:tcPr>
            <w:tcW w:w="737"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3～15</w:t>
            </w:r>
          </w:p>
        </w:tc>
        <w:tc>
          <w:tcPr>
            <w:tcW w:w="964"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15～450</w:t>
            </w:r>
          </w:p>
        </w:tc>
        <w:tc>
          <w:tcPr>
            <w:tcW w:w="85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低～重大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20" w:hRule="atLeast"/>
        </w:trPr>
        <w:tc>
          <w:tcPr>
            <w:tcW w:w="637" w:type="dxa"/>
            <w:tcBorders>
              <w:tl2br w:val="nil"/>
              <w:tr2bl w:val="nil"/>
            </w:tcBorders>
            <w:noWrap/>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95</w:t>
            </w:r>
          </w:p>
        </w:tc>
        <w:tc>
          <w:tcPr>
            <w:tcW w:w="1033" w:type="dxa"/>
            <w:vMerge w:val="restart"/>
            <w:tcBorders>
              <w:top w:val="single" w:color="auto" w:sz="4" w:space="0"/>
              <w:bottom w:val="single" w:color="auto" w:sz="4" w:space="0"/>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环境类</w:t>
            </w:r>
          </w:p>
        </w:tc>
        <w:tc>
          <w:tcPr>
            <w:tcW w:w="1117" w:type="dxa"/>
            <w:vMerge w:val="restart"/>
            <w:tcBorders>
              <w:top w:val="single" w:color="auto" w:sz="4" w:space="0"/>
              <w:bottom w:val="single" w:color="auto" w:sz="4" w:space="0"/>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工作环境</w:t>
            </w:r>
          </w:p>
        </w:tc>
        <w:tc>
          <w:tcPr>
            <w:tcW w:w="1517"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疏散逃生通道</w:t>
            </w:r>
          </w:p>
        </w:tc>
        <w:tc>
          <w:tcPr>
            <w:tcW w:w="230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通道堵塞</w:t>
            </w:r>
          </w:p>
        </w:tc>
        <w:tc>
          <w:tcPr>
            <w:tcW w:w="2066"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发生火灾时人员无法及时撤离</w:t>
            </w:r>
          </w:p>
        </w:tc>
        <w:tc>
          <w:tcPr>
            <w:tcW w:w="850" w:type="dxa"/>
            <w:tcBorders>
              <w:tl2br w:val="nil"/>
              <w:tr2bl w:val="nil"/>
            </w:tcBorders>
            <w:noWrap/>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LS法</w:t>
            </w:r>
          </w:p>
        </w:tc>
        <w:tc>
          <w:tcPr>
            <w:tcW w:w="85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5～30</w:t>
            </w:r>
          </w:p>
        </w:tc>
        <w:tc>
          <w:tcPr>
            <w:tcW w:w="680" w:type="dxa"/>
            <w:tcBorders>
              <w:tl2br w:val="nil"/>
              <w:tr2bl w:val="nil"/>
            </w:tcBorders>
            <w:tcMar>
              <w:top w:w="15" w:type="dxa"/>
              <w:left w:w="15" w:type="dxa"/>
              <w:right w:w="15" w:type="dxa"/>
            </w:tcMar>
            <w:vAlign w:val="center"/>
          </w:tcPr>
          <w:p>
            <w:pPr>
              <w:snapToGrid w:val="0"/>
              <w:jc w:val="center"/>
              <w:rPr>
                <w:rFonts w:ascii="宋体" w:hAnsi="宋体" w:eastAsia="宋体" w:cs="宋体"/>
                <w:sz w:val="18"/>
                <w:szCs w:val="18"/>
              </w:rPr>
            </w:pPr>
            <w:r>
              <w:rPr>
                <w:rFonts w:hint="eastAsia" w:ascii="宋体" w:hAnsi="宋体" w:eastAsia="宋体" w:cs="宋体"/>
                <w:sz w:val="18"/>
                <w:szCs w:val="18"/>
              </w:rPr>
              <w:t>/</w:t>
            </w:r>
          </w:p>
        </w:tc>
        <w:tc>
          <w:tcPr>
            <w:tcW w:w="737"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3～15</w:t>
            </w:r>
          </w:p>
        </w:tc>
        <w:tc>
          <w:tcPr>
            <w:tcW w:w="964"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15～450</w:t>
            </w:r>
          </w:p>
        </w:tc>
        <w:tc>
          <w:tcPr>
            <w:tcW w:w="85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低～重大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20" w:hRule="atLeast"/>
        </w:trPr>
        <w:tc>
          <w:tcPr>
            <w:tcW w:w="637" w:type="dxa"/>
            <w:tcBorders>
              <w:tl2br w:val="nil"/>
              <w:tr2bl w:val="nil"/>
            </w:tcBorders>
            <w:noWrap/>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96</w:t>
            </w:r>
          </w:p>
        </w:tc>
        <w:tc>
          <w:tcPr>
            <w:tcW w:w="1033" w:type="dxa"/>
            <w:vMerge w:val="continue"/>
            <w:tcBorders>
              <w:top w:val="single" w:color="auto" w:sz="4" w:space="0"/>
              <w:bottom w:val="single" w:color="auto" w:sz="4" w:space="0"/>
              <w:tl2br w:val="nil"/>
              <w:tr2bl w:val="nil"/>
            </w:tcBorders>
            <w:tcMar>
              <w:top w:w="15" w:type="dxa"/>
              <w:left w:w="15" w:type="dxa"/>
              <w:right w:w="15" w:type="dxa"/>
            </w:tcMar>
            <w:vAlign w:val="center"/>
          </w:tcPr>
          <w:p>
            <w:pPr>
              <w:snapToGrid w:val="0"/>
              <w:jc w:val="center"/>
              <w:rPr>
                <w:rFonts w:ascii="宋体" w:hAnsi="宋体" w:eastAsia="宋体" w:cs="宋体"/>
                <w:sz w:val="18"/>
                <w:szCs w:val="18"/>
              </w:rPr>
            </w:pPr>
          </w:p>
        </w:tc>
        <w:tc>
          <w:tcPr>
            <w:tcW w:w="1117" w:type="dxa"/>
            <w:vMerge w:val="continue"/>
            <w:tcBorders>
              <w:top w:val="single" w:color="auto" w:sz="4" w:space="0"/>
              <w:bottom w:val="single" w:color="auto" w:sz="4" w:space="0"/>
              <w:tl2br w:val="nil"/>
              <w:tr2bl w:val="nil"/>
            </w:tcBorders>
            <w:tcMar>
              <w:top w:w="15" w:type="dxa"/>
              <w:left w:w="15" w:type="dxa"/>
              <w:right w:w="15" w:type="dxa"/>
            </w:tcMar>
            <w:vAlign w:val="center"/>
          </w:tcPr>
          <w:p>
            <w:pPr>
              <w:snapToGrid w:val="0"/>
              <w:jc w:val="center"/>
              <w:rPr>
                <w:rFonts w:ascii="宋体" w:hAnsi="宋体" w:eastAsia="宋体" w:cs="宋体"/>
                <w:sz w:val="18"/>
                <w:szCs w:val="18"/>
              </w:rPr>
            </w:pPr>
          </w:p>
        </w:tc>
        <w:tc>
          <w:tcPr>
            <w:tcW w:w="1517"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消防通道</w:t>
            </w:r>
          </w:p>
        </w:tc>
        <w:tc>
          <w:tcPr>
            <w:tcW w:w="230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消防通道不满足要求</w:t>
            </w:r>
          </w:p>
        </w:tc>
        <w:tc>
          <w:tcPr>
            <w:tcW w:w="2066"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发生火灾时不能即时扑灭</w:t>
            </w:r>
          </w:p>
        </w:tc>
        <w:tc>
          <w:tcPr>
            <w:tcW w:w="850" w:type="dxa"/>
            <w:tcBorders>
              <w:tl2br w:val="nil"/>
              <w:tr2bl w:val="nil"/>
            </w:tcBorders>
            <w:noWrap/>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LS法</w:t>
            </w:r>
          </w:p>
        </w:tc>
        <w:tc>
          <w:tcPr>
            <w:tcW w:w="85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5～30</w:t>
            </w:r>
          </w:p>
        </w:tc>
        <w:tc>
          <w:tcPr>
            <w:tcW w:w="680" w:type="dxa"/>
            <w:tcBorders>
              <w:tl2br w:val="nil"/>
              <w:tr2bl w:val="nil"/>
            </w:tcBorders>
            <w:tcMar>
              <w:top w:w="15" w:type="dxa"/>
              <w:left w:w="15" w:type="dxa"/>
              <w:right w:w="15" w:type="dxa"/>
            </w:tcMar>
            <w:vAlign w:val="center"/>
          </w:tcPr>
          <w:p>
            <w:pPr>
              <w:snapToGrid w:val="0"/>
              <w:jc w:val="center"/>
              <w:rPr>
                <w:rFonts w:ascii="宋体" w:hAnsi="宋体" w:eastAsia="宋体" w:cs="宋体"/>
                <w:sz w:val="18"/>
                <w:szCs w:val="18"/>
              </w:rPr>
            </w:pPr>
            <w:r>
              <w:rPr>
                <w:rFonts w:hint="eastAsia" w:ascii="宋体" w:hAnsi="宋体" w:eastAsia="宋体" w:cs="宋体"/>
                <w:sz w:val="18"/>
                <w:szCs w:val="18"/>
              </w:rPr>
              <w:t>/</w:t>
            </w:r>
          </w:p>
        </w:tc>
        <w:tc>
          <w:tcPr>
            <w:tcW w:w="737"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3～15</w:t>
            </w:r>
          </w:p>
        </w:tc>
        <w:tc>
          <w:tcPr>
            <w:tcW w:w="964"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15～450</w:t>
            </w:r>
          </w:p>
        </w:tc>
        <w:tc>
          <w:tcPr>
            <w:tcW w:w="85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低～重大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20" w:hRule="atLeast"/>
        </w:trPr>
        <w:tc>
          <w:tcPr>
            <w:tcW w:w="637" w:type="dxa"/>
            <w:tcBorders>
              <w:tl2br w:val="nil"/>
              <w:tr2bl w:val="nil"/>
            </w:tcBorders>
            <w:noWrap/>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97</w:t>
            </w:r>
          </w:p>
        </w:tc>
        <w:tc>
          <w:tcPr>
            <w:tcW w:w="1033" w:type="dxa"/>
            <w:vMerge w:val="continue"/>
            <w:tcBorders>
              <w:top w:val="single" w:color="auto" w:sz="4" w:space="0"/>
              <w:bottom w:val="single" w:color="auto" w:sz="4" w:space="0"/>
              <w:tl2br w:val="nil"/>
              <w:tr2bl w:val="nil"/>
            </w:tcBorders>
            <w:tcMar>
              <w:top w:w="15" w:type="dxa"/>
              <w:left w:w="15" w:type="dxa"/>
              <w:right w:w="15" w:type="dxa"/>
            </w:tcMar>
            <w:vAlign w:val="center"/>
          </w:tcPr>
          <w:p>
            <w:pPr>
              <w:snapToGrid w:val="0"/>
              <w:jc w:val="center"/>
              <w:rPr>
                <w:rFonts w:ascii="宋体" w:hAnsi="宋体" w:eastAsia="宋体" w:cs="宋体"/>
                <w:sz w:val="18"/>
                <w:szCs w:val="18"/>
              </w:rPr>
            </w:pPr>
          </w:p>
        </w:tc>
        <w:tc>
          <w:tcPr>
            <w:tcW w:w="1117" w:type="dxa"/>
            <w:vMerge w:val="continue"/>
            <w:tcBorders>
              <w:top w:val="single" w:color="auto" w:sz="4" w:space="0"/>
              <w:bottom w:val="single" w:color="auto" w:sz="4" w:space="0"/>
              <w:tl2br w:val="nil"/>
              <w:tr2bl w:val="nil"/>
            </w:tcBorders>
            <w:tcMar>
              <w:top w:w="15" w:type="dxa"/>
              <w:left w:w="15" w:type="dxa"/>
              <w:right w:w="15" w:type="dxa"/>
            </w:tcMar>
            <w:vAlign w:val="center"/>
          </w:tcPr>
          <w:p>
            <w:pPr>
              <w:snapToGrid w:val="0"/>
              <w:jc w:val="center"/>
              <w:rPr>
                <w:rFonts w:ascii="宋体" w:hAnsi="宋体" w:eastAsia="宋体" w:cs="宋体"/>
                <w:sz w:val="18"/>
                <w:szCs w:val="18"/>
              </w:rPr>
            </w:pPr>
          </w:p>
        </w:tc>
        <w:tc>
          <w:tcPr>
            <w:tcW w:w="1517"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油浸式变压器贮油池卵石层</w:t>
            </w:r>
          </w:p>
        </w:tc>
        <w:tc>
          <w:tcPr>
            <w:tcW w:w="230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贮油池内鹅卵石间缝隙被杂物堵塞或鹅卵石尺寸或厚度不满足要求，喷出的绝缘油不能快速下渗</w:t>
            </w:r>
          </w:p>
        </w:tc>
        <w:tc>
          <w:tcPr>
            <w:tcW w:w="2066"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火灾发生后可能持续燃烧</w:t>
            </w:r>
          </w:p>
        </w:tc>
        <w:tc>
          <w:tcPr>
            <w:tcW w:w="850" w:type="dxa"/>
            <w:tcBorders>
              <w:tl2br w:val="nil"/>
              <w:tr2bl w:val="nil"/>
            </w:tcBorders>
            <w:noWrap/>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LS法</w:t>
            </w:r>
          </w:p>
        </w:tc>
        <w:tc>
          <w:tcPr>
            <w:tcW w:w="85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5～10</w:t>
            </w:r>
          </w:p>
        </w:tc>
        <w:tc>
          <w:tcPr>
            <w:tcW w:w="680" w:type="dxa"/>
            <w:tcBorders>
              <w:tl2br w:val="nil"/>
              <w:tr2bl w:val="nil"/>
            </w:tcBorders>
            <w:tcMar>
              <w:top w:w="15" w:type="dxa"/>
              <w:left w:w="15" w:type="dxa"/>
              <w:right w:w="15" w:type="dxa"/>
            </w:tcMar>
            <w:vAlign w:val="center"/>
          </w:tcPr>
          <w:p>
            <w:pPr>
              <w:snapToGrid w:val="0"/>
              <w:jc w:val="center"/>
              <w:rPr>
                <w:rFonts w:ascii="宋体" w:hAnsi="宋体" w:eastAsia="宋体" w:cs="宋体"/>
                <w:sz w:val="18"/>
                <w:szCs w:val="18"/>
              </w:rPr>
            </w:pPr>
            <w:r>
              <w:rPr>
                <w:rFonts w:hint="eastAsia" w:ascii="宋体" w:hAnsi="宋体" w:eastAsia="宋体" w:cs="宋体"/>
                <w:sz w:val="18"/>
                <w:szCs w:val="18"/>
              </w:rPr>
              <w:t>/</w:t>
            </w:r>
          </w:p>
        </w:tc>
        <w:tc>
          <w:tcPr>
            <w:tcW w:w="737"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3～15</w:t>
            </w:r>
          </w:p>
        </w:tc>
        <w:tc>
          <w:tcPr>
            <w:tcW w:w="964"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15～150</w:t>
            </w:r>
          </w:p>
        </w:tc>
        <w:tc>
          <w:tcPr>
            <w:tcW w:w="850" w:type="dxa"/>
            <w:tcBorders>
              <w:tl2br w:val="nil"/>
              <w:tr2bl w:val="nil"/>
            </w:tcBorders>
            <w:noWrap/>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低～一般</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20" w:hRule="atLeast"/>
        </w:trPr>
        <w:tc>
          <w:tcPr>
            <w:tcW w:w="637" w:type="dxa"/>
            <w:tcBorders>
              <w:tl2br w:val="nil"/>
              <w:tr2bl w:val="nil"/>
            </w:tcBorders>
            <w:noWrap/>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98</w:t>
            </w:r>
          </w:p>
        </w:tc>
        <w:tc>
          <w:tcPr>
            <w:tcW w:w="1033" w:type="dxa"/>
            <w:vMerge w:val="continue"/>
            <w:tcBorders>
              <w:top w:val="single" w:color="auto" w:sz="4" w:space="0"/>
              <w:bottom w:val="single" w:color="auto" w:sz="4" w:space="0"/>
              <w:tl2br w:val="nil"/>
              <w:tr2bl w:val="nil"/>
            </w:tcBorders>
            <w:tcMar>
              <w:top w:w="15" w:type="dxa"/>
              <w:left w:w="15" w:type="dxa"/>
              <w:right w:w="15" w:type="dxa"/>
            </w:tcMar>
            <w:vAlign w:val="center"/>
          </w:tcPr>
          <w:p>
            <w:pPr>
              <w:snapToGrid w:val="0"/>
              <w:jc w:val="center"/>
              <w:rPr>
                <w:rFonts w:ascii="宋体" w:hAnsi="宋体" w:eastAsia="宋体" w:cs="宋体"/>
                <w:sz w:val="18"/>
                <w:szCs w:val="18"/>
              </w:rPr>
            </w:pPr>
          </w:p>
        </w:tc>
        <w:tc>
          <w:tcPr>
            <w:tcW w:w="1117" w:type="dxa"/>
            <w:vMerge w:val="continue"/>
            <w:tcBorders>
              <w:top w:val="single" w:color="auto" w:sz="4" w:space="0"/>
              <w:bottom w:val="single" w:color="auto" w:sz="4" w:space="0"/>
              <w:tl2br w:val="nil"/>
              <w:tr2bl w:val="nil"/>
            </w:tcBorders>
            <w:tcMar>
              <w:top w:w="15" w:type="dxa"/>
              <w:left w:w="15" w:type="dxa"/>
              <w:right w:w="15" w:type="dxa"/>
            </w:tcMar>
            <w:vAlign w:val="center"/>
          </w:tcPr>
          <w:p>
            <w:pPr>
              <w:snapToGrid w:val="0"/>
              <w:jc w:val="center"/>
              <w:rPr>
                <w:rFonts w:ascii="宋体" w:hAnsi="宋体" w:eastAsia="宋体" w:cs="宋体"/>
                <w:sz w:val="18"/>
                <w:szCs w:val="18"/>
              </w:rPr>
            </w:pPr>
          </w:p>
        </w:tc>
        <w:tc>
          <w:tcPr>
            <w:tcW w:w="1517"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斜坡、步梯、通道、作业场地</w:t>
            </w:r>
          </w:p>
        </w:tc>
        <w:tc>
          <w:tcPr>
            <w:tcW w:w="230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结冰或湿滑</w:t>
            </w:r>
          </w:p>
        </w:tc>
        <w:tc>
          <w:tcPr>
            <w:tcW w:w="2066"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高处坠落、扭伤、摔伤</w:t>
            </w:r>
          </w:p>
        </w:tc>
        <w:tc>
          <w:tcPr>
            <w:tcW w:w="850" w:type="dxa"/>
            <w:tcBorders>
              <w:tl2br w:val="nil"/>
              <w:tr2bl w:val="nil"/>
            </w:tcBorders>
            <w:noWrap/>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LEC法</w:t>
            </w:r>
          </w:p>
        </w:tc>
        <w:tc>
          <w:tcPr>
            <w:tcW w:w="85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0.5～3</w:t>
            </w:r>
          </w:p>
        </w:tc>
        <w:tc>
          <w:tcPr>
            <w:tcW w:w="68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2～6</w:t>
            </w:r>
          </w:p>
        </w:tc>
        <w:tc>
          <w:tcPr>
            <w:tcW w:w="737"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3～7</w:t>
            </w:r>
          </w:p>
        </w:tc>
        <w:tc>
          <w:tcPr>
            <w:tcW w:w="964"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3～126</w:t>
            </w:r>
          </w:p>
        </w:tc>
        <w:tc>
          <w:tcPr>
            <w:tcW w:w="850" w:type="dxa"/>
            <w:tcBorders>
              <w:tl2br w:val="nil"/>
              <w:tr2bl w:val="nil"/>
            </w:tcBorders>
            <w:noWrap/>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低～一般</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20" w:hRule="atLeast"/>
        </w:trPr>
        <w:tc>
          <w:tcPr>
            <w:tcW w:w="637" w:type="dxa"/>
            <w:tcBorders>
              <w:tl2br w:val="nil"/>
              <w:tr2bl w:val="nil"/>
            </w:tcBorders>
            <w:noWrap/>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99</w:t>
            </w:r>
          </w:p>
        </w:tc>
        <w:tc>
          <w:tcPr>
            <w:tcW w:w="1033" w:type="dxa"/>
            <w:vMerge w:val="restart"/>
            <w:tcBorders>
              <w:top w:val="single" w:color="auto" w:sz="4" w:space="0"/>
              <w:tl2br w:val="nil"/>
              <w:tr2bl w:val="nil"/>
            </w:tcBorders>
            <w:tcMar>
              <w:top w:w="15" w:type="dxa"/>
              <w:left w:w="15" w:type="dxa"/>
              <w:right w:w="15" w:type="dxa"/>
            </w:tcMar>
            <w:vAlign w:val="center"/>
          </w:tcPr>
          <w:p>
            <w:pPr>
              <w:snapToGrid w:val="0"/>
              <w:jc w:val="center"/>
              <w:rPr>
                <w:rFonts w:ascii="宋体" w:hAnsi="宋体" w:eastAsia="宋体" w:cs="宋体"/>
                <w:sz w:val="18"/>
                <w:szCs w:val="18"/>
              </w:rPr>
            </w:pPr>
            <w:r>
              <w:rPr>
                <w:rFonts w:hint="eastAsia" w:ascii="宋体" w:hAnsi="宋体" w:eastAsia="宋体" w:cs="宋体"/>
                <w:sz w:val="18"/>
                <w:szCs w:val="18"/>
                <w:lang w:bidi="ar"/>
              </w:rPr>
              <w:t>环境类</w:t>
            </w:r>
          </w:p>
        </w:tc>
        <w:tc>
          <w:tcPr>
            <w:tcW w:w="1117" w:type="dxa"/>
            <w:tcBorders>
              <w:top w:val="single" w:color="auto" w:sz="4" w:space="0"/>
              <w:tl2br w:val="nil"/>
              <w:tr2bl w:val="nil"/>
            </w:tcBorders>
            <w:tcMar>
              <w:top w:w="15" w:type="dxa"/>
              <w:left w:w="15" w:type="dxa"/>
              <w:right w:w="15" w:type="dxa"/>
            </w:tcMar>
            <w:vAlign w:val="center"/>
          </w:tcPr>
          <w:p>
            <w:pPr>
              <w:snapToGrid w:val="0"/>
              <w:jc w:val="center"/>
              <w:rPr>
                <w:rFonts w:ascii="宋体" w:hAnsi="宋体" w:eastAsia="宋体" w:cs="宋体"/>
                <w:sz w:val="18"/>
                <w:szCs w:val="18"/>
              </w:rPr>
            </w:pPr>
            <w:r>
              <w:rPr>
                <w:rFonts w:hint="eastAsia" w:ascii="宋体" w:hAnsi="宋体" w:eastAsia="宋体" w:cs="宋体"/>
                <w:sz w:val="18"/>
                <w:szCs w:val="18"/>
              </w:rPr>
              <w:t>工作环境</w:t>
            </w:r>
          </w:p>
        </w:tc>
        <w:tc>
          <w:tcPr>
            <w:tcW w:w="1517"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孔洞、临边、临水部位</w:t>
            </w:r>
          </w:p>
        </w:tc>
        <w:tc>
          <w:tcPr>
            <w:tcW w:w="230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防护栏杆缺失，井、坑、孔、洞或沟道没有覆以地面齐平盖板或照明不足</w:t>
            </w:r>
          </w:p>
        </w:tc>
        <w:tc>
          <w:tcPr>
            <w:tcW w:w="2066"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高处坠落、淹溺</w:t>
            </w:r>
          </w:p>
        </w:tc>
        <w:tc>
          <w:tcPr>
            <w:tcW w:w="850" w:type="dxa"/>
            <w:tcBorders>
              <w:tl2br w:val="nil"/>
              <w:tr2bl w:val="nil"/>
            </w:tcBorders>
            <w:noWrap/>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LEC法</w:t>
            </w:r>
          </w:p>
        </w:tc>
        <w:tc>
          <w:tcPr>
            <w:tcW w:w="85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0.5～3</w:t>
            </w:r>
          </w:p>
        </w:tc>
        <w:tc>
          <w:tcPr>
            <w:tcW w:w="68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2～6</w:t>
            </w:r>
          </w:p>
        </w:tc>
        <w:tc>
          <w:tcPr>
            <w:tcW w:w="737"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3～7</w:t>
            </w:r>
          </w:p>
        </w:tc>
        <w:tc>
          <w:tcPr>
            <w:tcW w:w="964"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3～126</w:t>
            </w:r>
          </w:p>
        </w:tc>
        <w:tc>
          <w:tcPr>
            <w:tcW w:w="850" w:type="dxa"/>
            <w:tcBorders>
              <w:tl2br w:val="nil"/>
              <w:tr2bl w:val="nil"/>
            </w:tcBorders>
            <w:noWrap/>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低～一般</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20" w:hRule="atLeast"/>
        </w:trPr>
        <w:tc>
          <w:tcPr>
            <w:tcW w:w="637" w:type="dxa"/>
            <w:tcBorders>
              <w:tl2br w:val="nil"/>
              <w:tr2bl w:val="nil"/>
            </w:tcBorders>
            <w:noWrap/>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100</w:t>
            </w:r>
          </w:p>
        </w:tc>
        <w:tc>
          <w:tcPr>
            <w:tcW w:w="1033" w:type="dxa"/>
            <w:vMerge w:val="continue"/>
            <w:tcBorders>
              <w:top w:val="single" w:color="auto" w:sz="4" w:space="0"/>
              <w:bottom w:val="single" w:color="auto" w:sz="4" w:space="0"/>
              <w:tl2br w:val="nil"/>
              <w:tr2bl w:val="nil"/>
            </w:tcBorders>
            <w:tcMar>
              <w:top w:w="15" w:type="dxa"/>
              <w:left w:w="15" w:type="dxa"/>
              <w:right w:w="15" w:type="dxa"/>
            </w:tcMar>
            <w:vAlign w:val="center"/>
          </w:tcPr>
          <w:p>
            <w:pPr>
              <w:snapToGrid w:val="0"/>
              <w:jc w:val="center"/>
              <w:rPr>
                <w:rFonts w:ascii="宋体" w:hAnsi="宋体" w:eastAsia="宋体" w:cs="宋体"/>
                <w:sz w:val="18"/>
                <w:szCs w:val="18"/>
              </w:rPr>
            </w:pPr>
          </w:p>
        </w:tc>
        <w:tc>
          <w:tcPr>
            <w:tcW w:w="1117" w:type="dxa"/>
            <w:vMerge w:val="restart"/>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自然环境</w:t>
            </w:r>
          </w:p>
        </w:tc>
        <w:tc>
          <w:tcPr>
            <w:tcW w:w="1517" w:type="dxa"/>
            <w:vMerge w:val="restart"/>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管理和保护范围内山体（土体）存在潜在滑坡、落石区域</w:t>
            </w:r>
          </w:p>
        </w:tc>
        <w:tc>
          <w:tcPr>
            <w:tcW w:w="2300" w:type="dxa"/>
            <w:vMerge w:val="restart"/>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大风、暴雨、洪水等</w:t>
            </w:r>
          </w:p>
        </w:tc>
        <w:tc>
          <w:tcPr>
            <w:tcW w:w="2066"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坍塌、物体打击</w:t>
            </w:r>
          </w:p>
        </w:tc>
        <w:tc>
          <w:tcPr>
            <w:tcW w:w="850" w:type="dxa"/>
            <w:tcBorders>
              <w:tl2br w:val="nil"/>
              <w:tr2bl w:val="nil"/>
            </w:tcBorders>
            <w:noWrap/>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LEC法</w:t>
            </w:r>
          </w:p>
        </w:tc>
        <w:tc>
          <w:tcPr>
            <w:tcW w:w="85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0.5～3</w:t>
            </w:r>
          </w:p>
        </w:tc>
        <w:tc>
          <w:tcPr>
            <w:tcW w:w="68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0.5～3</w:t>
            </w:r>
          </w:p>
        </w:tc>
        <w:tc>
          <w:tcPr>
            <w:tcW w:w="737"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3～15</w:t>
            </w:r>
          </w:p>
        </w:tc>
        <w:tc>
          <w:tcPr>
            <w:tcW w:w="964"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0.75～135</w:t>
            </w:r>
          </w:p>
        </w:tc>
        <w:tc>
          <w:tcPr>
            <w:tcW w:w="850" w:type="dxa"/>
            <w:tcBorders>
              <w:tl2br w:val="nil"/>
              <w:tr2bl w:val="nil"/>
            </w:tcBorders>
            <w:noWrap/>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低～一般</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20" w:hRule="atLeast"/>
        </w:trPr>
        <w:tc>
          <w:tcPr>
            <w:tcW w:w="637" w:type="dxa"/>
            <w:tcBorders>
              <w:tl2br w:val="nil"/>
              <w:tr2bl w:val="nil"/>
            </w:tcBorders>
            <w:noWrap/>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101</w:t>
            </w:r>
          </w:p>
        </w:tc>
        <w:tc>
          <w:tcPr>
            <w:tcW w:w="1033" w:type="dxa"/>
            <w:vMerge w:val="continue"/>
            <w:tcBorders>
              <w:top w:val="single" w:color="auto" w:sz="4" w:space="0"/>
              <w:bottom w:val="single" w:color="auto" w:sz="4" w:space="0"/>
              <w:tl2br w:val="nil"/>
              <w:tr2bl w:val="nil"/>
            </w:tcBorders>
            <w:tcMar>
              <w:top w:w="15" w:type="dxa"/>
              <w:left w:w="15" w:type="dxa"/>
              <w:right w:w="15" w:type="dxa"/>
            </w:tcMar>
            <w:vAlign w:val="center"/>
          </w:tcPr>
          <w:p>
            <w:pPr>
              <w:snapToGrid w:val="0"/>
              <w:jc w:val="center"/>
              <w:rPr>
                <w:rFonts w:ascii="宋体" w:hAnsi="宋体" w:eastAsia="宋体" w:cs="宋体"/>
                <w:sz w:val="18"/>
                <w:szCs w:val="18"/>
              </w:rPr>
            </w:pPr>
          </w:p>
        </w:tc>
        <w:tc>
          <w:tcPr>
            <w:tcW w:w="1117" w:type="dxa"/>
            <w:vMerge w:val="continue"/>
            <w:tcBorders>
              <w:tl2br w:val="nil"/>
              <w:tr2bl w:val="nil"/>
            </w:tcBorders>
            <w:tcMar>
              <w:top w:w="15" w:type="dxa"/>
              <w:left w:w="15" w:type="dxa"/>
              <w:right w:w="15" w:type="dxa"/>
            </w:tcMar>
            <w:vAlign w:val="center"/>
          </w:tcPr>
          <w:p>
            <w:pPr>
              <w:snapToGrid w:val="0"/>
              <w:jc w:val="center"/>
              <w:rPr>
                <w:rFonts w:ascii="宋体" w:hAnsi="宋体" w:eastAsia="宋体" w:cs="宋体"/>
                <w:sz w:val="18"/>
                <w:szCs w:val="18"/>
              </w:rPr>
            </w:pPr>
          </w:p>
        </w:tc>
        <w:tc>
          <w:tcPr>
            <w:tcW w:w="1517" w:type="dxa"/>
            <w:vMerge w:val="continue"/>
            <w:tcBorders>
              <w:tl2br w:val="nil"/>
              <w:tr2bl w:val="nil"/>
            </w:tcBorders>
            <w:tcMar>
              <w:top w:w="15" w:type="dxa"/>
              <w:left w:w="15" w:type="dxa"/>
              <w:right w:w="15" w:type="dxa"/>
            </w:tcMar>
            <w:vAlign w:val="center"/>
          </w:tcPr>
          <w:p>
            <w:pPr>
              <w:snapToGrid w:val="0"/>
              <w:jc w:val="center"/>
              <w:rPr>
                <w:rFonts w:ascii="宋体" w:hAnsi="宋体" w:eastAsia="宋体" w:cs="宋体"/>
                <w:sz w:val="18"/>
                <w:szCs w:val="18"/>
              </w:rPr>
            </w:pPr>
          </w:p>
        </w:tc>
        <w:tc>
          <w:tcPr>
            <w:tcW w:w="2300" w:type="dxa"/>
            <w:vMerge w:val="continue"/>
            <w:tcBorders>
              <w:tl2br w:val="nil"/>
              <w:tr2bl w:val="nil"/>
            </w:tcBorders>
            <w:tcMar>
              <w:top w:w="15" w:type="dxa"/>
              <w:left w:w="15" w:type="dxa"/>
              <w:right w:w="15" w:type="dxa"/>
            </w:tcMar>
            <w:vAlign w:val="center"/>
          </w:tcPr>
          <w:p>
            <w:pPr>
              <w:snapToGrid w:val="0"/>
              <w:jc w:val="center"/>
              <w:rPr>
                <w:rFonts w:ascii="宋体" w:hAnsi="宋体" w:eastAsia="宋体" w:cs="宋体"/>
                <w:sz w:val="18"/>
                <w:szCs w:val="18"/>
              </w:rPr>
            </w:pPr>
          </w:p>
        </w:tc>
        <w:tc>
          <w:tcPr>
            <w:tcW w:w="2066"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浪涌破坏</w:t>
            </w:r>
          </w:p>
        </w:tc>
        <w:tc>
          <w:tcPr>
            <w:tcW w:w="850" w:type="dxa"/>
            <w:tcBorders>
              <w:tl2br w:val="nil"/>
              <w:tr2bl w:val="nil"/>
            </w:tcBorders>
            <w:noWrap/>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LS法</w:t>
            </w:r>
          </w:p>
        </w:tc>
        <w:tc>
          <w:tcPr>
            <w:tcW w:w="85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5～10</w:t>
            </w:r>
          </w:p>
        </w:tc>
        <w:tc>
          <w:tcPr>
            <w:tcW w:w="680" w:type="dxa"/>
            <w:tcBorders>
              <w:tl2br w:val="nil"/>
              <w:tr2bl w:val="nil"/>
            </w:tcBorders>
            <w:tcMar>
              <w:top w:w="15" w:type="dxa"/>
              <w:left w:w="15" w:type="dxa"/>
              <w:right w:w="15" w:type="dxa"/>
            </w:tcMar>
            <w:vAlign w:val="center"/>
          </w:tcPr>
          <w:p>
            <w:pPr>
              <w:snapToGrid w:val="0"/>
              <w:jc w:val="center"/>
              <w:rPr>
                <w:rFonts w:ascii="宋体" w:hAnsi="宋体" w:eastAsia="宋体" w:cs="宋体"/>
                <w:sz w:val="18"/>
                <w:szCs w:val="18"/>
              </w:rPr>
            </w:pPr>
            <w:r>
              <w:rPr>
                <w:rFonts w:hint="eastAsia" w:ascii="宋体" w:hAnsi="宋体" w:eastAsia="宋体" w:cs="宋体"/>
                <w:sz w:val="18"/>
                <w:szCs w:val="18"/>
              </w:rPr>
              <w:t>/</w:t>
            </w:r>
          </w:p>
        </w:tc>
        <w:tc>
          <w:tcPr>
            <w:tcW w:w="737"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3～15</w:t>
            </w:r>
          </w:p>
        </w:tc>
        <w:tc>
          <w:tcPr>
            <w:tcW w:w="964"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15～150</w:t>
            </w:r>
          </w:p>
        </w:tc>
        <w:tc>
          <w:tcPr>
            <w:tcW w:w="850" w:type="dxa"/>
            <w:tcBorders>
              <w:tl2br w:val="nil"/>
              <w:tr2bl w:val="nil"/>
            </w:tcBorders>
            <w:noWrap/>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低～一般</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20" w:hRule="atLeast"/>
        </w:trPr>
        <w:tc>
          <w:tcPr>
            <w:tcW w:w="637" w:type="dxa"/>
            <w:tcBorders>
              <w:tl2br w:val="nil"/>
              <w:tr2bl w:val="nil"/>
            </w:tcBorders>
            <w:noWrap/>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102</w:t>
            </w:r>
          </w:p>
        </w:tc>
        <w:tc>
          <w:tcPr>
            <w:tcW w:w="1033" w:type="dxa"/>
            <w:vMerge w:val="continue"/>
            <w:tcBorders>
              <w:top w:val="single" w:color="auto" w:sz="4" w:space="0"/>
              <w:bottom w:val="single" w:color="auto" w:sz="4" w:space="0"/>
              <w:tl2br w:val="nil"/>
              <w:tr2bl w:val="nil"/>
            </w:tcBorders>
            <w:tcMar>
              <w:top w:w="15" w:type="dxa"/>
              <w:left w:w="15" w:type="dxa"/>
              <w:right w:w="15" w:type="dxa"/>
            </w:tcMar>
            <w:vAlign w:val="center"/>
          </w:tcPr>
          <w:p>
            <w:pPr>
              <w:snapToGrid w:val="0"/>
              <w:jc w:val="center"/>
              <w:rPr>
                <w:rFonts w:ascii="宋体" w:hAnsi="宋体" w:eastAsia="宋体" w:cs="宋体"/>
                <w:sz w:val="18"/>
                <w:szCs w:val="18"/>
              </w:rPr>
            </w:pPr>
          </w:p>
        </w:tc>
        <w:tc>
          <w:tcPr>
            <w:tcW w:w="1117" w:type="dxa"/>
            <w:vMerge w:val="continue"/>
            <w:tcBorders>
              <w:tl2br w:val="nil"/>
              <w:tr2bl w:val="nil"/>
            </w:tcBorders>
            <w:tcMar>
              <w:top w:w="15" w:type="dxa"/>
              <w:left w:w="15" w:type="dxa"/>
              <w:right w:w="15" w:type="dxa"/>
            </w:tcMar>
            <w:vAlign w:val="center"/>
          </w:tcPr>
          <w:p>
            <w:pPr>
              <w:snapToGrid w:val="0"/>
              <w:jc w:val="center"/>
              <w:rPr>
                <w:rFonts w:ascii="宋体" w:hAnsi="宋体" w:eastAsia="宋体" w:cs="宋体"/>
                <w:sz w:val="18"/>
                <w:szCs w:val="18"/>
              </w:rPr>
            </w:pPr>
          </w:p>
        </w:tc>
        <w:tc>
          <w:tcPr>
            <w:tcW w:w="1517"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结构受侵蚀性介质作用</w:t>
            </w:r>
          </w:p>
        </w:tc>
        <w:tc>
          <w:tcPr>
            <w:tcW w:w="230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侵蚀性介质接触</w:t>
            </w:r>
          </w:p>
        </w:tc>
        <w:tc>
          <w:tcPr>
            <w:tcW w:w="2066"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建筑物结构损坏</w:t>
            </w:r>
          </w:p>
        </w:tc>
        <w:tc>
          <w:tcPr>
            <w:tcW w:w="850" w:type="dxa"/>
            <w:tcBorders>
              <w:tl2br w:val="nil"/>
              <w:tr2bl w:val="nil"/>
            </w:tcBorders>
            <w:noWrap/>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LS法</w:t>
            </w:r>
          </w:p>
        </w:tc>
        <w:tc>
          <w:tcPr>
            <w:tcW w:w="85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5～30</w:t>
            </w:r>
          </w:p>
        </w:tc>
        <w:tc>
          <w:tcPr>
            <w:tcW w:w="680" w:type="dxa"/>
            <w:tcBorders>
              <w:tl2br w:val="nil"/>
              <w:tr2bl w:val="nil"/>
            </w:tcBorders>
            <w:tcMar>
              <w:top w:w="15" w:type="dxa"/>
              <w:left w:w="15" w:type="dxa"/>
              <w:right w:w="15" w:type="dxa"/>
            </w:tcMar>
            <w:vAlign w:val="center"/>
          </w:tcPr>
          <w:p>
            <w:pPr>
              <w:snapToGrid w:val="0"/>
              <w:jc w:val="center"/>
              <w:rPr>
                <w:rFonts w:ascii="宋体" w:hAnsi="宋体" w:eastAsia="宋体" w:cs="宋体"/>
                <w:sz w:val="18"/>
                <w:szCs w:val="18"/>
              </w:rPr>
            </w:pPr>
            <w:r>
              <w:rPr>
                <w:rFonts w:hint="eastAsia" w:ascii="宋体" w:hAnsi="宋体" w:eastAsia="宋体" w:cs="宋体"/>
                <w:sz w:val="18"/>
                <w:szCs w:val="18"/>
              </w:rPr>
              <w:t>/</w:t>
            </w:r>
          </w:p>
        </w:tc>
        <w:tc>
          <w:tcPr>
            <w:tcW w:w="737"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ascii="宋体" w:hAnsi="宋体" w:eastAsia="宋体" w:cs="宋体"/>
                <w:sz w:val="18"/>
                <w:szCs w:val="18"/>
                <w:lang w:bidi="ar"/>
              </w:rPr>
              <w:t>3～15</w:t>
            </w:r>
          </w:p>
        </w:tc>
        <w:tc>
          <w:tcPr>
            <w:tcW w:w="964"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15～450</w:t>
            </w:r>
          </w:p>
        </w:tc>
        <w:tc>
          <w:tcPr>
            <w:tcW w:w="850" w:type="dxa"/>
            <w:tcBorders>
              <w:tl2br w:val="nil"/>
              <w:tr2bl w:val="nil"/>
            </w:tcBorders>
            <w:noWrap/>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低～重大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20" w:hRule="atLeast"/>
        </w:trPr>
        <w:tc>
          <w:tcPr>
            <w:tcW w:w="637" w:type="dxa"/>
            <w:tcBorders>
              <w:tl2br w:val="nil"/>
              <w:tr2bl w:val="nil"/>
            </w:tcBorders>
            <w:noWrap/>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103</w:t>
            </w:r>
          </w:p>
        </w:tc>
        <w:tc>
          <w:tcPr>
            <w:tcW w:w="1033" w:type="dxa"/>
            <w:vMerge w:val="continue"/>
            <w:tcBorders>
              <w:top w:val="single" w:color="auto" w:sz="4" w:space="0"/>
              <w:bottom w:val="single" w:color="auto" w:sz="4" w:space="0"/>
              <w:tl2br w:val="nil"/>
              <w:tr2bl w:val="nil"/>
            </w:tcBorders>
            <w:tcMar>
              <w:top w:w="15" w:type="dxa"/>
              <w:left w:w="15" w:type="dxa"/>
              <w:right w:w="15" w:type="dxa"/>
            </w:tcMar>
            <w:vAlign w:val="center"/>
          </w:tcPr>
          <w:p>
            <w:pPr>
              <w:snapToGrid w:val="0"/>
              <w:jc w:val="center"/>
              <w:rPr>
                <w:rFonts w:ascii="宋体" w:hAnsi="宋体" w:eastAsia="宋体" w:cs="宋体"/>
                <w:sz w:val="18"/>
                <w:szCs w:val="18"/>
              </w:rPr>
            </w:pPr>
          </w:p>
        </w:tc>
        <w:tc>
          <w:tcPr>
            <w:tcW w:w="1117" w:type="dxa"/>
            <w:vMerge w:val="continue"/>
            <w:tcBorders>
              <w:tl2br w:val="nil"/>
              <w:tr2bl w:val="nil"/>
            </w:tcBorders>
            <w:tcMar>
              <w:top w:w="15" w:type="dxa"/>
              <w:left w:w="15" w:type="dxa"/>
              <w:right w:w="15" w:type="dxa"/>
            </w:tcMar>
            <w:vAlign w:val="center"/>
          </w:tcPr>
          <w:p>
            <w:pPr>
              <w:snapToGrid w:val="0"/>
              <w:jc w:val="center"/>
              <w:rPr>
                <w:rFonts w:ascii="宋体" w:hAnsi="宋体" w:eastAsia="宋体" w:cs="宋体"/>
                <w:sz w:val="18"/>
                <w:szCs w:val="18"/>
              </w:rPr>
            </w:pPr>
          </w:p>
        </w:tc>
        <w:tc>
          <w:tcPr>
            <w:tcW w:w="1517"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水生生物</w:t>
            </w:r>
          </w:p>
        </w:tc>
        <w:tc>
          <w:tcPr>
            <w:tcW w:w="230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吸附在闸门、门槽上</w:t>
            </w:r>
          </w:p>
        </w:tc>
        <w:tc>
          <w:tcPr>
            <w:tcW w:w="2066"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影响闸门启闭</w:t>
            </w:r>
          </w:p>
        </w:tc>
        <w:tc>
          <w:tcPr>
            <w:tcW w:w="850" w:type="dxa"/>
            <w:tcBorders>
              <w:tl2br w:val="nil"/>
              <w:tr2bl w:val="nil"/>
            </w:tcBorders>
            <w:noWrap/>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LS法</w:t>
            </w:r>
          </w:p>
        </w:tc>
        <w:tc>
          <w:tcPr>
            <w:tcW w:w="85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5～30</w:t>
            </w:r>
          </w:p>
        </w:tc>
        <w:tc>
          <w:tcPr>
            <w:tcW w:w="680" w:type="dxa"/>
            <w:tcBorders>
              <w:tl2br w:val="nil"/>
              <w:tr2bl w:val="nil"/>
            </w:tcBorders>
            <w:tcMar>
              <w:top w:w="15" w:type="dxa"/>
              <w:left w:w="15" w:type="dxa"/>
              <w:right w:w="15" w:type="dxa"/>
            </w:tcMar>
            <w:vAlign w:val="center"/>
          </w:tcPr>
          <w:p>
            <w:pPr>
              <w:snapToGrid w:val="0"/>
              <w:jc w:val="center"/>
              <w:rPr>
                <w:rFonts w:ascii="宋体" w:hAnsi="宋体" w:eastAsia="宋体" w:cs="宋体"/>
                <w:sz w:val="18"/>
                <w:szCs w:val="18"/>
              </w:rPr>
            </w:pPr>
            <w:r>
              <w:rPr>
                <w:rFonts w:hint="eastAsia" w:ascii="宋体" w:hAnsi="宋体" w:eastAsia="宋体" w:cs="宋体"/>
                <w:sz w:val="18"/>
                <w:szCs w:val="18"/>
              </w:rPr>
              <w:t>/</w:t>
            </w:r>
          </w:p>
        </w:tc>
        <w:tc>
          <w:tcPr>
            <w:tcW w:w="737"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ascii="宋体" w:hAnsi="宋体" w:eastAsia="宋体" w:cs="宋体"/>
                <w:sz w:val="18"/>
                <w:szCs w:val="18"/>
                <w:lang w:bidi="ar"/>
              </w:rPr>
              <w:t>3～15</w:t>
            </w:r>
          </w:p>
        </w:tc>
        <w:tc>
          <w:tcPr>
            <w:tcW w:w="964"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15～450</w:t>
            </w:r>
          </w:p>
        </w:tc>
        <w:tc>
          <w:tcPr>
            <w:tcW w:w="850" w:type="dxa"/>
            <w:tcBorders>
              <w:tl2br w:val="nil"/>
              <w:tr2bl w:val="nil"/>
            </w:tcBorders>
            <w:noWrap/>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低～重大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20" w:hRule="atLeast"/>
        </w:trPr>
        <w:tc>
          <w:tcPr>
            <w:tcW w:w="637" w:type="dxa"/>
            <w:tcBorders>
              <w:tl2br w:val="nil"/>
              <w:tr2bl w:val="nil"/>
            </w:tcBorders>
            <w:noWrap/>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104</w:t>
            </w:r>
          </w:p>
        </w:tc>
        <w:tc>
          <w:tcPr>
            <w:tcW w:w="1033" w:type="dxa"/>
            <w:vMerge w:val="continue"/>
            <w:tcBorders>
              <w:top w:val="single" w:color="auto" w:sz="4" w:space="0"/>
              <w:bottom w:val="single" w:color="auto" w:sz="4" w:space="0"/>
              <w:tl2br w:val="nil"/>
              <w:tr2bl w:val="nil"/>
            </w:tcBorders>
            <w:tcMar>
              <w:top w:w="15" w:type="dxa"/>
              <w:left w:w="15" w:type="dxa"/>
              <w:right w:w="15" w:type="dxa"/>
            </w:tcMar>
            <w:vAlign w:val="center"/>
          </w:tcPr>
          <w:p>
            <w:pPr>
              <w:snapToGrid w:val="0"/>
              <w:jc w:val="center"/>
              <w:rPr>
                <w:rFonts w:ascii="宋体" w:hAnsi="宋体" w:eastAsia="宋体" w:cs="宋体"/>
                <w:sz w:val="18"/>
                <w:szCs w:val="18"/>
              </w:rPr>
            </w:pPr>
          </w:p>
        </w:tc>
        <w:tc>
          <w:tcPr>
            <w:tcW w:w="1117" w:type="dxa"/>
            <w:vMerge w:val="continue"/>
            <w:tcBorders>
              <w:tl2br w:val="nil"/>
              <w:tr2bl w:val="nil"/>
            </w:tcBorders>
            <w:tcMar>
              <w:top w:w="15" w:type="dxa"/>
              <w:left w:w="15" w:type="dxa"/>
              <w:right w:w="15" w:type="dxa"/>
            </w:tcMar>
            <w:vAlign w:val="center"/>
          </w:tcPr>
          <w:p>
            <w:pPr>
              <w:snapToGrid w:val="0"/>
              <w:jc w:val="center"/>
              <w:rPr>
                <w:rFonts w:ascii="宋体" w:hAnsi="宋体" w:eastAsia="宋体" w:cs="宋体"/>
                <w:sz w:val="18"/>
                <w:szCs w:val="18"/>
              </w:rPr>
            </w:pPr>
          </w:p>
        </w:tc>
        <w:tc>
          <w:tcPr>
            <w:tcW w:w="1517"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水面漂浮物、垃圾</w:t>
            </w:r>
          </w:p>
        </w:tc>
        <w:tc>
          <w:tcPr>
            <w:tcW w:w="230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在门槽附近堆积</w:t>
            </w:r>
          </w:p>
        </w:tc>
        <w:tc>
          <w:tcPr>
            <w:tcW w:w="2066"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影响闸门启闭</w:t>
            </w:r>
          </w:p>
        </w:tc>
        <w:tc>
          <w:tcPr>
            <w:tcW w:w="850" w:type="dxa"/>
            <w:tcBorders>
              <w:tl2br w:val="nil"/>
              <w:tr2bl w:val="nil"/>
            </w:tcBorders>
            <w:noWrap/>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LS法</w:t>
            </w:r>
          </w:p>
        </w:tc>
        <w:tc>
          <w:tcPr>
            <w:tcW w:w="85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5～30</w:t>
            </w:r>
          </w:p>
        </w:tc>
        <w:tc>
          <w:tcPr>
            <w:tcW w:w="680" w:type="dxa"/>
            <w:tcBorders>
              <w:tl2br w:val="nil"/>
              <w:tr2bl w:val="nil"/>
            </w:tcBorders>
            <w:tcMar>
              <w:top w:w="15" w:type="dxa"/>
              <w:left w:w="15" w:type="dxa"/>
              <w:right w:w="15" w:type="dxa"/>
            </w:tcMar>
            <w:vAlign w:val="center"/>
          </w:tcPr>
          <w:p>
            <w:pPr>
              <w:snapToGrid w:val="0"/>
              <w:jc w:val="center"/>
              <w:rPr>
                <w:rFonts w:ascii="宋体" w:hAnsi="宋体" w:eastAsia="宋体" w:cs="宋体"/>
                <w:sz w:val="18"/>
                <w:szCs w:val="18"/>
              </w:rPr>
            </w:pPr>
            <w:r>
              <w:rPr>
                <w:rFonts w:hint="eastAsia" w:ascii="宋体" w:hAnsi="宋体" w:eastAsia="宋体" w:cs="宋体"/>
                <w:sz w:val="18"/>
                <w:szCs w:val="18"/>
              </w:rPr>
              <w:t>/</w:t>
            </w:r>
          </w:p>
        </w:tc>
        <w:tc>
          <w:tcPr>
            <w:tcW w:w="737"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ascii="宋体" w:hAnsi="宋体" w:eastAsia="宋体" w:cs="宋体"/>
                <w:sz w:val="18"/>
                <w:szCs w:val="18"/>
                <w:lang w:bidi="ar"/>
              </w:rPr>
              <w:t>3～15</w:t>
            </w:r>
          </w:p>
        </w:tc>
        <w:tc>
          <w:tcPr>
            <w:tcW w:w="964"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15～450</w:t>
            </w:r>
          </w:p>
        </w:tc>
        <w:tc>
          <w:tcPr>
            <w:tcW w:w="85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低～重大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20" w:hRule="atLeast"/>
        </w:trPr>
        <w:tc>
          <w:tcPr>
            <w:tcW w:w="637" w:type="dxa"/>
            <w:tcBorders>
              <w:tl2br w:val="nil"/>
              <w:tr2bl w:val="nil"/>
            </w:tcBorders>
            <w:noWrap/>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105</w:t>
            </w:r>
          </w:p>
        </w:tc>
        <w:tc>
          <w:tcPr>
            <w:tcW w:w="1033" w:type="dxa"/>
            <w:vMerge w:val="continue"/>
            <w:tcBorders>
              <w:top w:val="single" w:color="auto" w:sz="4" w:space="0"/>
              <w:bottom w:val="single" w:color="auto" w:sz="4" w:space="0"/>
              <w:tl2br w:val="nil"/>
              <w:tr2bl w:val="nil"/>
            </w:tcBorders>
            <w:tcMar>
              <w:top w:w="15" w:type="dxa"/>
              <w:left w:w="15" w:type="dxa"/>
              <w:right w:w="15" w:type="dxa"/>
            </w:tcMar>
            <w:vAlign w:val="center"/>
          </w:tcPr>
          <w:p>
            <w:pPr>
              <w:snapToGrid w:val="0"/>
              <w:jc w:val="center"/>
              <w:rPr>
                <w:rFonts w:ascii="宋体" w:hAnsi="宋体" w:eastAsia="宋体" w:cs="宋体"/>
                <w:sz w:val="18"/>
                <w:szCs w:val="18"/>
              </w:rPr>
            </w:pPr>
          </w:p>
        </w:tc>
        <w:tc>
          <w:tcPr>
            <w:tcW w:w="1117" w:type="dxa"/>
            <w:vMerge w:val="continue"/>
            <w:tcBorders>
              <w:tl2br w:val="nil"/>
              <w:tr2bl w:val="nil"/>
            </w:tcBorders>
            <w:tcMar>
              <w:top w:w="15" w:type="dxa"/>
              <w:left w:w="15" w:type="dxa"/>
              <w:right w:w="15" w:type="dxa"/>
            </w:tcMar>
            <w:vAlign w:val="center"/>
          </w:tcPr>
          <w:p>
            <w:pPr>
              <w:snapToGrid w:val="0"/>
              <w:jc w:val="center"/>
              <w:rPr>
                <w:rFonts w:ascii="宋体" w:hAnsi="宋体" w:eastAsia="宋体" w:cs="宋体"/>
                <w:sz w:val="18"/>
                <w:szCs w:val="18"/>
              </w:rPr>
            </w:pPr>
          </w:p>
        </w:tc>
        <w:tc>
          <w:tcPr>
            <w:tcW w:w="1517"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杨柳絮、老鼠、蛇等</w:t>
            </w:r>
          </w:p>
        </w:tc>
        <w:tc>
          <w:tcPr>
            <w:tcW w:w="230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未采取措施防止动物、杨柳絮进入</w:t>
            </w:r>
          </w:p>
        </w:tc>
        <w:tc>
          <w:tcPr>
            <w:tcW w:w="2066"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短路、设备损坏</w:t>
            </w:r>
          </w:p>
        </w:tc>
        <w:tc>
          <w:tcPr>
            <w:tcW w:w="850" w:type="dxa"/>
            <w:tcBorders>
              <w:tl2br w:val="nil"/>
              <w:tr2bl w:val="nil"/>
            </w:tcBorders>
            <w:noWrap/>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LS法</w:t>
            </w:r>
          </w:p>
        </w:tc>
        <w:tc>
          <w:tcPr>
            <w:tcW w:w="85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5～30</w:t>
            </w:r>
          </w:p>
        </w:tc>
        <w:tc>
          <w:tcPr>
            <w:tcW w:w="680" w:type="dxa"/>
            <w:tcBorders>
              <w:tl2br w:val="nil"/>
              <w:tr2bl w:val="nil"/>
            </w:tcBorders>
            <w:tcMar>
              <w:top w:w="15" w:type="dxa"/>
              <w:left w:w="15" w:type="dxa"/>
              <w:right w:w="15" w:type="dxa"/>
            </w:tcMar>
            <w:vAlign w:val="center"/>
          </w:tcPr>
          <w:p>
            <w:pPr>
              <w:snapToGrid w:val="0"/>
              <w:jc w:val="center"/>
              <w:rPr>
                <w:rFonts w:ascii="宋体" w:hAnsi="宋体" w:eastAsia="宋体" w:cs="宋体"/>
                <w:sz w:val="18"/>
                <w:szCs w:val="18"/>
              </w:rPr>
            </w:pPr>
            <w:r>
              <w:rPr>
                <w:rFonts w:hint="eastAsia" w:ascii="宋体" w:hAnsi="宋体" w:eastAsia="宋体" w:cs="宋体"/>
                <w:sz w:val="18"/>
                <w:szCs w:val="18"/>
              </w:rPr>
              <w:t>/</w:t>
            </w:r>
          </w:p>
        </w:tc>
        <w:tc>
          <w:tcPr>
            <w:tcW w:w="737"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ascii="宋体" w:hAnsi="宋体" w:eastAsia="宋体" w:cs="宋体"/>
                <w:sz w:val="18"/>
                <w:szCs w:val="18"/>
                <w:lang w:bidi="ar"/>
              </w:rPr>
              <w:t>3～15</w:t>
            </w:r>
          </w:p>
        </w:tc>
        <w:tc>
          <w:tcPr>
            <w:tcW w:w="964"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15～450</w:t>
            </w:r>
          </w:p>
        </w:tc>
        <w:tc>
          <w:tcPr>
            <w:tcW w:w="85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低～重大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20" w:hRule="atLeast"/>
        </w:trPr>
        <w:tc>
          <w:tcPr>
            <w:tcW w:w="637" w:type="dxa"/>
            <w:tcBorders>
              <w:tl2br w:val="nil"/>
              <w:tr2bl w:val="nil"/>
            </w:tcBorders>
            <w:noWrap/>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106</w:t>
            </w:r>
          </w:p>
        </w:tc>
        <w:tc>
          <w:tcPr>
            <w:tcW w:w="1033" w:type="dxa"/>
            <w:vMerge w:val="continue"/>
            <w:tcBorders>
              <w:top w:val="single" w:color="auto" w:sz="4" w:space="0"/>
              <w:bottom w:val="single" w:color="auto" w:sz="4" w:space="0"/>
              <w:tl2br w:val="nil"/>
              <w:tr2bl w:val="nil"/>
            </w:tcBorders>
            <w:tcMar>
              <w:top w:w="15" w:type="dxa"/>
              <w:left w:w="15" w:type="dxa"/>
              <w:right w:w="15" w:type="dxa"/>
            </w:tcMar>
            <w:vAlign w:val="center"/>
          </w:tcPr>
          <w:p>
            <w:pPr>
              <w:snapToGrid w:val="0"/>
              <w:jc w:val="center"/>
              <w:rPr>
                <w:rFonts w:ascii="宋体" w:hAnsi="宋体" w:eastAsia="宋体" w:cs="宋体"/>
                <w:sz w:val="18"/>
                <w:szCs w:val="18"/>
              </w:rPr>
            </w:pPr>
          </w:p>
        </w:tc>
        <w:tc>
          <w:tcPr>
            <w:tcW w:w="1117" w:type="dxa"/>
            <w:vMerge w:val="continue"/>
            <w:tcBorders>
              <w:tl2br w:val="nil"/>
              <w:tr2bl w:val="nil"/>
            </w:tcBorders>
            <w:tcMar>
              <w:top w:w="15" w:type="dxa"/>
              <w:left w:w="15" w:type="dxa"/>
              <w:right w:w="15" w:type="dxa"/>
            </w:tcMar>
            <w:vAlign w:val="center"/>
          </w:tcPr>
          <w:p>
            <w:pPr>
              <w:snapToGrid w:val="0"/>
              <w:jc w:val="center"/>
              <w:rPr>
                <w:rFonts w:ascii="宋体" w:hAnsi="宋体" w:eastAsia="宋体" w:cs="宋体"/>
                <w:sz w:val="18"/>
                <w:szCs w:val="18"/>
              </w:rPr>
            </w:pPr>
          </w:p>
        </w:tc>
        <w:tc>
          <w:tcPr>
            <w:tcW w:w="1517"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有毒有害气体、废弃物</w:t>
            </w:r>
          </w:p>
        </w:tc>
        <w:tc>
          <w:tcPr>
            <w:tcW w:w="230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溢出，处理不当</w:t>
            </w:r>
          </w:p>
        </w:tc>
        <w:tc>
          <w:tcPr>
            <w:tcW w:w="2066"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中毒、人员伤亡、污染水体</w:t>
            </w:r>
          </w:p>
        </w:tc>
        <w:tc>
          <w:tcPr>
            <w:tcW w:w="850" w:type="dxa"/>
            <w:tcBorders>
              <w:tl2br w:val="nil"/>
              <w:tr2bl w:val="nil"/>
            </w:tcBorders>
            <w:noWrap/>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LS法</w:t>
            </w:r>
          </w:p>
        </w:tc>
        <w:tc>
          <w:tcPr>
            <w:tcW w:w="85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0.5～3</w:t>
            </w:r>
          </w:p>
        </w:tc>
        <w:tc>
          <w:tcPr>
            <w:tcW w:w="68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lang w:bidi="ar"/>
              </w:rPr>
            </w:pPr>
            <w:r>
              <w:rPr>
                <w:rFonts w:ascii="宋体" w:hAnsi="宋体" w:eastAsia="宋体" w:cs="宋体"/>
                <w:sz w:val="18"/>
                <w:szCs w:val="18"/>
                <w:lang w:bidi="ar"/>
              </w:rPr>
              <w:t>2～6</w:t>
            </w:r>
          </w:p>
        </w:tc>
        <w:tc>
          <w:tcPr>
            <w:tcW w:w="737"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lang w:bidi="ar"/>
              </w:rPr>
            </w:pPr>
            <w:r>
              <w:rPr>
                <w:rFonts w:ascii="宋体" w:hAnsi="宋体" w:eastAsia="宋体" w:cs="宋体"/>
                <w:sz w:val="18"/>
                <w:szCs w:val="18"/>
                <w:lang w:bidi="ar"/>
              </w:rPr>
              <w:t>3～7</w:t>
            </w:r>
          </w:p>
        </w:tc>
        <w:tc>
          <w:tcPr>
            <w:tcW w:w="964"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3～126</w:t>
            </w:r>
          </w:p>
        </w:tc>
        <w:tc>
          <w:tcPr>
            <w:tcW w:w="850" w:type="dxa"/>
            <w:tcBorders>
              <w:tl2br w:val="nil"/>
              <w:tr2bl w:val="nil"/>
            </w:tcBorders>
            <w:tcMar>
              <w:top w:w="15" w:type="dxa"/>
              <w:left w:w="15" w:type="dxa"/>
              <w:right w:w="15" w:type="dxa"/>
            </w:tcMar>
            <w:vAlign w:val="center"/>
          </w:tcPr>
          <w:p>
            <w:pPr>
              <w:snapToGrid w:val="0"/>
              <w:jc w:val="center"/>
              <w:textAlignment w:val="center"/>
              <w:rPr>
                <w:rFonts w:ascii="宋体" w:hAnsi="宋体" w:eastAsia="宋体" w:cs="宋体"/>
                <w:sz w:val="18"/>
                <w:szCs w:val="18"/>
              </w:rPr>
            </w:pPr>
            <w:r>
              <w:rPr>
                <w:rFonts w:hint="eastAsia" w:ascii="宋体" w:hAnsi="宋体" w:eastAsia="宋体" w:cs="宋体"/>
                <w:sz w:val="18"/>
                <w:szCs w:val="18"/>
                <w:lang w:bidi="ar"/>
              </w:rPr>
              <w:t>低～一般</w:t>
            </w:r>
          </w:p>
        </w:tc>
      </w:tr>
    </w:tbl>
    <w:p/>
    <w:p/>
    <w:p/>
    <w:p>
      <w:pPr>
        <w:rPr>
          <w:rFonts w:asciiTheme="minorEastAsia" w:hAnsiTheme="minorEastAsia" w:eastAsiaTheme="minorEastAsia"/>
          <w:sz w:val="21"/>
          <w:szCs w:val="21"/>
        </w:rPr>
        <w:sectPr>
          <w:pgSz w:w="16838" w:h="11906" w:orient="landscape"/>
          <w:pgMar w:top="1797" w:right="1440" w:bottom="1797" w:left="1440" w:header="851" w:footer="992" w:gutter="0"/>
          <w:cols w:space="425" w:num="1"/>
          <w:docGrid w:type="lines" w:linePitch="435" w:charSpace="0"/>
        </w:sectPr>
      </w:pPr>
    </w:p>
    <w:p>
      <w:pPr>
        <w:jc w:val="center"/>
        <w:outlineLvl w:val="0"/>
        <w:rPr>
          <w:rFonts w:ascii="方正小标宋_GBK" w:hAnsi="黑体" w:eastAsia="方正小标宋_GBK"/>
          <w:b/>
          <w:bCs/>
          <w:sz w:val="28"/>
          <w:szCs w:val="28"/>
        </w:rPr>
      </w:pPr>
      <w:bookmarkStart w:id="123" w:name="_Toc119336594"/>
      <w:bookmarkStart w:id="124" w:name="_Hlk117456011"/>
      <w:bookmarkStart w:id="125" w:name="_Toc117541313"/>
      <w:r>
        <w:rPr>
          <w:rFonts w:hint="eastAsia" w:ascii="方正小标宋_GBK" w:hAnsi="黑体" w:eastAsia="方正小标宋_GBK"/>
          <w:b/>
          <w:bCs/>
          <w:sz w:val="28"/>
          <w:szCs w:val="28"/>
        </w:rPr>
        <w:t>附录A.11</w:t>
      </w:r>
      <w:bookmarkEnd w:id="123"/>
      <w:bookmarkEnd w:id="124"/>
      <w:bookmarkEnd w:id="125"/>
    </w:p>
    <w:p>
      <w:pPr>
        <w:jc w:val="center"/>
        <w:rPr>
          <w:rFonts w:ascii="方正小标宋_GBK" w:hAnsi="黑体" w:eastAsia="方正小标宋_GBK"/>
          <w:b/>
          <w:bCs/>
          <w:sz w:val="28"/>
          <w:szCs w:val="28"/>
        </w:rPr>
      </w:pPr>
      <w:r>
        <w:rPr>
          <w:rFonts w:hint="eastAsia" w:ascii="方正小标宋_GBK" w:hAnsi="黑体" w:eastAsia="方正小标宋_GBK"/>
          <w:b/>
          <w:bCs/>
          <w:sz w:val="28"/>
          <w:szCs w:val="28"/>
        </w:rPr>
        <w:t>（资料性附录）</w:t>
      </w:r>
    </w:p>
    <w:p>
      <w:pPr>
        <w:jc w:val="center"/>
        <w:rPr>
          <w:rFonts w:ascii="方正小标宋_GBK" w:hAnsi="黑体" w:eastAsia="方正小标宋_GBK"/>
          <w:b/>
          <w:bCs/>
          <w:sz w:val="28"/>
          <w:szCs w:val="28"/>
        </w:rPr>
      </w:pPr>
    </w:p>
    <w:p>
      <w:pPr>
        <w:jc w:val="center"/>
        <w:outlineLvl w:val="1"/>
        <w:rPr>
          <w:rFonts w:ascii="方正小标宋_GBK" w:hAnsi="黑体" w:eastAsia="方正小标宋_GBK"/>
          <w:b/>
          <w:bCs/>
          <w:sz w:val="28"/>
          <w:szCs w:val="28"/>
        </w:rPr>
      </w:pPr>
      <w:bookmarkStart w:id="126" w:name="_Toc117541314"/>
      <w:bookmarkStart w:id="127" w:name="_Toc119336595"/>
      <w:r>
        <w:rPr>
          <w:rFonts w:hint="eastAsia" w:ascii="方正小标宋_GBK" w:hAnsi="黑体" w:eastAsia="方正小标宋_GBK"/>
          <w:b/>
          <w:bCs/>
          <w:sz w:val="28"/>
          <w:szCs w:val="28"/>
        </w:rPr>
        <w:t>堤防工程运行重大危险源清单</w:t>
      </w:r>
      <w:bookmarkEnd w:id="126"/>
      <w:bookmarkEnd w:id="127"/>
    </w:p>
    <w:tbl>
      <w:tblPr>
        <w:tblStyle w:val="34"/>
        <w:tblW w:w="5186" w:type="pct"/>
        <w:tblInd w:w="-17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27"/>
        <w:gridCol w:w="1026"/>
        <w:gridCol w:w="1261"/>
        <w:gridCol w:w="1955"/>
        <w:gridCol w:w="1921"/>
        <w:gridCol w:w="18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362" w:type="pct"/>
            <w:noWrap/>
            <w:tcMar>
              <w:top w:w="15" w:type="dxa"/>
              <w:left w:w="15" w:type="dxa"/>
              <w:right w:w="15" w:type="dxa"/>
            </w:tcMar>
            <w:vAlign w:val="center"/>
          </w:tcPr>
          <w:p>
            <w:pPr>
              <w:jc w:val="center"/>
              <w:textAlignment w:val="center"/>
              <w:rPr>
                <w:rFonts w:ascii="宋体" w:hAnsi="宋体" w:eastAsia="宋体" w:cs="黑体"/>
                <w:b/>
                <w:bCs/>
                <w:kern w:val="2"/>
                <w:sz w:val="21"/>
                <w:szCs w:val="21"/>
              </w:rPr>
            </w:pPr>
            <w:r>
              <w:rPr>
                <w:rFonts w:hint="eastAsia" w:ascii="宋体" w:hAnsi="宋体" w:eastAsia="宋体" w:cs="黑体"/>
                <w:b/>
                <w:bCs/>
                <w:sz w:val="21"/>
                <w:szCs w:val="21"/>
                <w:lang w:bidi="ar"/>
              </w:rPr>
              <w:t>序号</w:t>
            </w:r>
          </w:p>
        </w:tc>
        <w:tc>
          <w:tcPr>
            <w:tcW w:w="593" w:type="pct"/>
            <w:noWrap/>
            <w:tcMar>
              <w:top w:w="15" w:type="dxa"/>
              <w:left w:w="15" w:type="dxa"/>
              <w:right w:w="15" w:type="dxa"/>
            </w:tcMar>
            <w:vAlign w:val="center"/>
          </w:tcPr>
          <w:p>
            <w:pPr>
              <w:jc w:val="center"/>
              <w:textAlignment w:val="center"/>
              <w:rPr>
                <w:rFonts w:ascii="宋体" w:hAnsi="宋体" w:eastAsia="宋体" w:cs="黑体"/>
                <w:b/>
                <w:bCs/>
                <w:kern w:val="2"/>
                <w:sz w:val="21"/>
                <w:szCs w:val="21"/>
              </w:rPr>
            </w:pPr>
            <w:r>
              <w:rPr>
                <w:rFonts w:hint="eastAsia" w:ascii="宋体" w:hAnsi="宋体" w:eastAsia="宋体" w:cs="黑体"/>
                <w:b/>
                <w:bCs/>
                <w:sz w:val="21"/>
                <w:szCs w:val="21"/>
                <w:lang w:bidi="ar"/>
              </w:rPr>
              <w:t>类别</w:t>
            </w:r>
          </w:p>
        </w:tc>
        <w:tc>
          <w:tcPr>
            <w:tcW w:w="729" w:type="pct"/>
            <w:noWrap/>
            <w:tcMar>
              <w:top w:w="15" w:type="dxa"/>
              <w:left w:w="15" w:type="dxa"/>
              <w:right w:w="15" w:type="dxa"/>
            </w:tcMar>
            <w:vAlign w:val="center"/>
          </w:tcPr>
          <w:p>
            <w:pPr>
              <w:jc w:val="center"/>
              <w:textAlignment w:val="center"/>
              <w:rPr>
                <w:rFonts w:ascii="宋体" w:hAnsi="宋体" w:eastAsia="宋体" w:cs="黑体"/>
                <w:b/>
                <w:bCs/>
                <w:kern w:val="2"/>
                <w:sz w:val="21"/>
                <w:szCs w:val="21"/>
              </w:rPr>
            </w:pPr>
            <w:r>
              <w:rPr>
                <w:rFonts w:hint="eastAsia" w:ascii="宋体" w:hAnsi="宋体" w:eastAsia="宋体" w:cs="黑体"/>
                <w:b/>
                <w:bCs/>
                <w:sz w:val="21"/>
                <w:szCs w:val="21"/>
                <w:lang w:bidi="ar"/>
              </w:rPr>
              <w:t>项目</w:t>
            </w:r>
          </w:p>
        </w:tc>
        <w:tc>
          <w:tcPr>
            <w:tcW w:w="1130" w:type="pct"/>
            <w:noWrap/>
            <w:tcMar>
              <w:top w:w="15" w:type="dxa"/>
              <w:left w:w="15" w:type="dxa"/>
              <w:right w:w="15" w:type="dxa"/>
            </w:tcMar>
            <w:vAlign w:val="center"/>
          </w:tcPr>
          <w:p>
            <w:pPr>
              <w:jc w:val="center"/>
              <w:textAlignment w:val="center"/>
              <w:rPr>
                <w:rFonts w:ascii="宋体" w:hAnsi="宋体" w:eastAsia="宋体" w:cs="黑体"/>
                <w:b/>
                <w:bCs/>
                <w:kern w:val="2"/>
                <w:sz w:val="21"/>
                <w:szCs w:val="21"/>
              </w:rPr>
            </w:pPr>
            <w:r>
              <w:rPr>
                <w:rFonts w:hint="eastAsia" w:ascii="宋体" w:hAnsi="宋体" w:eastAsia="宋体" w:cs="黑体"/>
                <w:b/>
                <w:bCs/>
                <w:sz w:val="21"/>
                <w:szCs w:val="21"/>
                <w:lang w:bidi="ar"/>
              </w:rPr>
              <w:t>重大危险源</w:t>
            </w:r>
          </w:p>
        </w:tc>
        <w:tc>
          <w:tcPr>
            <w:tcW w:w="1110" w:type="pct"/>
            <w:tcMar>
              <w:top w:w="15" w:type="dxa"/>
              <w:left w:w="15" w:type="dxa"/>
              <w:right w:w="15" w:type="dxa"/>
            </w:tcMar>
            <w:vAlign w:val="center"/>
          </w:tcPr>
          <w:p>
            <w:pPr>
              <w:jc w:val="center"/>
              <w:textAlignment w:val="center"/>
              <w:rPr>
                <w:rFonts w:ascii="宋体" w:hAnsi="宋体" w:eastAsia="宋体" w:cs="黑体"/>
                <w:b/>
                <w:bCs/>
                <w:sz w:val="21"/>
                <w:szCs w:val="21"/>
                <w:lang w:bidi="ar"/>
              </w:rPr>
            </w:pPr>
            <w:r>
              <w:rPr>
                <w:rFonts w:hint="eastAsia" w:ascii="宋体" w:hAnsi="宋体" w:eastAsia="宋体" w:cs="黑体"/>
                <w:b/>
                <w:bCs/>
                <w:sz w:val="21"/>
                <w:szCs w:val="21"/>
                <w:lang w:bidi="ar"/>
              </w:rPr>
              <w:t>事故诱因</w:t>
            </w:r>
          </w:p>
        </w:tc>
        <w:tc>
          <w:tcPr>
            <w:tcW w:w="1076" w:type="pct"/>
            <w:tcMar>
              <w:top w:w="15" w:type="dxa"/>
              <w:left w:w="15" w:type="dxa"/>
              <w:right w:w="15" w:type="dxa"/>
            </w:tcMar>
            <w:vAlign w:val="center"/>
          </w:tcPr>
          <w:p>
            <w:pPr>
              <w:jc w:val="center"/>
              <w:textAlignment w:val="center"/>
              <w:rPr>
                <w:rFonts w:ascii="宋体" w:hAnsi="宋体" w:eastAsia="宋体" w:cs="黑体"/>
                <w:b/>
                <w:bCs/>
                <w:kern w:val="2"/>
                <w:sz w:val="21"/>
                <w:szCs w:val="21"/>
              </w:rPr>
            </w:pPr>
            <w:r>
              <w:rPr>
                <w:rFonts w:hint="eastAsia" w:ascii="宋体" w:hAnsi="宋体" w:eastAsia="宋体" w:cs="黑体"/>
                <w:b/>
                <w:bCs/>
                <w:sz w:val="21"/>
                <w:szCs w:val="21"/>
                <w:lang w:bidi="ar"/>
              </w:rPr>
              <w:t>可能导致的后果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362" w:type="pct"/>
            <w:noWrap/>
            <w:tcMar>
              <w:top w:w="15" w:type="dxa"/>
              <w:left w:w="15" w:type="dxa"/>
              <w:right w:w="15" w:type="dxa"/>
            </w:tcMar>
            <w:vAlign w:val="center"/>
          </w:tcPr>
          <w:p>
            <w:pPr>
              <w:widowControl w:val="0"/>
              <w:jc w:val="center"/>
              <w:textAlignment w:val="center"/>
              <w:rPr>
                <w:rFonts w:asciiTheme="majorEastAsia" w:hAnsiTheme="majorEastAsia" w:eastAsiaTheme="majorEastAsia" w:cstheme="majorEastAsia"/>
                <w:sz w:val="21"/>
                <w:szCs w:val="21"/>
                <w:lang w:bidi="ar"/>
              </w:rPr>
            </w:pPr>
            <w:r>
              <w:rPr>
                <w:rFonts w:hint="eastAsia" w:asciiTheme="majorEastAsia" w:hAnsiTheme="majorEastAsia" w:eastAsiaTheme="majorEastAsia" w:cstheme="majorEastAsia"/>
                <w:sz w:val="21"/>
                <w:szCs w:val="21"/>
                <w:lang w:bidi="ar"/>
              </w:rPr>
              <w:t>1</w:t>
            </w:r>
          </w:p>
        </w:tc>
        <w:tc>
          <w:tcPr>
            <w:tcW w:w="593" w:type="pct"/>
            <w:vMerge w:val="restart"/>
            <w:noWrap/>
            <w:tcMar>
              <w:top w:w="15" w:type="dxa"/>
              <w:left w:w="15" w:type="dxa"/>
              <w:right w:w="15" w:type="dxa"/>
            </w:tcMar>
            <w:vAlign w:val="center"/>
          </w:tcPr>
          <w:p>
            <w:pPr>
              <w:widowControl w:val="0"/>
              <w:jc w:val="center"/>
              <w:textAlignment w:val="center"/>
              <w:rPr>
                <w:rFonts w:asciiTheme="majorEastAsia" w:hAnsiTheme="majorEastAsia" w:eastAsiaTheme="majorEastAsia" w:cstheme="majorEastAsia"/>
                <w:sz w:val="21"/>
                <w:szCs w:val="21"/>
                <w:lang w:bidi="ar"/>
              </w:rPr>
            </w:pPr>
            <w:r>
              <w:rPr>
                <w:rFonts w:hint="eastAsia" w:asciiTheme="majorEastAsia" w:hAnsiTheme="majorEastAsia" w:eastAsiaTheme="majorEastAsia" w:cstheme="majorEastAsia"/>
                <w:sz w:val="21"/>
                <w:szCs w:val="21"/>
                <w:lang w:bidi="ar"/>
              </w:rPr>
              <w:t>构（建）</w:t>
            </w:r>
          </w:p>
          <w:p>
            <w:pPr>
              <w:widowControl w:val="0"/>
              <w:jc w:val="center"/>
              <w:textAlignment w:val="center"/>
              <w:rPr>
                <w:rFonts w:asciiTheme="majorEastAsia" w:hAnsiTheme="majorEastAsia" w:eastAsiaTheme="majorEastAsia" w:cstheme="majorEastAsia"/>
                <w:sz w:val="21"/>
                <w:szCs w:val="21"/>
                <w:lang w:bidi="ar"/>
              </w:rPr>
            </w:pPr>
            <w:r>
              <w:rPr>
                <w:rFonts w:hint="eastAsia" w:asciiTheme="majorEastAsia" w:hAnsiTheme="majorEastAsia" w:eastAsiaTheme="majorEastAsia" w:cstheme="majorEastAsia"/>
                <w:sz w:val="21"/>
                <w:szCs w:val="21"/>
                <w:lang w:bidi="ar"/>
              </w:rPr>
              <w:t>筑物类</w:t>
            </w:r>
          </w:p>
        </w:tc>
        <w:tc>
          <w:tcPr>
            <w:tcW w:w="729" w:type="pct"/>
            <w:vMerge w:val="restart"/>
            <w:noWrap/>
            <w:tcMar>
              <w:top w:w="15" w:type="dxa"/>
              <w:left w:w="15" w:type="dxa"/>
              <w:right w:w="15" w:type="dxa"/>
            </w:tcMar>
            <w:vAlign w:val="center"/>
          </w:tcPr>
          <w:p>
            <w:pPr>
              <w:jc w:val="center"/>
              <w:textAlignment w:val="center"/>
              <w:rPr>
                <w:rFonts w:asciiTheme="majorEastAsia" w:hAnsiTheme="majorEastAsia" w:eastAsiaTheme="majorEastAsia" w:cstheme="majorEastAsia"/>
                <w:sz w:val="21"/>
                <w:szCs w:val="21"/>
                <w:lang w:bidi="ar"/>
              </w:rPr>
            </w:pPr>
            <w:r>
              <w:rPr>
                <w:rFonts w:hint="eastAsia" w:asciiTheme="majorEastAsia" w:hAnsiTheme="majorEastAsia" w:eastAsiaTheme="majorEastAsia" w:cstheme="majorEastAsia"/>
                <w:sz w:val="21"/>
                <w:szCs w:val="21"/>
                <w:lang w:bidi="ar"/>
              </w:rPr>
              <w:t>堤身或堤基</w:t>
            </w:r>
          </w:p>
        </w:tc>
        <w:tc>
          <w:tcPr>
            <w:tcW w:w="1130" w:type="pct"/>
            <w:tcMar>
              <w:top w:w="15" w:type="dxa"/>
              <w:left w:w="15" w:type="dxa"/>
              <w:right w:w="15" w:type="dxa"/>
            </w:tcMar>
            <w:vAlign w:val="center"/>
          </w:tcPr>
          <w:p>
            <w:pPr>
              <w:jc w:val="center"/>
              <w:textAlignment w:val="center"/>
              <w:rPr>
                <w:rFonts w:asciiTheme="majorEastAsia" w:hAnsiTheme="majorEastAsia" w:eastAsiaTheme="majorEastAsia" w:cstheme="majorEastAsia"/>
                <w:sz w:val="21"/>
                <w:szCs w:val="21"/>
                <w:lang w:bidi="ar"/>
              </w:rPr>
            </w:pPr>
            <w:r>
              <w:rPr>
                <w:rFonts w:hint="eastAsia" w:asciiTheme="majorEastAsia" w:hAnsiTheme="majorEastAsia" w:eastAsiaTheme="majorEastAsia" w:cstheme="majorEastAsia"/>
                <w:sz w:val="21"/>
                <w:szCs w:val="21"/>
                <w:lang w:bidi="ar"/>
              </w:rPr>
              <w:t>新建堤段</w:t>
            </w:r>
          </w:p>
          <w:p>
            <w:pPr>
              <w:jc w:val="center"/>
              <w:textAlignment w:val="center"/>
              <w:rPr>
                <w:rFonts w:asciiTheme="majorEastAsia" w:hAnsiTheme="majorEastAsia" w:eastAsiaTheme="majorEastAsia" w:cstheme="majorEastAsia"/>
                <w:sz w:val="21"/>
                <w:szCs w:val="21"/>
                <w:lang w:bidi="ar"/>
              </w:rPr>
            </w:pPr>
            <w:r>
              <w:rPr>
                <w:rFonts w:hint="eastAsia" w:asciiTheme="majorEastAsia" w:hAnsiTheme="majorEastAsia" w:eastAsiaTheme="majorEastAsia" w:cstheme="majorEastAsia"/>
                <w:sz w:val="21"/>
                <w:szCs w:val="21"/>
                <w:lang w:bidi="ar"/>
              </w:rPr>
              <w:t>（首次挡水时）</w:t>
            </w:r>
          </w:p>
        </w:tc>
        <w:tc>
          <w:tcPr>
            <w:tcW w:w="1110" w:type="pct"/>
            <w:tcMar>
              <w:top w:w="15" w:type="dxa"/>
              <w:left w:w="15" w:type="dxa"/>
              <w:right w:w="15" w:type="dxa"/>
            </w:tcMar>
            <w:vAlign w:val="center"/>
          </w:tcPr>
          <w:p>
            <w:pPr>
              <w:jc w:val="center"/>
              <w:textAlignment w:val="center"/>
              <w:rPr>
                <w:rFonts w:asciiTheme="majorEastAsia" w:hAnsiTheme="majorEastAsia" w:eastAsiaTheme="majorEastAsia" w:cstheme="majorEastAsia"/>
                <w:sz w:val="21"/>
                <w:szCs w:val="21"/>
                <w:lang w:bidi="ar"/>
              </w:rPr>
            </w:pPr>
            <w:r>
              <w:rPr>
                <w:rFonts w:hint="eastAsia" w:asciiTheme="majorEastAsia" w:hAnsiTheme="majorEastAsia" w:eastAsiaTheme="majorEastAsia" w:cstheme="majorEastAsia"/>
                <w:sz w:val="21"/>
                <w:szCs w:val="21"/>
                <w:lang w:bidi="ar"/>
              </w:rPr>
              <w:t>淘刷、防渗失效、    水位骤涨骤降</w:t>
            </w:r>
          </w:p>
        </w:tc>
        <w:tc>
          <w:tcPr>
            <w:tcW w:w="1076" w:type="pct"/>
            <w:tcMar>
              <w:top w:w="15" w:type="dxa"/>
              <w:left w:w="15" w:type="dxa"/>
              <w:right w:w="15" w:type="dxa"/>
            </w:tcMar>
            <w:vAlign w:val="center"/>
          </w:tcPr>
          <w:p>
            <w:pPr>
              <w:jc w:val="center"/>
              <w:textAlignment w:val="center"/>
              <w:rPr>
                <w:rFonts w:asciiTheme="majorEastAsia" w:hAnsiTheme="majorEastAsia" w:eastAsiaTheme="majorEastAsia" w:cstheme="majorEastAsia"/>
                <w:sz w:val="21"/>
                <w:szCs w:val="21"/>
                <w:lang w:bidi="ar"/>
              </w:rPr>
            </w:pPr>
            <w:r>
              <w:rPr>
                <w:rFonts w:hint="eastAsia" w:asciiTheme="majorEastAsia" w:hAnsiTheme="majorEastAsia" w:eastAsiaTheme="majorEastAsia" w:cstheme="majorEastAsia"/>
                <w:sz w:val="21"/>
                <w:szCs w:val="21"/>
                <w:lang w:bidi="ar"/>
              </w:rPr>
              <w:t>管涌、流土、</w:t>
            </w:r>
            <w:r>
              <w:rPr>
                <w:rFonts w:hint="eastAsia" w:asciiTheme="majorEastAsia" w:hAnsiTheme="majorEastAsia" w:eastAsiaTheme="majorEastAsia" w:cstheme="majorEastAsia"/>
                <w:sz w:val="21"/>
                <w:szCs w:val="21"/>
              </w:rPr>
              <w:t>溃堤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362" w:type="pct"/>
            <w:noWrap/>
            <w:tcMar>
              <w:top w:w="15" w:type="dxa"/>
              <w:left w:w="15" w:type="dxa"/>
              <w:right w:w="15" w:type="dxa"/>
            </w:tcMar>
            <w:vAlign w:val="center"/>
          </w:tcPr>
          <w:p>
            <w:pPr>
              <w:widowControl w:val="0"/>
              <w:jc w:val="center"/>
              <w:textAlignment w:val="center"/>
              <w:rPr>
                <w:rFonts w:asciiTheme="majorEastAsia" w:hAnsiTheme="majorEastAsia" w:eastAsiaTheme="majorEastAsia" w:cstheme="majorEastAsia"/>
                <w:sz w:val="21"/>
                <w:szCs w:val="21"/>
                <w:lang w:bidi="ar"/>
              </w:rPr>
            </w:pPr>
            <w:r>
              <w:rPr>
                <w:rFonts w:hint="eastAsia" w:asciiTheme="majorEastAsia" w:hAnsiTheme="majorEastAsia" w:eastAsiaTheme="majorEastAsia" w:cstheme="majorEastAsia"/>
                <w:sz w:val="21"/>
                <w:szCs w:val="21"/>
                <w:lang w:bidi="ar"/>
              </w:rPr>
              <w:t>2</w:t>
            </w:r>
          </w:p>
        </w:tc>
        <w:tc>
          <w:tcPr>
            <w:tcW w:w="593" w:type="pct"/>
            <w:vMerge w:val="continue"/>
            <w:noWrap/>
            <w:tcMar>
              <w:top w:w="15" w:type="dxa"/>
              <w:left w:w="15" w:type="dxa"/>
              <w:right w:w="15" w:type="dxa"/>
            </w:tcMar>
            <w:vAlign w:val="center"/>
          </w:tcPr>
          <w:p>
            <w:pPr>
              <w:widowControl w:val="0"/>
              <w:jc w:val="center"/>
              <w:textAlignment w:val="center"/>
              <w:rPr>
                <w:rFonts w:asciiTheme="majorEastAsia" w:hAnsiTheme="majorEastAsia" w:eastAsiaTheme="majorEastAsia" w:cstheme="majorEastAsia"/>
                <w:sz w:val="21"/>
                <w:szCs w:val="21"/>
                <w:lang w:bidi="ar"/>
              </w:rPr>
            </w:pPr>
          </w:p>
        </w:tc>
        <w:tc>
          <w:tcPr>
            <w:tcW w:w="729" w:type="pct"/>
            <w:vMerge w:val="continue"/>
            <w:noWrap/>
            <w:tcMar>
              <w:top w:w="15" w:type="dxa"/>
              <w:left w:w="15" w:type="dxa"/>
              <w:right w:w="15" w:type="dxa"/>
            </w:tcMar>
            <w:vAlign w:val="center"/>
          </w:tcPr>
          <w:p>
            <w:pPr>
              <w:widowControl w:val="0"/>
              <w:jc w:val="center"/>
              <w:textAlignment w:val="center"/>
              <w:rPr>
                <w:rFonts w:asciiTheme="majorEastAsia" w:hAnsiTheme="majorEastAsia" w:eastAsiaTheme="majorEastAsia" w:cstheme="majorEastAsia"/>
                <w:sz w:val="21"/>
                <w:szCs w:val="21"/>
                <w:lang w:bidi="ar"/>
              </w:rPr>
            </w:pPr>
          </w:p>
        </w:tc>
        <w:tc>
          <w:tcPr>
            <w:tcW w:w="1130" w:type="pct"/>
            <w:tcMar>
              <w:top w:w="15" w:type="dxa"/>
              <w:left w:w="15" w:type="dxa"/>
              <w:right w:w="15" w:type="dxa"/>
            </w:tcMar>
            <w:vAlign w:val="center"/>
          </w:tcPr>
          <w:p>
            <w:pPr>
              <w:jc w:val="center"/>
              <w:textAlignment w:val="center"/>
              <w:rPr>
                <w:rFonts w:asciiTheme="majorEastAsia" w:hAnsiTheme="majorEastAsia" w:eastAsiaTheme="majorEastAsia" w:cstheme="majorEastAsia"/>
                <w:sz w:val="21"/>
                <w:szCs w:val="21"/>
                <w:lang w:bidi="ar"/>
              </w:rPr>
            </w:pPr>
            <w:r>
              <w:rPr>
                <w:rFonts w:hint="eastAsia" w:asciiTheme="majorEastAsia" w:hAnsiTheme="majorEastAsia" w:eastAsiaTheme="majorEastAsia" w:cstheme="majorEastAsia"/>
                <w:sz w:val="21"/>
                <w:szCs w:val="21"/>
                <w:lang w:bidi="ar"/>
              </w:rPr>
              <w:t>多年不挡水堤段</w:t>
            </w:r>
          </w:p>
          <w:p>
            <w:pPr>
              <w:jc w:val="center"/>
              <w:textAlignment w:val="center"/>
              <w:rPr>
                <w:rFonts w:asciiTheme="majorEastAsia" w:hAnsiTheme="majorEastAsia" w:eastAsiaTheme="majorEastAsia" w:cstheme="majorEastAsia"/>
                <w:sz w:val="21"/>
                <w:szCs w:val="21"/>
                <w:lang w:bidi="ar"/>
              </w:rPr>
            </w:pPr>
            <w:r>
              <w:rPr>
                <w:rFonts w:hint="eastAsia" w:asciiTheme="majorEastAsia" w:hAnsiTheme="majorEastAsia" w:eastAsiaTheme="majorEastAsia" w:cstheme="majorEastAsia"/>
                <w:sz w:val="21"/>
                <w:szCs w:val="21"/>
                <w:lang w:bidi="ar"/>
              </w:rPr>
              <w:t>（挡水运行时）</w:t>
            </w:r>
          </w:p>
        </w:tc>
        <w:tc>
          <w:tcPr>
            <w:tcW w:w="1110" w:type="pct"/>
            <w:tcMar>
              <w:top w:w="15" w:type="dxa"/>
              <w:left w:w="15" w:type="dxa"/>
              <w:right w:w="15" w:type="dxa"/>
            </w:tcMar>
            <w:vAlign w:val="center"/>
          </w:tcPr>
          <w:p>
            <w:pPr>
              <w:jc w:val="center"/>
              <w:textAlignment w:val="center"/>
              <w:rPr>
                <w:rFonts w:asciiTheme="majorEastAsia" w:hAnsiTheme="majorEastAsia" w:eastAsiaTheme="majorEastAsia" w:cstheme="majorEastAsia"/>
                <w:sz w:val="21"/>
                <w:szCs w:val="21"/>
                <w:lang w:bidi="ar"/>
              </w:rPr>
            </w:pPr>
            <w:r>
              <w:rPr>
                <w:rFonts w:hint="eastAsia" w:asciiTheme="majorEastAsia" w:hAnsiTheme="majorEastAsia" w:eastAsiaTheme="majorEastAsia" w:cstheme="majorEastAsia"/>
                <w:sz w:val="21"/>
                <w:szCs w:val="21"/>
                <w:lang w:bidi="ar"/>
              </w:rPr>
              <w:t>淘刷、防渗失效、    水位骤涨骤降</w:t>
            </w:r>
          </w:p>
        </w:tc>
        <w:tc>
          <w:tcPr>
            <w:tcW w:w="1076" w:type="pct"/>
            <w:tcMar>
              <w:top w:w="15" w:type="dxa"/>
              <w:left w:w="15" w:type="dxa"/>
              <w:right w:w="15" w:type="dxa"/>
            </w:tcMar>
            <w:vAlign w:val="center"/>
          </w:tcPr>
          <w:p>
            <w:pPr>
              <w:jc w:val="center"/>
              <w:textAlignment w:val="center"/>
              <w:rPr>
                <w:rFonts w:asciiTheme="majorEastAsia" w:hAnsiTheme="majorEastAsia" w:eastAsiaTheme="majorEastAsia" w:cstheme="majorEastAsia"/>
                <w:sz w:val="21"/>
                <w:szCs w:val="21"/>
                <w:lang w:bidi="ar"/>
              </w:rPr>
            </w:pPr>
            <w:r>
              <w:rPr>
                <w:rFonts w:hint="eastAsia" w:asciiTheme="majorEastAsia" w:hAnsiTheme="majorEastAsia" w:eastAsiaTheme="majorEastAsia" w:cstheme="majorEastAsia"/>
                <w:sz w:val="21"/>
                <w:szCs w:val="21"/>
                <w:lang w:bidi="ar"/>
              </w:rPr>
              <w:t>管涌、流土、</w:t>
            </w:r>
            <w:r>
              <w:rPr>
                <w:rFonts w:hint="eastAsia" w:asciiTheme="majorEastAsia" w:hAnsiTheme="majorEastAsia" w:eastAsiaTheme="majorEastAsia" w:cstheme="majorEastAsia"/>
                <w:sz w:val="21"/>
                <w:szCs w:val="21"/>
              </w:rPr>
              <w:t>溃堤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362" w:type="pct"/>
            <w:noWrap/>
            <w:tcMar>
              <w:top w:w="15" w:type="dxa"/>
              <w:left w:w="15" w:type="dxa"/>
              <w:right w:w="15" w:type="dxa"/>
            </w:tcMar>
            <w:vAlign w:val="center"/>
          </w:tcPr>
          <w:p>
            <w:pPr>
              <w:widowControl w:val="0"/>
              <w:jc w:val="center"/>
              <w:textAlignment w:val="center"/>
              <w:rPr>
                <w:rFonts w:asciiTheme="majorEastAsia" w:hAnsiTheme="majorEastAsia" w:eastAsiaTheme="majorEastAsia" w:cstheme="majorEastAsia"/>
                <w:sz w:val="21"/>
                <w:szCs w:val="21"/>
                <w:lang w:bidi="ar"/>
              </w:rPr>
            </w:pPr>
            <w:r>
              <w:rPr>
                <w:rFonts w:hint="eastAsia" w:asciiTheme="majorEastAsia" w:hAnsiTheme="majorEastAsia" w:eastAsiaTheme="majorEastAsia" w:cstheme="majorEastAsia"/>
                <w:sz w:val="21"/>
                <w:szCs w:val="21"/>
                <w:lang w:bidi="ar"/>
              </w:rPr>
              <w:t>3</w:t>
            </w:r>
          </w:p>
        </w:tc>
        <w:tc>
          <w:tcPr>
            <w:tcW w:w="593" w:type="pct"/>
            <w:vMerge w:val="continue"/>
            <w:noWrap/>
            <w:tcMar>
              <w:top w:w="15" w:type="dxa"/>
              <w:left w:w="15" w:type="dxa"/>
              <w:right w:w="15" w:type="dxa"/>
            </w:tcMar>
            <w:vAlign w:val="center"/>
          </w:tcPr>
          <w:p>
            <w:pPr>
              <w:widowControl w:val="0"/>
              <w:jc w:val="center"/>
              <w:textAlignment w:val="center"/>
              <w:rPr>
                <w:rFonts w:asciiTheme="majorEastAsia" w:hAnsiTheme="majorEastAsia" w:eastAsiaTheme="majorEastAsia" w:cstheme="majorEastAsia"/>
                <w:sz w:val="21"/>
                <w:szCs w:val="21"/>
                <w:lang w:bidi="ar"/>
              </w:rPr>
            </w:pPr>
          </w:p>
        </w:tc>
        <w:tc>
          <w:tcPr>
            <w:tcW w:w="729" w:type="pct"/>
            <w:vMerge w:val="continue"/>
            <w:noWrap/>
            <w:tcMar>
              <w:top w:w="15" w:type="dxa"/>
              <w:left w:w="15" w:type="dxa"/>
              <w:right w:w="15" w:type="dxa"/>
            </w:tcMar>
            <w:vAlign w:val="center"/>
          </w:tcPr>
          <w:p>
            <w:pPr>
              <w:widowControl w:val="0"/>
              <w:jc w:val="center"/>
              <w:textAlignment w:val="center"/>
              <w:rPr>
                <w:rFonts w:asciiTheme="majorEastAsia" w:hAnsiTheme="majorEastAsia" w:eastAsiaTheme="majorEastAsia" w:cstheme="majorEastAsia"/>
                <w:sz w:val="21"/>
                <w:szCs w:val="21"/>
                <w:lang w:bidi="ar"/>
              </w:rPr>
            </w:pPr>
          </w:p>
        </w:tc>
        <w:tc>
          <w:tcPr>
            <w:tcW w:w="1130" w:type="pct"/>
            <w:tcMar>
              <w:top w:w="15" w:type="dxa"/>
              <w:left w:w="15" w:type="dxa"/>
              <w:right w:w="15" w:type="dxa"/>
            </w:tcMar>
            <w:vAlign w:val="center"/>
          </w:tcPr>
          <w:p>
            <w:pPr>
              <w:jc w:val="center"/>
              <w:textAlignment w:val="center"/>
              <w:rPr>
                <w:rFonts w:asciiTheme="majorEastAsia" w:hAnsiTheme="majorEastAsia" w:eastAsiaTheme="majorEastAsia" w:cstheme="majorEastAsia"/>
                <w:sz w:val="21"/>
                <w:szCs w:val="21"/>
                <w:lang w:bidi="ar"/>
              </w:rPr>
            </w:pPr>
            <w:r>
              <w:rPr>
                <w:rFonts w:hint="eastAsia" w:asciiTheme="majorEastAsia" w:hAnsiTheme="majorEastAsia" w:eastAsiaTheme="majorEastAsia" w:cstheme="majorEastAsia"/>
                <w:sz w:val="21"/>
                <w:szCs w:val="21"/>
                <w:lang w:bidi="ar"/>
              </w:rPr>
              <w:t>曾出现决口、管涌、   流土等的堤段</w:t>
            </w:r>
          </w:p>
        </w:tc>
        <w:tc>
          <w:tcPr>
            <w:tcW w:w="1110" w:type="pct"/>
            <w:tcMar>
              <w:top w:w="15" w:type="dxa"/>
              <w:left w:w="15" w:type="dxa"/>
              <w:right w:w="15" w:type="dxa"/>
            </w:tcMar>
            <w:vAlign w:val="center"/>
          </w:tcPr>
          <w:p>
            <w:pPr>
              <w:jc w:val="center"/>
              <w:textAlignment w:val="center"/>
              <w:rPr>
                <w:rFonts w:asciiTheme="majorEastAsia" w:hAnsiTheme="majorEastAsia" w:eastAsiaTheme="majorEastAsia" w:cstheme="majorEastAsia"/>
                <w:sz w:val="21"/>
                <w:szCs w:val="21"/>
                <w:lang w:bidi="ar"/>
              </w:rPr>
            </w:pPr>
            <w:r>
              <w:rPr>
                <w:rFonts w:hint="eastAsia" w:asciiTheme="majorEastAsia" w:hAnsiTheme="majorEastAsia" w:eastAsiaTheme="majorEastAsia" w:cstheme="majorEastAsia"/>
                <w:sz w:val="21"/>
                <w:szCs w:val="21"/>
                <w:lang w:bidi="ar"/>
              </w:rPr>
              <w:t>淘刷、防渗失效、    水位骤涨骤降</w:t>
            </w:r>
          </w:p>
        </w:tc>
        <w:tc>
          <w:tcPr>
            <w:tcW w:w="1076" w:type="pct"/>
            <w:tcMar>
              <w:top w:w="15" w:type="dxa"/>
              <w:left w:w="15" w:type="dxa"/>
              <w:right w:w="15" w:type="dxa"/>
            </w:tcMar>
            <w:vAlign w:val="center"/>
          </w:tcPr>
          <w:p>
            <w:pPr>
              <w:jc w:val="center"/>
              <w:textAlignment w:val="center"/>
              <w:rPr>
                <w:rFonts w:asciiTheme="majorEastAsia" w:hAnsiTheme="majorEastAsia" w:eastAsiaTheme="majorEastAsia" w:cstheme="majorEastAsia"/>
                <w:sz w:val="21"/>
                <w:szCs w:val="21"/>
                <w:lang w:bidi="ar"/>
              </w:rPr>
            </w:pPr>
            <w:r>
              <w:rPr>
                <w:rFonts w:hint="eastAsia" w:asciiTheme="majorEastAsia" w:hAnsiTheme="majorEastAsia" w:eastAsiaTheme="majorEastAsia" w:cstheme="majorEastAsia"/>
                <w:sz w:val="21"/>
                <w:szCs w:val="21"/>
                <w:lang w:bidi="ar"/>
              </w:rPr>
              <w:t>管涌、流土、</w:t>
            </w:r>
            <w:r>
              <w:rPr>
                <w:rFonts w:hint="eastAsia" w:asciiTheme="majorEastAsia" w:hAnsiTheme="majorEastAsia" w:eastAsiaTheme="majorEastAsia" w:cstheme="majorEastAsia"/>
                <w:sz w:val="21"/>
                <w:szCs w:val="21"/>
              </w:rPr>
              <w:t>溃堤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362" w:type="pct"/>
            <w:noWrap/>
            <w:tcMar>
              <w:top w:w="15" w:type="dxa"/>
              <w:left w:w="15" w:type="dxa"/>
              <w:right w:w="15" w:type="dxa"/>
            </w:tcMar>
            <w:vAlign w:val="center"/>
          </w:tcPr>
          <w:p>
            <w:pPr>
              <w:widowControl w:val="0"/>
              <w:jc w:val="center"/>
              <w:textAlignment w:val="center"/>
              <w:rPr>
                <w:rFonts w:asciiTheme="majorEastAsia" w:hAnsiTheme="majorEastAsia" w:eastAsiaTheme="majorEastAsia" w:cstheme="majorEastAsia"/>
                <w:sz w:val="21"/>
                <w:szCs w:val="21"/>
                <w:lang w:bidi="ar"/>
              </w:rPr>
            </w:pPr>
            <w:r>
              <w:rPr>
                <w:rFonts w:hint="eastAsia" w:asciiTheme="majorEastAsia" w:hAnsiTheme="majorEastAsia" w:eastAsiaTheme="majorEastAsia" w:cstheme="majorEastAsia"/>
                <w:kern w:val="2"/>
                <w:sz w:val="21"/>
                <w:szCs w:val="21"/>
              </w:rPr>
              <w:t>4</w:t>
            </w:r>
          </w:p>
        </w:tc>
        <w:tc>
          <w:tcPr>
            <w:tcW w:w="593" w:type="pct"/>
            <w:vMerge w:val="continue"/>
            <w:noWrap/>
            <w:tcMar>
              <w:top w:w="15" w:type="dxa"/>
              <w:left w:w="15" w:type="dxa"/>
              <w:right w:w="15" w:type="dxa"/>
            </w:tcMar>
            <w:vAlign w:val="center"/>
          </w:tcPr>
          <w:p>
            <w:pPr>
              <w:widowControl w:val="0"/>
              <w:jc w:val="center"/>
              <w:textAlignment w:val="center"/>
              <w:rPr>
                <w:rFonts w:asciiTheme="majorEastAsia" w:hAnsiTheme="majorEastAsia" w:eastAsiaTheme="majorEastAsia" w:cstheme="majorEastAsia"/>
                <w:sz w:val="21"/>
                <w:szCs w:val="21"/>
                <w:lang w:bidi="ar"/>
              </w:rPr>
            </w:pPr>
          </w:p>
        </w:tc>
        <w:tc>
          <w:tcPr>
            <w:tcW w:w="729" w:type="pct"/>
            <w:vMerge w:val="continue"/>
            <w:noWrap/>
            <w:tcMar>
              <w:top w:w="15" w:type="dxa"/>
              <w:left w:w="15" w:type="dxa"/>
              <w:right w:w="15" w:type="dxa"/>
            </w:tcMar>
            <w:vAlign w:val="center"/>
          </w:tcPr>
          <w:p>
            <w:pPr>
              <w:widowControl w:val="0"/>
              <w:jc w:val="center"/>
              <w:textAlignment w:val="center"/>
              <w:rPr>
                <w:rFonts w:asciiTheme="majorEastAsia" w:hAnsiTheme="majorEastAsia" w:eastAsiaTheme="majorEastAsia" w:cstheme="majorEastAsia"/>
                <w:sz w:val="21"/>
                <w:szCs w:val="21"/>
                <w:lang w:bidi="ar"/>
              </w:rPr>
            </w:pPr>
          </w:p>
        </w:tc>
        <w:tc>
          <w:tcPr>
            <w:tcW w:w="1130" w:type="pct"/>
            <w:tcMar>
              <w:top w:w="15" w:type="dxa"/>
              <w:left w:w="15" w:type="dxa"/>
              <w:right w:w="15" w:type="dxa"/>
            </w:tcMar>
            <w:vAlign w:val="center"/>
          </w:tcPr>
          <w:p>
            <w:pPr>
              <w:jc w:val="center"/>
              <w:textAlignment w:val="center"/>
              <w:rPr>
                <w:rFonts w:asciiTheme="majorEastAsia" w:hAnsiTheme="majorEastAsia" w:eastAsiaTheme="majorEastAsia" w:cstheme="majorEastAsia"/>
                <w:sz w:val="21"/>
                <w:szCs w:val="21"/>
                <w:lang w:bidi="ar"/>
              </w:rPr>
            </w:pPr>
            <w:r>
              <w:rPr>
                <w:rFonts w:hint="eastAsia" w:asciiTheme="majorEastAsia" w:hAnsiTheme="majorEastAsia" w:eastAsiaTheme="majorEastAsia" w:cstheme="majorEastAsia"/>
                <w:sz w:val="21"/>
                <w:szCs w:val="21"/>
                <w:lang w:bidi="ar"/>
              </w:rPr>
              <w:t>易崩岸坍塌的堤段</w:t>
            </w:r>
          </w:p>
        </w:tc>
        <w:tc>
          <w:tcPr>
            <w:tcW w:w="1110" w:type="pct"/>
            <w:tcMar>
              <w:top w:w="15" w:type="dxa"/>
              <w:left w:w="15" w:type="dxa"/>
              <w:right w:w="15" w:type="dxa"/>
            </w:tcMar>
            <w:vAlign w:val="center"/>
          </w:tcPr>
          <w:p>
            <w:pPr>
              <w:jc w:val="center"/>
              <w:textAlignment w:val="center"/>
              <w:rPr>
                <w:rFonts w:asciiTheme="majorEastAsia" w:hAnsiTheme="majorEastAsia" w:eastAsiaTheme="majorEastAsia" w:cstheme="majorEastAsia"/>
                <w:sz w:val="21"/>
                <w:szCs w:val="21"/>
                <w:lang w:bidi="ar"/>
              </w:rPr>
            </w:pPr>
            <w:r>
              <w:rPr>
                <w:rFonts w:hint="eastAsia" w:asciiTheme="majorEastAsia" w:hAnsiTheme="majorEastAsia" w:eastAsiaTheme="majorEastAsia" w:cstheme="majorEastAsia"/>
                <w:sz w:val="21"/>
                <w:szCs w:val="21"/>
                <w:lang w:bidi="ar"/>
              </w:rPr>
              <w:t>淘刷、迎流顶冲</w:t>
            </w:r>
          </w:p>
        </w:tc>
        <w:tc>
          <w:tcPr>
            <w:tcW w:w="1076" w:type="pct"/>
            <w:tcMar>
              <w:top w:w="15" w:type="dxa"/>
              <w:left w:w="15" w:type="dxa"/>
              <w:right w:w="15" w:type="dxa"/>
            </w:tcMar>
            <w:vAlign w:val="center"/>
          </w:tcPr>
          <w:p>
            <w:pPr>
              <w:jc w:val="center"/>
              <w:textAlignment w:val="center"/>
              <w:rPr>
                <w:rFonts w:asciiTheme="majorEastAsia" w:hAnsiTheme="majorEastAsia" w:eastAsiaTheme="majorEastAsia" w:cstheme="majorEastAsia"/>
                <w:sz w:val="21"/>
                <w:szCs w:val="21"/>
                <w:lang w:bidi="ar"/>
              </w:rPr>
            </w:pPr>
            <w:r>
              <w:rPr>
                <w:rFonts w:hint="eastAsia" w:asciiTheme="majorEastAsia" w:hAnsiTheme="majorEastAsia" w:eastAsiaTheme="majorEastAsia" w:cstheme="majorEastAsia"/>
                <w:sz w:val="21"/>
                <w:szCs w:val="21"/>
                <w:lang w:bidi="ar"/>
              </w:rPr>
              <w:t>坍塌、</w:t>
            </w:r>
            <w:r>
              <w:rPr>
                <w:rFonts w:hint="eastAsia" w:asciiTheme="majorEastAsia" w:hAnsiTheme="majorEastAsia" w:eastAsiaTheme="majorEastAsia" w:cstheme="majorEastAsia"/>
                <w:sz w:val="21"/>
                <w:szCs w:val="21"/>
              </w:rPr>
              <w:t>溃堤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362" w:type="pct"/>
            <w:noWrap/>
            <w:tcMar>
              <w:top w:w="15" w:type="dxa"/>
              <w:left w:w="15" w:type="dxa"/>
              <w:right w:w="15" w:type="dxa"/>
            </w:tcMar>
            <w:vAlign w:val="center"/>
          </w:tcPr>
          <w:p>
            <w:pPr>
              <w:jc w:val="center"/>
              <w:textAlignment w:val="center"/>
              <w:rPr>
                <w:rFonts w:asciiTheme="majorEastAsia" w:hAnsiTheme="majorEastAsia" w:eastAsiaTheme="majorEastAsia" w:cstheme="majorEastAsia"/>
                <w:kern w:val="2"/>
                <w:sz w:val="21"/>
                <w:szCs w:val="21"/>
              </w:rPr>
            </w:pPr>
            <w:r>
              <w:rPr>
                <w:rFonts w:hint="eastAsia" w:asciiTheme="majorEastAsia" w:hAnsiTheme="majorEastAsia" w:eastAsiaTheme="majorEastAsia" w:cstheme="majorEastAsia"/>
                <w:sz w:val="21"/>
                <w:szCs w:val="21"/>
                <w:lang w:bidi="ar"/>
              </w:rPr>
              <w:t>5</w:t>
            </w:r>
          </w:p>
        </w:tc>
        <w:tc>
          <w:tcPr>
            <w:tcW w:w="593" w:type="pct"/>
            <w:vMerge w:val="continue"/>
            <w:noWrap/>
            <w:tcMar>
              <w:top w:w="15" w:type="dxa"/>
              <w:left w:w="15" w:type="dxa"/>
              <w:right w:w="15" w:type="dxa"/>
            </w:tcMar>
            <w:vAlign w:val="center"/>
          </w:tcPr>
          <w:p>
            <w:pPr>
              <w:jc w:val="center"/>
              <w:textAlignment w:val="center"/>
              <w:rPr>
                <w:rFonts w:asciiTheme="majorEastAsia" w:hAnsiTheme="majorEastAsia" w:eastAsiaTheme="majorEastAsia" w:cstheme="majorEastAsia"/>
                <w:kern w:val="2"/>
                <w:sz w:val="21"/>
                <w:szCs w:val="21"/>
              </w:rPr>
            </w:pPr>
          </w:p>
        </w:tc>
        <w:tc>
          <w:tcPr>
            <w:tcW w:w="729" w:type="pct"/>
            <w:vMerge w:val="continue"/>
            <w:noWrap/>
            <w:tcMar>
              <w:top w:w="15" w:type="dxa"/>
              <w:left w:w="15" w:type="dxa"/>
              <w:right w:w="15" w:type="dxa"/>
            </w:tcMar>
            <w:vAlign w:val="center"/>
          </w:tcPr>
          <w:p>
            <w:pPr>
              <w:widowControl w:val="0"/>
              <w:jc w:val="center"/>
              <w:textAlignment w:val="center"/>
              <w:rPr>
                <w:rFonts w:asciiTheme="majorEastAsia" w:hAnsiTheme="majorEastAsia" w:eastAsiaTheme="majorEastAsia" w:cstheme="majorEastAsia"/>
                <w:sz w:val="21"/>
                <w:szCs w:val="21"/>
                <w:lang w:bidi="ar"/>
              </w:rPr>
            </w:pPr>
          </w:p>
        </w:tc>
        <w:tc>
          <w:tcPr>
            <w:tcW w:w="1130" w:type="pct"/>
            <w:tcMar>
              <w:top w:w="15" w:type="dxa"/>
              <w:left w:w="15" w:type="dxa"/>
              <w:right w:w="15" w:type="dxa"/>
            </w:tcMar>
            <w:vAlign w:val="center"/>
          </w:tcPr>
          <w:p>
            <w:pPr>
              <w:jc w:val="center"/>
              <w:textAlignment w:val="center"/>
              <w:rPr>
                <w:rFonts w:asciiTheme="majorEastAsia" w:hAnsiTheme="majorEastAsia" w:eastAsiaTheme="majorEastAsia" w:cstheme="majorEastAsia"/>
                <w:sz w:val="21"/>
                <w:szCs w:val="21"/>
                <w:lang w:bidi="ar"/>
              </w:rPr>
            </w:pPr>
            <w:r>
              <w:rPr>
                <w:rFonts w:hint="eastAsia" w:asciiTheme="majorEastAsia" w:hAnsiTheme="majorEastAsia" w:eastAsiaTheme="majorEastAsia" w:cstheme="majorEastAsia"/>
                <w:sz w:val="21"/>
                <w:szCs w:val="21"/>
                <w:lang w:bidi="ar"/>
              </w:rPr>
              <w:t>古河道、地震断裂带  堤段</w:t>
            </w:r>
          </w:p>
        </w:tc>
        <w:tc>
          <w:tcPr>
            <w:tcW w:w="1110" w:type="pct"/>
            <w:tcMar>
              <w:top w:w="15" w:type="dxa"/>
              <w:left w:w="15" w:type="dxa"/>
              <w:right w:w="15" w:type="dxa"/>
            </w:tcMar>
            <w:vAlign w:val="center"/>
          </w:tcPr>
          <w:p>
            <w:pPr>
              <w:jc w:val="center"/>
              <w:textAlignment w:val="center"/>
              <w:rPr>
                <w:rFonts w:asciiTheme="majorEastAsia" w:hAnsiTheme="majorEastAsia" w:eastAsiaTheme="majorEastAsia" w:cstheme="majorEastAsia"/>
                <w:sz w:val="21"/>
                <w:szCs w:val="21"/>
                <w:lang w:bidi="ar"/>
              </w:rPr>
            </w:pPr>
            <w:r>
              <w:rPr>
                <w:rFonts w:hint="eastAsia" w:asciiTheme="majorEastAsia" w:hAnsiTheme="majorEastAsia" w:eastAsiaTheme="majorEastAsia" w:cstheme="majorEastAsia"/>
                <w:sz w:val="21"/>
                <w:szCs w:val="21"/>
                <w:lang w:bidi="ar"/>
              </w:rPr>
              <w:t>淘刷、水位         骤涨骤降、变形、      渗流异常</w:t>
            </w:r>
          </w:p>
        </w:tc>
        <w:tc>
          <w:tcPr>
            <w:tcW w:w="1076" w:type="pct"/>
            <w:tcMar>
              <w:top w:w="15" w:type="dxa"/>
              <w:left w:w="15" w:type="dxa"/>
              <w:right w:w="15" w:type="dxa"/>
            </w:tcMar>
            <w:vAlign w:val="center"/>
          </w:tcPr>
          <w:p>
            <w:pPr>
              <w:jc w:val="center"/>
              <w:textAlignment w:val="center"/>
              <w:rPr>
                <w:rFonts w:asciiTheme="majorEastAsia" w:hAnsiTheme="majorEastAsia" w:eastAsiaTheme="majorEastAsia" w:cstheme="majorEastAsia"/>
                <w:sz w:val="21"/>
                <w:szCs w:val="21"/>
                <w:lang w:bidi="ar"/>
              </w:rPr>
            </w:pPr>
            <w:r>
              <w:rPr>
                <w:rFonts w:hint="eastAsia" w:asciiTheme="majorEastAsia" w:hAnsiTheme="majorEastAsia" w:eastAsiaTheme="majorEastAsia" w:cstheme="majorEastAsia"/>
                <w:sz w:val="21"/>
                <w:szCs w:val="21"/>
                <w:lang w:bidi="ar"/>
              </w:rPr>
              <w:t>管涌、流土、</w:t>
            </w:r>
            <w:r>
              <w:rPr>
                <w:rFonts w:hint="eastAsia" w:asciiTheme="majorEastAsia" w:hAnsiTheme="majorEastAsia" w:eastAsiaTheme="majorEastAsia" w:cstheme="majorEastAsia"/>
                <w:sz w:val="21"/>
                <w:szCs w:val="21"/>
              </w:rPr>
              <w:t>溃堤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362" w:type="pct"/>
            <w:noWrap/>
            <w:tcMar>
              <w:top w:w="15" w:type="dxa"/>
              <w:left w:w="15" w:type="dxa"/>
              <w:right w:w="15" w:type="dxa"/>
            </w:tcMar>
            <w:vAlign w:val="center"/>
          </w:tcPr>
          <w:p>
            <w:pPr>
              <w:jc w:val="center"/>
              <w:textAlignment w:val="center"/>
              <w:rPr>
                <w:rFonts w:asciiTheme="majorEastAsia" w:hAnsiTheme="majorEastAsia" w:eastAsiaTheme="majorEastAsia" w:cstheme="majorEastAsia"/>
                <w:sz w:val="21"/>
                <w:szCs w:val="21"/>
                <w:lang w:bidi="ar"/>
              </w:rPr>
            </w:pPr>
            <w:r>
              <w:rPr>
                <w:rFonts w:hint="eastAsia" w:asciiTheme="majorEastAsia" w:hAnsiTheme="majorEastAsia" w:eastAsiaTheme="majorEastAsia" w:cstheme="majorEastAsia"/>
                <w:sz w:val="21"/>
                <w:szCs w:val="21"/>
                <w:lang w:bidi="ar"/>
              </w:rPr>
              <w:t>6</w:t>
            </w:r>
          </w:p>
        </w:tc>
        <w:tc>
          <w:tcPr>
            <w:tcW w:w="593" w:type="pct"/>
            <w:vMerge w:val="continue"/>
            <w:noWrap/>
            <w:tcMar>
              <w:top w:w="15" w:type="dxa"/>
              <w:left w:w="15" w:type="dxa"/>
              <w:right w:w="15" w:type="dxa"/>
            </w:tcMar>
            <w:vAlign w:val="center"/>
          </w:tcPr>
          <w:p>
            <w:pPr>
              <w:jc w:val="center"/>
              <w:textAlignment w:val="center"/>
              <w:rPr>
                <w:rFonts w:asciiTheme="majorEastAsia" w:hAnsiTheme="majorEastAsia" w:eastAsiaTheme="majorEastAsia" w:cstheme="majorEastAsia"/>
                <w:kern w:val="2"/>
                <w:sz w:val="21"/>
                <w:szCs w:val="21"/>
              </w:rPr>
            </w:pPr>
          </w:p>
        </w:tc>
        <w:tc>
          <w:tcPr>
            <w:tcW w:w="729" w:type="pct"/>
            <w:vMerge w:val="continue"/>
            <w:noWrap/>
            <w:tcMar>
              <w:top w:w="15" w:type="dxa"/>
              <w:left w:w="15" w:type="dxa"/>
              <w:right w:w="15" w:type="dxa"/>
            </w:tcMar>
            <w:vAlign w:val="center"/>
          </w:tcPr>
          <w:p>
            <w:pPr>
              <w:widowControl w:val="0"/>
              <w:jc w:val="center"/>
              <w:textAlignment w:val="center"/>
              <w:rPr>
                <w:rFonts w:asciiTheme="majorEastAsia" w:hAnsiTheme="majorEastAsia" w:eastAsiaTheme="majorEastAsia" w:cstheme="majorEastAsia"/>
                <w:sz w:val="21"/>
                <w:szCs w:val="21"/>
                <w:lang w:bidi="ar"/>
              </w:rPr>
            </w:pPr>
          </w:p>
        </w:tc>
        <w:tc>
          <w:tcPr>
            <w:tcW w:w="1130" w:type="pct"/>
            <w:tcMar>
              <w:top w:w="15" w:type="dxa"/>
              <w:left w:w="15" w:type="dxa"/>
              <w:right w:w="15" w:type="dxa"/>
            </w:tcMar>
            <w:vAlign w:val="center"/>
          </w:tcPr>
          <w:p>
            <w:pPr>
              <w:jc w:val="center"/>
              <w:textAlignment w:val="center"/>
              <w:rPr>
                <w:rFonts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lang w:bidi="ar"/>
              </w:rPr>
              <w:t>海堤港汊堵口堤段</w:t>
            </w:r>
          </w:p>
        </w:tc>
        <w:tc>
          <w:tcPr>
            <w:tcW w:w="1110" w:type="pct"/>
            <w:tcMar>
              <w:top w:w="15" w:type="dxa"/>
              <w:left w:w="15" w:type="dxa"/>
              <w:right w:w="15" w:type="dxa"/>
            </w:tcMar>
            <w:vAlign w:val="center"/>
          </w:tcPr>
          <w:p>
            <w:pPr>
              <w:jc w:val="center"/>
              <w:textAlignment w:val="center"/>
              <w:rPr>
                <w:rFonts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lang w:bidi="ar"/>
              </w:rPr>
              <w:t>海水冲刷、变形、    越浪</w:t>
            </w:r>
          </w:p>
        </w:tc>
        <w:tc>
          <w:tcPr>
            <w:tcW w:w="1076" w:type="pct"/>
            <w:tcMar>
              <w:top w:w="15" w:type="dxa"/>
              <w:left w:w="15" w:type="dxa"/>
              <w:right w:w="15" w:type="dxa"/>
            </w:tcMar>
            <w:vAlign w:val="center"/>
          </w:tcPr>
          <w:p>
            <w:pPr>
              <w:jc w:val="center"/>
              <w:textAlignment w:val="center"/>
              <w:rPr>
                <w:rFonts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失稳、溃堤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362" w:type="pct"/>
            <w:noWrap/>
            <w:tcMar>
              <w:top w:w="15" w:type="dxa"/>
              <w:left w:w="15" w:type="dxa"/>
              <w:right w:w="15" w:type="dxa"/>
            </w:tcMar>
            <w:vAlign w:val="center"/>
          </w:tcPr>
          <w:p>
            <w:pPr>
              <w:jc w:val="center"/>
              <w:textAlignment w:val="center"/>
              <w:rPr>
                <w:rFonts w:asciiTheme="majorEastAsia" w:hAnsiTheme="majorEastAsia" w:eastAsiaTheme="majorEastAsia" w:cstheme="majorEastAsia"/>
                <w:sz w:val="21"/>
                <w:szCs w:val="21"/>
                <w:lang w:bidi="ar"/>
              </w:rPr>
            </w:pPr>
            <w:r>
              <w:rPr>
                <w:rFonts w:hint="eastAsia" w:asciiTheme="majorEastAsia" w:hAnsiTheme="majorEastAsia" w:eastAsiaTheme="majorEastAsia" w:cstheme="majorEastAsia"/>
                <w:sz w:val="21"/>
                <w:szCs w:val="21"/>
                <w:lang w:bidi="ar"/>
              </w:rPr>
              <w:t>7</w:t>
            </w:r>
          </w:p>
        </w:tc>
        <w:tc>
          <w:tcPr>
            <w:tcW w:w="593" w:type="pct"/>
            <w:vMerge w:val="continue"/>
            <w:noWrap/>
            <w:tcMar>
              <w:top w:w="15" w:type="dxa"/>
              <w:left w:w="15" w:type="dxa"/>
              <w:right w:w="15" w:type="dxa"/>
            </w:tcMar>
            <w:vAlign w:val="center"/>
          </w:tcPr>
          <w:p>
            <w:pPr>
              <w:jc w:val="center"/>
              <w:textAlignment w:val="center"/>
              <w:rPr>
                <w:rFonts w:asciiTheme="majorEastAsia" w:hAnsiTheme="majorEastAsia" w:eastAsiaTheme="majorEastAsia" w:cstheme="majorEastAsia"/>
                <w:kern w:val="2"/>
                <w:sz w:val="21"/>
                <w:szCs w:val="21"/>
              </w:rPr>
            </w:pPr>
          </w:p>
        </w:tc>
        <w:tc>
          <w:tcPr>
            <w:tcW w:w="729" w:type="pct"/>
            <w:vMerge w:val="continue"/>
            <w:noWrap/>
            <w:tcMar>
              <w:top w:w="15" w:type="dxa"/>
              <w:left w:w="15" w:type="dxa"/>
              <w:right w:w="15" w:type="dxa"/>
            </w:tcMar>
            <w:vAlign w:val="center"/>
          </w:tcPr>
          <w:p>
            <w:pPr>
              <w:widowControl w:val="0"/>
              <w:jc w:val="center"/>
              <w:textAlignment w:val="center"/>
              <w:rPr>
                <w:rFonts w:asciiTheme="majorEastAsia" w:hAnsiTheme="majorEastAsia" w:eastAsiaTheme="majorEastAsia" w:cstheme="majorEastAsia"/>
                <w:sz w:val="21"/>
                <w:szCs w:val="21"/>
                <w:lang w:bidi="ar"/>
              </w:rPr>
            </w:pPr>
          </w:p>
        </w:tc>
        <w:tc>
          <w:tcPr>
            <w:tcW w:w="1130" w:type="pct"/>
            <w:tcMar>
              <w:top w:w="15" w:type="dxa"/>
              <w:left w:w="15" w:type="dxa"/>
              <w:right w:w="15" w:type="dxa"/>
            </w:tcMar>
            <w:vAlign w:val="center"/>
          </w:tcPr>
          <w:p>
            <w:pPr>
              <w:jc w:val="center"/>
              <w:textAlignment w:val="center"/>
              <w:rPr>
                <w:rFonts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软弱堤基、透水堤基  堤段</w:t>
            </w:r>
          </w:p>
        </w:tc>
        <w:tc>
          <w:tcPr>
            <w:tcW w:w="1110" w:type="pct"/>
            <w:tcMar>
              <w:top w:w="15" w:type="dxa"/>
              <w:left w:w="15" w:type="dxa"/>
              <w:right w:w="15" w:type="dxa"/>
            </w:tcMar>
            <w:vAlign w:val="center"/>
          </w:tcPr>
          <w:p>
            <w:pPr>
              <w:jc w:val="center"/>
              <w:textAlignment w:val="center"/>
              <w:rPr>
                <w:rFonts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变形、管涌、流土</w:t>
            </w:r>
          </w:p>
        </w:tc>
        <w:tc>
          <w:tcPr>
            <w:tcW w:w="1076" w:type="pct"/>
            <w:tcMar>
              <w:top w:w="15" w:type="dxa"/>
              <w:left w:w="15" w:type="dxa"/>
              <w:right w:w="15" w:type="dxa"/>
            </w:tcMar>
            <w:vAlign w:val="center"/>
          </w:tcPr>
          <w:p>
            <w:pPr>
              <w:jc w:val="center"/>
              <w:textAlignment w:val="center"/>
              <w:rPr>
                <w:rFonts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失稳、溃堤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362" w:type="pct"/>
            <w:noWrap/>
            <w:tcMar>
              <w:top w:w="15" w:type="dxa"/>
              <w:left w:w="15" w:type="dxa"/>
              <w:right w:w="15" w:type="dxa"/>
            </w:tcMar>
            <w:vAlign w:val="center"/>
          </w:tcPr>
          <w:p>
            <w:pPr>
              <w:jc w:val="center"/>
              <w:textAlignment w:val="center"/>
              <w:rPr>
                <w:rFonts w:asciiTheme="majorEastAsia" w:hAnsiTheme="majorEastAsia" w:eastAsiaTheme="majorEastAsia" w:cstheme="majorEastAsia"/>
                <w:sz w:val="21"/>
                <w:szCs w:val="21"/>
                <w:lang w:bidi="ar"/>
              </w:rPr>
            </w:pPr>
            <w:r>
              <w:rPr>
                <w:rFonts w:hint="eastAsia" w:asciiTheme="majorEastAsia" w:hAnsiTheme="majorEastAsia" w:eastAsiaTheme="majorEastAsia" w:cstheme="majorEastAsia"/>
                <w:sz w:val="21"/>
                <w:szCs w:val="21"/>
                <w:lang w:bidi="ar"/>
              </w:rPr>
              <w:t>8</w:t>
            </w:r>
          </w:p>
        </w:tc>
        <w:tc>
          <w:tcPr>
            <w:tcW w:w="593" w:type="pct"/>
            <w:vMerge w:val="continue"/>
            <w:noWrap/>
            <w:tcMar>
              <w:top w:w="15" w:type="dxa"/>
              <w:left w:w="15" w:type="dxa"/>
              <w:right w:w="15" w:type="dxa"/>
            </w:tcMar>
            <w:vAlign w:val="center"/>
          </w:tcPr>
          <w:p>
            <w:pPr>
              <w:jc w:val="center"/>
              <w:textAlignment w:val="center"/>
              <w:rPr>
                <w:rFonts w:asciiTheme="majorEastAsia" w:hAnsiTheme="majorEastAsia" w:eastAsiaTheme="majorEastAsia" w:cstheme="majorEastAsia"/>
                <w:sz w:val="21"/>
                <w:szCs w:val="21"/>
                <w:lang w:bidi="ar"/>
              </w:rPr>
            </w:pPr>
          </w:p>
        </w:tc>
        <w:tc>
          <w:tcPr>
            <w:tcW w:w="729" w:type="pct"/>
            <w:vMerge w:val="continue"/>
            <w:noWrap/>
            <w:tcMar>
              <w:top w:w="15" w:type="dxa"/>
              <w:left w:w="15" w:type="dxa"/>
              <w:right w:w="15" w:type="dxa"/>
            </w:tcMar>
            <w:vAlign w:val="center"/>
          </w:tcPr>
          <w:p>
            <w:pPr>
              <w:jc w:val="center"/>
              <w:textAlignment w:val="center"/>
              <w:rPr>
                <w:rFonts w:asciiTheme="majorEastAsia" w:hAnsiTheme="majorEastAsia" w:eastAsiaTheme="majorEastAsia" w:cstheme="majorEastAsia"/>
                <w:sz w:val="21"/>
                <w:szCs w:val="21"/>
                <w:lang w:bidi="ar"/>
              </w:rPr>
            </w:pPr>
          </w:p>
        </w:tc>
        <w:tc>
          <w:tcPr>
            <w:tcW w:w="1130" w:type="pct"/>
            <w:tcMar>
              <w:top w:w="15" w:type="dxa"/>
              <w:left w:w="15" w:type="dxa"/>
              <w:right w:w="15" w:type="dxa"/>
            </w:tcMar>
            <w:vAlign w:val="center"/>
          </w:tcPr>
          <w:p>
            <w:pPr>
              <w:jc w:val="center"/>
              <w:textAlignment w:val="center"/>
              <w:rPr>
                <w:rFonts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高填方、膨胀土渠</w:t>
            </w:r>
          </w:p>
          <w:p>
            <w:pPr>
              <w:jc w:val="center"/>
              <w:textAlignment w:val="center"/>
              <w:rPr>
                <w:rFonts w:asciiTheme="majorEastAsia" w:hAnsiTheme="majorEastAsia" w:eastAsiaTheme="majorEastAsia" w:cstheme="majorEastAsia"/>
                <w:sz w:val="21"/>
                <w:szCs w:val="21"/>
                <w:lang w:bidi="ar"/>
              </w:rPr>
            </w:pPr>
            <w:r>
              <w:rPr>
                <w:rFonts w:hint="eastAsia" w:asciiTheme="majorEastAsia" w:hAnsiTheme="majorEastAsia" w:eastAsiaTheme="majorEastAsia" w:cstheme="majorEastAsia"/>
                <w:sz w:val="21"/>
                <w:szCs w:val="21"/>
              </w:rPr>
              <w:t>堤段</w:t>
            </w:r>
          </w:p>
        </w:tc>
        <w:tc>
          <w:tcPr>
            <w:tcW w:w="1110" w:type="pct"/>
            <w:tcMar>
              <w:top w:w="15" w:type="dxa"/>
              <w:left w:w="15" w:type="dxa"/>
              <w:right w:w="15" w:type="dxa"/>
            </w:tcMar>
            <w:vAlign w:val="center"/>
          </w:tcPr>
          <w:p>
            <w:pPr>
              <w:jc w:val="center"/>
              <w:textAlignment w:val="center"/>
              <w:rPr>
                <w:rFonts w:asciiTheme="majorEastAsia" w:hAnsiTheme="majorEastAsia" w:eastAsiaTheme="majorEastAsia" w:cstheme="majorEastAsia"/>
                <w:sz w:val="21"/>
                <w:szCs w:val="21"/>
                <w:lang w:bidi="ar"/>
              </w:rPr>
            </w:pPr>
            <w:r>
              <w:rPr>
                <w:rFonts w:hint="eastAsia" w:asciiTheme="majorEastAsia" w:hAnsiTheme="majorEastAsia" w:eastAsiaTheme="majorEastAsia" w:cstheme="majorEastAsia"/>
                <w:sz w:val="21"/>
                <w:szCs w:val="21"/>
              </w:rPr>
              <w:t>雨水浸渗、淘刷</w:t>
            </w:r>
          </w:p>
        </w:tc>
        <w:tc>
          <w:tcPr>
            <w:tcW w:w="1076" w:type="pct"/>
            <w:tcMar>
              <w:top w:w="15" w:type="dxa"/>
              <w:left w:w="15" w:type="dxa"/>
              <w:right w:w="15" w:type="dxa"/>
            </w:tcMar>
            <w:vAlign w:val="center"/>
          </w:tcPr>
          <w:p>
            <w:pPr>
              <w:jc w:val="center"/>
              <w:textAlignment w:val="center"/>
              <w:rPr>
                <w:rFonts w:asciiTheme="majorEastAsia" w:hAnsiTheme="majorEastAsia" w:eastAsiaTheme="majorEastAsia" w:cstheme="majorEastAsia"/>
                <w:sz w:val="21"/>
                <w:szCs w:val="21"/>
                <w:lang w:bidi="ar"/>
              </w:rPr>
            </w:pPr>
            <w:r>
              <w:rPr>
                <w:rFonts w:hint="eastAsia" w:asciiTheme="majorEastAsia" w:hAnsiTheme="majorEastAsia" w:eastAsiaTheme="majorEastAsia" w:cstheme="majorEastAsia"/>
                <w:sz w:val="21"/>
                <w:szCs w:val="21"/>
              </w:rPr>
              <w:t>失稳、坍塌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362" w:type="pct"/>
            <w:noWrap/>
            <w:tcMar>
              <w:top w:w="15" w:type="dxa"/>
              <w:left w:w="15" w:type="dxa"/>
              <w:right w:w="15" w:type="dxa"/>
            </w:tcMar>
            <w:vAlign w:val="center"/>
          </w:tcPr>
          <w:p>
            <w:pPr>
              <w:jc w:val="center"/>
              <w:textAlignment w:val="center"/>
              <w:rPr>
                <w:rFonts w:asciiTheme="majorEastAsia" w:hAnsiTheme="majorEastAsia" w:eastAsiaTheme="majorEastAsia" w:cstheme="majorEastAsia"/>
                <w:sz w:val="21"/>
                <w:szCs w:val="21"/>
                <w:lang w:bidi="ar"/>
              </w:rPr>
            </w:pPr>
            <w:r>
              <w:rPr>
                <w:rFonts w:hint="eastAsia" w:asciiTheme="majorEastAsia" w:hAnsiTheme="majorEastAsia" w:eastAsiaTheme="majorEastAsia" w:cstheme="majorEastAsia"/>
                <w:sz w:val="21"/>
                <w:szCs w:val="21"/>
                <w:lang w:bidi="ar"/>
              </w:rPr>
              <w:t>9</w:t>
            </w:r>
          </w:p>
        </w:tc>
        <w:tc>
          <w:tcPr>
            <w:tcW w:w="593" w:type="pct"/>
            <w:vMerge w:val="continue"/>
            <w:noWrap/>
            <w:tcMar>
              <w:top w:w="15" w:type="dxa"/>
              <w:left w:w="15" w:type="dxa"/>
              <w:right w:w="15" w:type="dxa"/>
            </w:tcMar>
            <w:vAlign w:val="center"/>
          </w:tcPr>
          <w:p>
            <w:pPr>
              <w:jc w:val="center"/>
              <w:textAlignment w:val="center"/>
              <w:rPr>
                <w:rFonts w:asciiTheme="majorEastAsia" w:hAnsiTheme="majorEastAsia" w:eastAsiaTheme="majorEastAsia" w:cstheme="majorEastAsia"/>
                <w:sz w:val="21"/>
                <w:szCs w:val="21"/>
                <w:lang w:bidi="ar"/>
              </w:rPr>
            </w:pPr>
          </w:p>
        </w:tc>
        <w:tc>
          <w:tcPr>
            <w:tcW w:w="729" w:type="pct"/>
            <w:noWrap/>
            <w:tcMar>
              <w:top w:w="15" w:type="dxa"/>
              <w:left w:w="15" w:type="dxa"/>
              <w:right w:w="15" w:type="dxa"/>
            </w:tcMar>
            <w:vAlign w:val="center"/>
          </w:tcPr>
          <w:p>
            <w:pPr>
              <w:jc w:val="center"/>
              <w:textAlignment w:val="center"/>
              <w:rPr>
                <w:rFonts w:asciiTheme="majorEastAsia" w:hAnsiTheme="majorEastAsia" w:eastAsiaTheme="majorEastAsia" w:cstheme="majorEastAsia"/>
                <w:sz w:val="21"/>
                <w:szCs w:val="21"/>
                <w:lang w:bidi="ar"/>
              </w:rPr>
            </w:pPr>
            <w:r>
              <w:rPr>
                <w:rFonts w:hint="eastAsia" w:asciiTheme="majorEastAsia" w:hAnsiTheme="majorEastAsia" w:eastAsiaTheme="majorEastAsia" w:cstheme="majorEastAsia"/>
                <w:sz w:val="21"/>
                <w:szCs w:val="21"/>
                <w:lang w:bidi="ar"/>
              </w:rPr>
              <w:t>穿（跨、临）堤建筑物与堤防接合部</w:t>
            </w:r>
          </w:p>
        </w:tc>
        <w:tc>
          <w:tcPr>
            <w:tcW w:w="1130" w:type="pct"/>
            <w:tcMar>
              <w:top w:w="15" w:type="dxa"/>
              <w:left w:w="15" w:type="dxa"/>
              <w:right w:w="15" w:type="dxa"/>
            </w:tcMar>
            <w:vAlign w:val="center"/>
          </w:tcPr>
          <w:p>
            <w:pPr>
              <w:jc w:val="center"/>
              <w:textAlignment w:val="center"/>
              <w:rPr>
                <w:rFonts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穿堤建筑物与</w:t>
            </w:r>
          </w:p>
          <w:p>
            <w:pPr>
              <w:jc w:val="center"/>
              <w:textAlignment w:val="center"/>
              <w:rPr>
                <w:rFonts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堤身结合部</w:t>
            </w:r>
          </w:p>
        </w:tc>
        <w:tc>
          <w:tcPr>
            <w:tcW w:w="1110" w:type="pct"/>
            <w:tcMar>
              <w:top w:w="15" w:type="dxa"/>
              <w:left w:w="15" w:type="dxa"/>
              <w:right w:w="15" w:type="dxa"/>
            </w:tcMar>
            <w:vAlign w:val="center"/>
          </w:tcPr>
          <w:p>
            <w:pPr>
              <w:jc w:val="center"/>
              <w:textAlignment w:val="center"/>
              <w:rPr>
                <w:rFonts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变形、接触冲刷</w:t>
            </w:r>
          </w:p>
        </w:tc>
        <w:tc>
          <w:tcPr>
            <w:tcW w:w="1076" w:type="pct"/>
            <w:tcMar>
              <w:top w:w="15" w:type="dxa"/>
              <w:left w:w="15" w:type="dxa"/>
              <w:right w:w="15" w:type="dxa"/>
            </w:tcMar>
            <w:vAlign w:val="center"/>
          </w:tcPr>
          <w:p>
            <w:pPr>
              <w:jc w:val="center"/>
              <w:textAlignment w:val="center"/>
              <w:rPr>
                <w:rFonts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失稳、溃堤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362" w:type="pct"/>
            <w:noWrap/>
            <w:tcMar>
              <w:top w:w="15" w:type="dxa"/>
              <w:left w:w="15" w:type="dxa"/>
              <w:right w:w="15" w:type="dxa"/>
            </w:tcMar>
            <w:vAlign w:val="center"/>
          </w:tcPr>
          <w:p>
            <w:pPr>
              <w:jc w:val="center"/>
              <w:textAlignment w:val="center"/>
              <w:rPr>
                <w:rFonts w:asciiTheme="majorEastAsia" w:hAnsiTheme="majorEastAsia" w:eastAsiaTheme="majorEastAsia" w:cstheme="majorEastAsia"/>
                <w:kern w:val="2"/>
                <w:sz w:val="21"/>
                <w:szCs w:val="21"/>
              </w:rPr>
            </w:pPr>
            <w:r>
              <w:rPr>
                <w:rFonts w:hint="eastAsia" w:asciiTheme="majorEastAsia" w:hAnsiTheme="majorEastAsia" w:eastAsiaTheme="majorEastAsia" w:cstheme="majorEastAsia"/>
                <w:sz w:val="21"/>
                <w:szCs w:val="21"/>
                <w:lang w:bidi="ar"/>
              </w:rPr>
              <w:t>10</w:t>
            </w:r>
          </w:p>
        </w:tc>
        <w:tc>
          <w:tcPr>
            <w:tcW w:w="593" w:type="pct"/>
            <w:vMerge w:val="restart"/>
            <w:noWrap/>
            <w:tcMar>
              <w:top w:w="15" w:type="dxa"/>
              <w:left w:w="15" w:type="dxa"/>
              <w:right w:w="15" w:type="dxa"/>
            </w:tcMar>
            <w:vAlign w:val="center"/>
          </w:tcPr>
          <w:p>
            <w:pPr>
              <w:jc w:val="center"/>
              <w:textAlignment w:val="center"/>
              <w:rPr>
                <w:rFonts w:asciiTheme="majorEastAsia" w:hAnsiTheme="majorEastAsia" w:eastAsiaTheme="majorEastAsia" w:cstheme="majorEastAsia"/>
                <w:kern w:val="2"/>
                <w:sz w:val="21"/>
                <w:szCs w:val="21"/>
              </w:rPr>
            </w:pPr>
            <w:r>
              <w:rPr>
                <w:rFonts w:hint="eastAsia" w:asciiTheme="majorEastAsia" w:hAnsiTheme="majorEastAsia" w:eastAsiaTheme="majorEastAsia" w:cstheme="majorEastAsia"/>
                <w:sz w:val="21"/>
                <w:szCs w:val="21"/>
                <w:lang w:bidi="ar"/>
              </w:rPr>
              <w:t>环境类</w:t>
            </w:r>
          </w:p>
        </w:tc>
        <w:tc>
          <w:tcPr>
            <w:tcW w:w="729" w:type="pct"/>
            <w:vMerge w:val="restart"/>
            <w:noWrap/>
            <w:tcMar>
              <w:top w:w="15" w:type="dxa"/>
              <w:left w:w="15" w:type="dxa"/>
              <w:right w:w="15" w:type="dxa"/>
            </w:tcMar>
            <w:vAlign w:val="center"/>
          </w:tcPr>
          <w:p>
            <w:pPr>
              <w:jc w:val="center"/>
              <w:textAlignment w:val="center"/>
              <w:rPr>
                <w:rFonts w:asciiTheme="majorEastAsia" w:hAnsiTheme="majorEastAsia" w:eastAsiaTheme="majorEastAsia" w:cstheme="majorEastAsia"/>
                <w:kern w:val="2"/>
                <w:sz w:val="21"/>
                <w:szCs w:val="21"/>
              </w:rPr>
            </w:pPr>
            <w:r>
              <w:rPr>
                <w:rFonts w:hint="eastAsia" w:asciiTheme="majorEastAsia" w:hAnsiTheme="majorEastAsia" w:eastAsiaTheme="majorEastAsia" w:cstheme="majorEastAsia"/>
                <w:sz w:val="21"/>
                <w:szCs w:val="21"/>
                <w:lang w:bidi="ar"/>
              </w:rPr>
              <w:t>自然环境</w:t>
            </w:r>
          </w:p>
        </w:tc>
        <w:tc>
          <w:tcPr>
            <w:tcW w:w="1130" w:type="pct"/>
            <w:noWrap/>
            <w:tcMar>
              <w:top w:w="15" w:type="dxa"/>
              <w:left w:w="15" w:type="dxa"/>
              <w:right w:w="15" w:type="dxa"/>
            </w:tcMar>
            <w:vAlign w:val="center"/>
          </w:tcPr>
          <w:p>
            <w:pPr>
              <w:jc w:val="center"/>
              <w:textAlignment w:val="center"/>
              <w:rPr>
                <w:rFonts w:asciiTheme="majorEastAsia" w:hAnsiTheme="majorEastAsia" w:eastAsiaTheme="majorEastAsia" w:cstheme="majorEastAsia"/>
                <w:kern w:val="2"/>
                <w:sz w:val="21"/>
                <w:szCs w:val="21"/>
              </w:rPr>
            </w:pPr>
            <w:r>
              <w:rPr>
                <w:rFonts w:hint="eastAsia" w:asciiTheme="majorEastAsia" w:hAnsiTheme="majorEastAsia" w:eastAsiaTheme="majorEastAsia" w:cstheme="majorEastAsia"/>
                <w:sz w:val="21"/>
                <w:szCs w:val="21"/>
                <w:lang w:bidi="ar"/>
              </w:rPr>
              <w:t>山洪、泥石流、       山体滑坡、台风、       风暴潮等</w:t>
            </w:r>
          </w:p>
        </w:tc>
        <w:tc>
          <w:tcPr>
            <w:tcW w:w="1110" w:type="pct"/>
            <w:tcMar>
              <w:top w:w="15" w:type="dxa"/>
              <w:left w:w="15" w:type="dxa"/>
              <w:right w:w="15" w:type="dxa"/>
            </w:tcMar>
            <w:vAlign w:val="center"/>
          </w:tcPr>
          <w:p>
            <w:pPr>
              <w:jc w:val="center"/>
              <w:textAlignment w:val="center"/>
              <w:rPr>
                <w:rFonts w:asciiTheme="majorEastAsia" w:hAnsiTheme="majorEastAsia" w:eastAsiaTheme="majorEastAsia" w:cstheme="majorEastAsia"/>
                <w:sz w:val="21"/>
                <w:szCs w:val="21"/>
                <w:lang w:bidi="ar"/>
              </w:rPr>
            </w:pPr>
            <w:r>
              <w:rPr>
                <w:rFonts w:hint="eastAsia" w:asciiTheme="majorEastAsia" w:hAnsiTheme="majorEastAsia" w:eastAsiaTheme="majorEastAsia" w:cstheme="majorEastAsia"/>
                <w:sz w:val="21"/>
                <w:szCs w:val="21"/>
                <w:lang w:bidi="ar"/>
              </w:rPr>
              <w:t>发生自然灾害</w:t>
            </w:r>
          </w:p>
        </w:tc>
        <w:tc>
          <w:tcPr>
            <w:tcW w:w="1076" w:type="pct"/>
            <w:tcMar>
              <w:top w:w="15" w:type="dxa"/>
              <w:left w:w="15" w:type="dxa"/>
              <w:right w:w="15" w:type="dxa"/>
            </w:tcMar>
            <w:vAlign w:val="center"/>
          </w:tcPr>
          <w:p>
            <w:pPr>
              <w:jc w:val="center"/>
              <w:textAlignment w:val="center"/>
              <w:rPr>
                <w:rFonts w:asciiTheme="majorEastAsia" w:hAnsiTheme="majorEastAsia" w:eastAsiaTheme="majorEastAsia" w:cstheme="majorEastAsia"/>
                <w:kern w:val="2"/>
                <w:sz w:val="21"/>
                <w:szCs w:val="21"/>
              </w:rPr>
            </w:pPr>
            <w:r>
              <w:rPr>
                <w:rFonts w:hint="eastAsia" w:asciiTheme="majorEastAsia" w:hAnsiTheme="majorEastAsia" w:eastAsiaTheme="majorEastAsia" w:cstheme="majorEastAsia"/>
                <w:sz w:val="21"/>
                <w:szCs w:val="21"/>
                <w:lang w:bidi="ar"/>
              </w:rPr>
              <w:t>工程损（破）坏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362" w:type="pct"/>
            <w:noWrap/>
            <w:tcMar>
              <w:top w:w="15" w:type="dxa"/>
              <w:left w:w="15" w:type="dxa"/>
              <w:right w:w="15" w:type="dxa"/>
            </w:tcMar>
            <w:vAlign w:val="center"/>
          </w:tcPr>
          <w:p>
            <w:pPr>
              <w:jc w:val="center"/>
              <w:textAlignment w:val="center"/>
              <w:rPr>
                <w:rFonts w:asciiTheme="majorEastAsia" w:hAnsiTheme="majorEastAsia" w:eastAsiaTheme="majorEastAsia" w:cstheme="majorEastAsia"/>
                <w:sz w:val="21"/>
                <w:szCs w:val="21"/>
                <w:lang w:bidi="ar"/>
              </w:rPr>
            </w:pPr>
            <w:r>
              <w:rPr>
                <w:rFonts w:hint="eastAsia" w:asciiTheme="majorEastAsia" w:hAnsiTheme="majorEastAsia" w:eastAsiaTheme="majorEastAsia" w:cstheme="majorEastAsia"/>
                <w:sz w:val="21"/>
                <w:szCs w:val="21"/>
                <w:lang w:bidi="ar"/>
              </w:rPr>
              <w:t>11</w:t>
            </w:r>
          </w:p>
        </w:tc>
        <w:tc>
          <w:tcPr>
            <w:tcW w:w="593" w:type="pct"/>
            <w:vMerge w:val="continue"/>
            <w:noWrap/>
            <w:tcMar>
              <w:top w:w="15" w:type="dxa"/>
              <w:left w:w="15" w:type="dxa"/>
              <w:right w:w="15" w:type="dxa"/>
            </w:tcMar>
            <w:vAlign w:val="center"/>
          </w:tcPr>
          <w:p>
            <w:pPr>
              <w:jc w:val="center"/>
              <w:textAlignment w:val="center"/>
              <w:rPr>
                <w:rFonts w:asciiTheme="majorEastAsia" w:hAnsiTheme="majorEastAsia" w:eastAsiaTheme="majorEastAsia" w:cstheme="majorEastAsia"/>
                <w:sz w:val="21"/>
                <w:szCs w:val="21"/>
                <w:lang w:bidi="ar"/>
              </w:rPr>
            </w:pPr>
          </w:p>
        </w:tc>
        <w:tc>
          <w:tcPr>
            <w:tcW w:w="729" w:type="pct"/>
            <w:vMerge w:val="continue"/>
            <w:noWrap/>
            <w:tcMar>
              <w:top w:w="15" w:type="dxa"/>
              <w:left w:w="15" w:type="dxa"/>
              <w:right w:w="15" w:type="dxa"/>
            </w:tcMar>
            <w:vAlign w:val="center"/>
          </w:tcPr>
          <w:p>
            <w:pPr>
              <w:jc w:val="center"/>
              <w:textAlignment w:val="center"/>
              <w:rPr>
                <w:rFonts w:asciiTheme="majorEastAsia" w:hAnsiTheme="majorEastAsia" w:eastAsiaTheme="majorEastAsia" w:cstheme="majorEastAsia"/>
                <w:sz w:val="21"/>
                <w:szCs w:val="21"/>
                <w:lang w:bidi="ar"/>
              </w:rPr>
            </w:pPr>
          </w:p>
        </w:tc>
        <w:tc>
          <w:tcPr>
            <w:tcW w:w="1130" w:type="pct"/>
            <w:noWrap/>
            <w:tcMar>
              <w:top w:w="15" w:type="dxa"/>
              <w:left w:w="15" w:type="dxa"/>
              <w:right w:w="15" w:type="dxa"/>
            </w:tcMar>
            <w:vAlign w:val="center"/>
          </w:tcPr>
          <w:p>
            <w:pPr>
              <w:jc w:val="center"/>
              <w:textAlignment w:val="center"/>
              <w:rPr>
                <w:rFonts w:asciiTheme="majorEastAsia" w:hAnsiTheme="majorEastAsia" w:eastAsiaTheme="majorEastAsia" w:cstheme="majorEastAsia"/>
                <w:sz w:val="21"/>
                <w:szCs w:val="21"/>
                <w:lang w:bidi="ar"/>
              </w:rPr>
            </w:pPr>
            <w:r>
              <w:rPr>
                <w:rFonts w:hint="eastAsia" w:asciiTheme="majorEastAsia" w:hAnsiTheme="majorEastAsia" w:eastAsiaTheme="majorEastAsia" w:cstheme="majorEastAsia"/>
                <w:sz w:val="21"/>
                <w:szCs w:val="21"/>
                <w:lang w:bidi="ar"/>
              </w:rPr>
              <w:t>超标准洪水</w:t>
            </w:r>
          </w:p>
        </w:tc>
        <w:tc>
          <w:tcPr>
            <w:tcW w:w="1110" w:type="pct"/>
            <w:tcMar>
              <w:top w:w="15" w:type="dxa"/>
              <w:left w:w="15" w:type="dxa"/>
              <w:right w:w="15" w:type="dxa"/>
            </w:tcMar>
            <w:vAlign w:val="center"/>
          </w:tcPr>
          <w:p>
            <w:pPr>
              <w:jc w:val="center"/>
              <w:textAlignment w:val="center"/>
              <w:rPr>
                <w:rFonts w:asciiTheme="majorEastAsia" w:hAnsiTheme="majorEastAsia" w:eastAsiaTheme="majorEastAsia" w:cstheme="majorEastAsia"/>
                <w:sz w:val="21"/>
                <w:szCs w:val="21"/>
                <w:lang w:bidi="ar"/>
              </w:rPr>
            </w:pPr>
            <w:r>
              <w:rPr>
                <w:rFonts w:hint="eastAsia" w:asciiTheme="majorEastAsia" w:hAnsiTheme="majorEastAsia" w:eastAsiaTheme="majorEastAsia" w:cstheme="majorEastAsia"/>
                <w:sz w:val="21"/>
                <w:szCs w:val="21"/>
                <w:lang w:bidi="ar"/>
              </w:rPr>
              <w:t>超保证水位</w:t>
            </w:r>
          </w:p>
        </w:tc>
        <w:tc>
          <w:tcPr>
            <w:tcW w:w="1076" w:type="pct"/>
            <w:tcMar>
              <w:top w:w="15" w:type="dxa"/>
              <w:left w:w="15" w:type="dxa"/>
              <w:right w:w="15" w:type="dxa"/>
            </w:tcMar>
            <w:vAlign w:val="center"/>
          </w:tcPr>
          <w:p>
            <w:pPr>
              <w:jc w:val="center"/>
              <w:textAlignment w:val="center"/>
              <w:rPr>
                <w:rFonts w:asciiTheme="majorEastAsia" w:hAnsiTheme="majorEastAsia" w:eastAsiaTheme="majorEastAsia" w:cstheme="majorEastAsia"/>
                <w:sz w:val="21"/>
                <w:szCs w:val="21"/>
                <w:lang w:bidi="ar"/>
              </w:rPr>
            </w:pPr>
            <w:r>
              <w:rPr>
                <w:rFonts w:hint="eastAsia" w:asciiTheme="majorEastAsia" w:hAnsiTheme="majorEastAsia" w:eastAsiaTheme="majorEastAsia" w:cstheme="majorEastAsia"/>
                <w:sz w:val="21"/>
                <w:szCs w:val="21"/>
                <w:lang w:bidi="ar"/>
              </w:rPr>
              <w:t>工程损（破）坏</w:t>
            </w:r>
          </w:p>
        </w:tc>
      </w:tr>
    </w:tbl>
    <w:p>
      <w:pPr>
        <w:widowControl w:val="0"/>
        <w:rPr>
          <w:rFonts w:ascii="仿宋" w:hAnsi="仿宋" w:eastAsia="仿宋" w:cs="仿宋"/>
          <w:kern w:val="2"/>
          <w:sz w:val="10"/>
          <w:szCs w:val="10"/>
        </w:rPr>
      </w:pPr>
    </w:p>
    <w:p>
      <w:pPr>
        <w:rPr>
          <w:rFonts w:asciiTheme="minorEastAsia" w:hAnsiTheme="minorEastAsia" w:eastAsiaTheme="minorEastAsia"/>
          <w:sz w:val="21"/>
          <w:szCs w:val="21"/>
        </w:rPr>
        <w:sectPr>
          <w:pgSz w:w="11906" w:h="16838"/>
          <w:pgMar w:top="1440" w:right="1797" w:bottom="1440" w:left="1797" w:header="851" w:footer="992" w:gutter="0"/>
          <w:cols w:space="425" w:num="1"/>
          <w:docGrid w:type="lines" w:linePitch="435" w:charSpace="0"/>
        </w:sectPr>
      </w:pPr>
    </w:p>
    <w:p>
      <w:pPr>
        <w:jc w:val="center"/>
        <w:outlineLvl w:val="0"/>
        <w:rPr>
          <w:rFonts w:ascii="方正小标宋_GBK" w:hAnsi="黑体" w:eastAsia="方正小标宋_GBK"/>
          <w:b/>
          <w:bCs/>
          <w:sz w:val="28"/>
          <w:szCs w:val="28"/>
        </w:rPr>
      </w:pPr>
      <w:bookmarkStart w:id="128" w:name="_Toc117541315"/>
      <w:bookmarkStart w:id="129" w:name="_Hlk117456027"/>
      <w:bookmarkStart w:id="130" w:name="_Toc119336596"/>
      <w:r>
        <w:rPr>
          <w:rFonts w:hint="eastAsia" w:ascii="方正小标宋_GBK" w:hAnsi="黑体" w:eastAsia="方正小标宋_GBK"/>
          <w:b/>
          <w:bCs/>
          <w:sz w:val="28"/>
          <w:szCs w:val="28"/>
        </w:rPr>
        <w:t>附录A.12</w:t>
      </w:r>
      <w:bookmarkEnd w:id="128"/>
      <w:bookmarkEnd w:id="129"/>
      <w:bookmarkEnd w:id="130"/>
    </w:p>
    <w:p>
      <w:pPr>
        <w:jc w:val="center"/>
        <w:rPr>
          <w:rFonts w:ascii="方正小标宋_GBK" w:hAnsi="黑体" w:eastAsia="方正小标宋_GBK"/>
          <w:b/>
          <w:bCs/>
          <w:sz w:val="28"/>
          <w:szCs w:val="28"/>
        </w:rPr>
      </w:pPr>
      <w:r>
        <w:rPr>
          <w:rFonts w:hint="eastAsia" w:ascii="方正小标宋_GBK" w:hAnsi="黑体" w:eastAsia="方正小标宋_GBK"/>
          <w:b/>
          <w:bCs/>
          <w:sz w:val="28"/>
          <w:szCs w:val="28"/>
        </w:rPr>
        <w:t>（资料性附录）</w:t>
      </w:r>
    </w:p>
    <w:p>
      <w:pPr>
        <w:jc w:val="center"/>
        <w:rPr>
          <w:rFonts w:ascii="方正小标宋_GBK" w:hAnsi="黑体" w:eastAsia="方正小标宋_GBK"/>
          <w:b/>
          <w:bCs/>
          <w:sz w:val="28"/>
          <w:szCs w:val="28"/>
        </w:rPr>
      </w:pPr>
    </w:p>
    <w:p>
      <w:pPr>
        <w:jc w:val="center"/>
        <w:outlineLvl w:val="1"/>
        <w:rPr>
          <w:rFonts w:ascii="方正小标宋_GBK" w:hAnsi="黑体" w:eastAsia="方正小标宋_GBK"/>
          <w:b/>
          <w:bCs/>
          <w:sz w:val="28"/>
          <w:szCs w:val="28"/>
        </w:rPr>
      </w:pPr>
      <w:bookmarkStart w:id="131" w:name="_Toc119336597"/>
      <w:bookmarkStart w:id="132" w:name="_Toc117541316"/>
      <w:r>
        <w:rPr>
          <w:rFonts w:hint="eastAsia" w:ascii="方正小标宋_GBK" w:hAnsi="黑体" w:eastAsia="方正小标宋_GBK"/>
          <w:b/>
          <w:bCs/>
          <w:sz w:val="28"/>
          <w:szCs w:val="28"/>
        </w:rPr>
        <w:t>淤地坝工程运行重大危险源清单</w:t>
      </w:r>
      <w:bookmarkEnd w:id="131"/>
      <w:bookmarkEnd w:id="132"/>
    </w:p>
    <w:tbl>
      <w:tblPr>
        <w:tblStyle w:val="34"/>
        <w:tblW w:w="5195" w:type="pct"/>
        <w:tblInd w:w="-17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22"/>
        <w:gridCol w:w="1021"/>
        <w:gridCol w:w="1257"/>
        <w:gridCol w:w="1969"/>
        <w:gridCol w:w="1922"/>
        <w:gridCol w:w="18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51" w:hRule="atLeast"/>
        </w:trPr>
        <w:tc>
          <w:tcPr>
            <w:tcW w:w="359" w:type="pct"/>
            <w:noWrap/>
            <w:tcMar>
              <w:top w:w="15" w:type="dxa"/>
              <w:left w:w="15" w:type="dxa"/>
              <w:right w:w="15" w:type="dxa"/>
            </w:tcMar>
            <w:vAlign w:val="center"/>
          </w:tcPr>
          <w:p>
            <w:pPr>
              <w:jc w:val="center"/>
              <w:textAlignment w:val="center"/>
              <w:rPr>
                <w:rFonts w:ascii="宋体" w:hAnsi="宋体" w:eastAsia="宋体" w:cs="黑体"/>
                <w:b/>
                <w:bCs/>
                <w:kern w:val="2"/>
                <w:sz w:val="21"/>
                <w:szCs w:val="21"/>
              </w:rPr>
            </w:pPr>
            <w:r>
              <w:rPr>
                <w:rFonts w:hint="eastAsia" w:ascii="宋体" w:hAnsi="宋体" w:eastAsia="宋体" w:cs="黑体"/>
                <w:b/>
                <w:bCs/>
                <w:sz w:val="21"/>
                <w:szCs w:val="21"/>
                <w:lang w:bidi="ar"/>
              </w:rPr>
              <w:t>序号</w:t>
            </w:r>
          </w:p>
        </w:tc>
        <w:tc>
          <w:tcPr>
            <w:tcW w:w="589" w:type="pct"/>
            <w:noWrap/>
            <w:tcMar>
              <w:top w:w="15" w:type="dxa"/>
              <w:left w:w="15" w:type="dxa"/>
              <w:right w:w="15" w:type="dxa"/>
            </w:tcMar>
            <w:vAlign w:val="center"/>
          </w:tcPr>
          <w:p>
            <w:pPr>
              <w:jc w:val="center"/>
              <w:textAlignment w:val="center"/>
              <w:rPr>
                <w:rFonts w:ascii="宋体" w:hAnsi="宋体" w:eastAsia="宋体" w:cs="黑体"/>
                <w:b/>
                <w:bCs/>
                <w:kern w:val="2"/>
                <w:sz w:val="21"/>
                <w:szCs w:val="21"/>
              </w:rPr>
            </w:pPr>
            <w:r>
              <w:rPr>
                <w:rFonts w:hint="eastAsia" w:ascii="宋体" w:hAnsi="宋体" w:eastAsia="宋体" w:cs="黑体"/>
                <w:b/>
                <w:bCs/>
                <w:sz w:val="21"/>
                <w:szCs w:val="21"/>
                <w:lang w:bidi="ar"/>
              </w:rPr>
              <w:t>类别</w:t>
            </w:r>
          </w:p>
        </w:tc>
        <w:tc>
          <w:tcPr>
            <w:tcW w:w="725" w:type="pct"/>
            <w:noWrap/>
            <w:tcMar>
              <w:top w:w="15" w:type="dxa"/>
              <w:left w:w="15" w:type="dxa"/>
              <w:right w:w="15" w:type="dxa"/>
            </w:tcMar>
            <w:vAlign w:val="center"/>
          </w:tcPr>
          <w:p>
            <w:pPr>
              <w:jc w:val="center"/>
              <w:textAlignment w:val="center"/>
              <w:rPr>
                <w:rFonts w:ascii="宋体" w:hAnsi="宋体" w:eastAsia="宋体" w:cs="黑体"/>
                <w:b/>
                <w:bCs/>
                <w:kern w:val="2"/>
                <w:sz w:val="21"/>
                <w:szCs w:val="21"/>
              </w:rPr>
            </w:pPr>
            <w:r>
              <w:rPr>
                <w:rFonts w:hint="eastAsia" w:ascii="宋体" w:hAnsi="宋体" w:eastAsia="宋体" w:cs="黑体"/>
                <w:b/>
                <w:bCs/>
                <w:sz w:val="21"/>
                <w:szCs w:val="21"/>
                <w:lang w:bidi="ar"/>
              </w:rPr>
              <w:t>项目</w:t>
            </w:r>
          </w:p>
        </w:tc>
        <w:tc>
          <w:tcPr>
            <w:tcW w:w="1136" w:type="pct"/>
            <w:noWrap/>
            <w:tcMar>
              <w:top w:w="15" w:type="dxa"/>
              <w:left w:w="15" w:type="dxa"/>
              <w:right w:w="15" w:type="dxa"/>
            </w:tcMar>
            <w:vAlign w:val="center"/>
          </w:tcPr>
          <w:p>
            <w:pPr>
              <w:jc w:val="center"/>
              <w:textAlignment w:val="center"/>
              <w:rPr>
                <w:rFonts w:ascii="宋体" w:hAnsi="宋体" w:eastAsia="宋体" w:cs="黑体"/>
                <w:b/>
                <w:bCs/>
                <w:kern w:val="2"/>
                <w:sz w:val="21"/>
                <w:szCs w:val="21"/>
              </w:rPr>
            </w:pPr>
            <w:r>
              <w:rPr>
                <w:rFonts w:hint="eastAsia" w:ascii="宋体" w:hAnsi="宋体" w:eastAsia="宋体" w:cs="黑体"/>
                <w:b/>
                <w:bCs/>
                <w:sz w:val="21"/>
                <w:szCs w:val="21"/>
                <w:lang w:bidi="ar"/>
              </w:rPr>
              <w:t>重大危险源</w:t>
            </w:r>
          </w:p>
        </w:tc>
        <w:tc>
          <w:tcPr>
            <w:tcW w:w="1109" w:type="pct"/>
            <w:tcMar>
              <w:top w:w="15" w:type="dxa"/>
              <w:left w:w="15" w:type="dxa"/>
              <w:right w:w="15" w:type="dxa"/>
            </w:tcMar>
            <w:vAlign w:val="center"/>
          </w:tcPr>
          <w:p>
            <w:pPr>
              <w:jc w:val="center"/>
              <w:textAlignment w:val="center"/>
              <w:rPr>
                <w:rFonts w:ascii="宋体" w:hAnsi="宋体" w:eastAsia="宋体" w:cs="黑体"/>
                <w:b/>
                <w:bCs/>
                <w:sz w:val="21"/>
                <w:szCs w:val="21"/>
                <w:lang w:bidi="ar"/>
              </w:rPr>
            </w:pPr>
            <w:r>
              <w:rPr>
                <w:rFonts w:hint="eastAsia" w:ascii="宋体" w:hAnsi="宋体" w:eastAsia="宋体" w:cs="黑体"/>
                <w:b/>
                <w:bCs/>
                <w:sz w:val="21"/>
                <w:szCs w:val="21"/>
                <w:lang w:bidi="ar"/>
              </w:rPr>
              <w:t>事故诱因</w:t>
            </w:r>
          </w:p>
        </w:tc>
        <w:tc>
          <w:tcPr>
            <w:tcW w:w="1083" w:type="pct"/>
            <w:tcMar>
              <w:top w:w="15" w:type="dxa"/>
              <w:left w:w="15" w:type="dxa"/>
              <w:right w:w="15" w:type="dxa"/>
            </w:tcMar>
            <w:vAlign w:val="center"/>
          </w:tcPr>
          <w:p>
            <w:pPr>
              <w:jc w:val="center"/>
              <w:textAlignment w:val="center"/>
              <w:rPr>
                <w:rFonts w:ascii="宋体" w:hAnsi="宋体" w:eastAsia="宋体" w:cs="黑体"/>
                <w:b/>
                <w:bCs/>
                <w:kern w:val="2"/>
                <w:sz w:val="21"/>
                <w:szCs w:val="21"/>
              </w:rPr>
            </w:pPr>
            <w:r>
              <w:rPr>
                <w:rFonts w:hint="eastAsia" w:ascii="宋体" w:hAnsi="宋体" w:eastAsia="宋体" w:cs="黑体"/>
                <w:b/>
                <w:bCs/>
                <w:sz w:val="21"/>
                <w:szCs w:val="21"/>
                <w:lang w:bidi="ar"/>
              </w:rPr>
              <w:t>可能导致的后果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51" w:hRule="atLeast"/>
        </w:trPr>
        <w:tc>
          <w:tcPr>
            <w:tcW w:w="359" w:type="pct"/>
            <w:noWrap/>
            <w:tcMar>
              <w:top w:w="15" w:type="dxa"/>
              <w:left w:w="15" w:type="dxa"/>
              <w:right w:w="15" w:type="dxa"/>
            </w:tcMar>
            <w:vAlign w:val="center"/>
          </w:tcPr>
          <w:p>
            <w:pPr>
              <w:jc w:val="center"/>
              <w:textAlignment w:val="center"/>
              <w:rPr>
                <w:rFonts w:ascii="宋体" w:hAnsi="宋体" w:eastAsia="宋体" w:cs="宋体"/>
                <w:kern w:val="2"/>
                <w:sz w:val="21"/>
                <w:szCs w:val="21"/>
              </w:rPr>
            </w:pPr>
            <w:r>
              <w:rPr>
                <w:rFonts w:hint="eastAsia" w:ascii="宋体" w:hAnsi="宋体" w:eastAsia="宋体" w:cs="宋体"/>
                <w:sz w:val="21"/>
                <w:szCs w:val="21"/>
                <w:lang w:bidi="ar"/>
              </w:rPr>
              <w:t>1</w:t>
            </w:r>
          </w:p>
        </w:tc>
        <w:tc>
          <w:tcPr>
            <w:tcW w:w="589" w:type="pct"/>
            <w:vMerge w:val="restart"/>
            <w:noWrap/>
            <w:tcMar>
              <w:top w:w="15" w:type="dxa"/>
              <w:left w:w="15" w:type="dxa"/>
              <w:right w:w="15" w:type="dxa"/>
            </w:tcMar>
            <w:vAlign w:val="center"/>
          </w:tcPr>
          <w:p>
            <w:pPr>
              <w:jc w:val="center"/>
              <w:textAlignment w:val="center"/>
              <w:rPr>
                <w:rFonts w:ascii="宋体" w:hAnsi="宋体" w:eastAsia="宋体" w:cs="宋体"/>
                <w:sz w:val="21"/>
                <w:szCs w:val="21"/>
                <w:lang w:bidi="ar"/>
              </w:rPr>
            </w:pPr>
            <w:r>
              <w:rPr>
                <w:rFonts w:hint="eastAsia" w:ascii="宋体" w:hAnsi="宋体" w:eastAsia="宋体" w:cs="宋体"/>
                <w:sz w:val="21"/>
                <w:szCs w:val="21"/>
                <w:lang w:bidi="ar"/>
              </w:rPr>
              <w:t>构（建）</w:t>
            </w:r>
          </w:p>
          <w:p>
            <w:pPr>
              <w:jc w:val="center"/>
              <w:textAlignment w:val="center"/>
              <w:rPr>
                <w:rFonts w:ascii="宋体" w:hAnsi="宋体" w:eastAsia="宋体" w:cs="宋体"/>
                <w:kern w:val="2"/>
                <w:sz w:val="21"/>
                <w:szCs w:val="21"/>
              </w:rPr>
            </w:pPr>
            <w:r>
              <w:rPr>
                <w:rFonts w:hint="eastAsia" w:ascii="宋体" w:hAnsi="宋体" w:eastAsia="宋体" w:cs="宋体"/>
                <w:sz w:val="21"/>
                <w:szCs w:val="21"/>
                <w:lang w:bidi="ar"/>
              </w:rPr>
              <w:t>筑物类</w:t>
            </w:r>
          </w:p>
        </w:tc>
        <w:tc>
          <w:tcPr>
            <w:tcW w:w="725" w:type="pct"/>
            <w:vMerge w:val="restart"/>
            <w:noWrap/>
            <w:tcMar>
              <w:top w:w="15" w:type="dxa"/>
              <w:left w:w="15" w:type="dxa"/>
              <w:right w:w="15" w:type="dxa"/>
            </w:tcMar>
            <w:vAlign w:val="center"/>
          </w:tcPr>
          <w:p>
            <w:pPr>
              <w:jc w:val="center"/>
              <w:textAlignment w:val="center"/>
              <w:rPr>
                <w:rFonts w:ascii="宋体" w:hAnsi="宋体" w:eastAsia="宋体" w:cs="宋体"/>
                <w:sz w:val="21"/>
                <w:szCs w:val="21"/>
                <w:lang w:bidi="ar"/>
              </w:rPr>
            </w:pPr>
            <w:r>
              <w:rPr>
                <w:rFonts w:hint="eastAsia" w:ascii="宋体" w:hAnsi="宋体" w:eastAsia="宋体" w:cs="宋体"/>
                <w:sz w:val="21"/>
                <w:szCs w:val="21"/>
                <w:lang w:bidi="ar"/>
              </w:rPr>
              <w:t>坝体</w:t>
            </w:r>
          </w:p>
        </w:tc>
        <w:tc>
          <w:tcPr>
            <w:tcW w:w="1136" w:type="pct"/>
            <w:tcMar>
              <w:top w:w="15" w:type="dxa"/>
              <w:left w:w="15" w:type="dxa"/>
              <w:right w:w="15" w:type="dxa"/>
            </w:tcMar>
            <w:vAlign w:val="center"/>
          </w:tcPr>
          <w:p>
            <w:pPr>
              <w:jc w:val="center"/>
              <w:textAlignment w:val="center"/>
              <w:rPr>
                <w:rFonts w:ascii="宋体" w:hAnsi="宋体" w:eastAsia="宋体" w:cs="宋体"/>
                <w:sz w:val="21"/>
                <w:szCs w:val="21"/>
                <w:lang w:bidi="ar"/>
              </w:rPr>
            </w:pPr>
            <w:r>
              <w:rPr>
                <w:rFonts w:hint="eastAsia" w:ascii="宋体" w:hAnsi="宋体" w:eastAsia="宋体" w:cs="宋体"/>
                <w:sz w:val="21"/>
                <w:szCs w:val="21"/>
              </w:rPr>
              <w:t>坝体与穿坝建筑物、  沟岸结合部</w:t>
            </w:r>
          </w:p>
        </w:tc>
        <w:tc>
          <w:tcPr>
            <w:tcW w:w="1109" w:type="pct"/>
            <w:tcMar>
              <w:top w:w="15" w:type="dxa"/>
              <w:left w:w="15" w:type="dxa"/>
              <w:right w:w="15" w:type="dxa"/>
            </w:tcMar>
            <w:vAlign w:val="center"/>
          </w:tcPr>
          <w:p>
            <w:pPr>
              <w:jc w:val="center"/>
              <w:textAlignment w:val="center"/>
              <w:rPr>
                <w:rFonts w:ascii="宋体" w:hAnsi="宋体" w:eastAsia="宋体" w:cs="宋体"/>
                <w:sz w:val="21"/>
                <w:szCs w:val="21"/>
                <w:lang w:bidi="ar"/>
              </w:rPr>
            </w:pPr>
            <w:r>
              <w:rPr>
                <w:rFonts w:hint="eastAsia" w:ascii="宋体" w:hAnsi="宋体" w:eastAsia="宋体" w:cs="宋体"/>
                <w:sz w:val="21"/>
                <w:szCs w:val="21"/>
              </w:rPr>
              <w:t>接触冲刷</w:t>
            </w:r>
          </w:p>
        </w:tc>
        <w:tc>
          <w:tcPr>
            <w:tcW w:w="1083" w:type="pct"/>
            <w:tcMar>
              <w:top w:w="15" w:type="dxa"/>
              <w:left w:w="15" w:type="dxa"/>
              <w:right w:w="15" w:type="dxa"/>
            </w:tcMar>
            <w:vAlign w:val="center"/>
          </w:tcPr>
          <w:p>
            <w:pPr>
              <w:jc w:val="center"/>
              <w:textAlignment w:val="center"/>
              <w:rPr>
                <w:rFonts w:ascii="宋体" w:hAnsi="宋体" w:eastAsia="宋体" w:cs="宋体"/>
                <w:sz w:val="21"/>
                <w:szCs w:val="21"/>
                <w:lang w:bidi="ar"/>
              </w:rPr>
            </w:pPr>
            <w:r>
              <w:rPr>
                <w:rFonts w:hint="eastAsia" w:ascii="宋体" w:hAnsi="宋体" w:eastAsia="宋体" w:cs="宋体"/>
                <w:sz w:val="21"/>
                <w:szCs w:val="21"/>
              </w:rPr>
              <w:t>失稳、溃坝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51" w:hRule="atLeast"/>
        </w:trPr>
        <w:tc>
          <w:tcPr>
            <w:tcW w:w="359" w:type="pct"/>
            <w:noWrap/>
            <w:tcMar>
              <w:top w:w="15" w:type="dxa"/>
              <w:left w:w="15" w:type="dxa"/>
              <w:right w:w="15" w:type="dxa"/>
            </w:tcMar>
            <w:vAlign w:val="center"/>
          </w:tcPr>
          <w:p>
            <w:pPr>
              <w:jc w:val="center"/>
              <w:textAlignment w:val="center"/>
              <w:rPr>
                <w:rFonts w:ascii="宋体" w:hAnsi="宋体" w:eastAsia="宋体" w:cs="宋体"/>
                <w:sz w:val="21"/>
                <w:szCs w:val="21"/>
                <w:lang w:bidi="ar"/>
              </w:rPr>
            </w:pPr>
            <w:r>
              <w:rPr>
                <w:rFonts w:hint="eastAsia" w:ascii="宋体" w:hAnsi="宋体" w:eastAsia="宋体" w:cs="宋体"/>
                <w:sz w:val="21"/>
                <w:szCs w:val="21"/>
                <w:lang w:bidi="ar"/>
              </w:rPr>
              <w:t>2</w:t>
            </w:r>
          </w:p>
        </w:tc>
        <w:tc>
          <w:tcPr>
            <w:tcW w:w="589" w:type="pct"/>
            <w:vMerge w:val="continue"/>
            <w:noWrap/>
            <w:tcMar>
              <w:top w:w="15" w:type="dxa"/>
              <w:left w:w="15" w:type="dxa"/>
              <w:right w:w="15" w:type="dxa"/>
            </w:tcMar>
            <w:vAlign w:val="center"/>
          </w:tcPr>
          <w:p>
            <w:pPr>
              <w:jc w:val="center"/>
              <w:textAlignment w:val="center"/>
              <w:rPr>
                <w:rFonts w:ascii="宋体" w:hAnsi="宋体" w:eastAsia="宋体" w:cs="宋体"/>
                <w:sz w:val="21"/>
                <w:szCs w:val="21"/>
                <w:lang w:bidi="ar"/>
              </w:rPr>
            </w:pPr>
          </w:p>
        </w:tc>
        <w:tc>
          <w:tcPr>
            <w:tcW w:w="725" w:type="pct"/>
            <w:vMerge w:val="continue"/>
            <w:noWrap/>
            <w:tcMar>
              <w:top w:w="15" w:type="dxa"/>
              <w:left w:w="15" w:type="dxa"/>
              <w:right w:w="15" w:type="dxa"/>
            </w:tcMar>
            <w:vAlign w:val="center"/>
          </w:tcPr>
          <w:p>
            <w:pPr>
              <w:jc w:val="center"/>
              <w:textAlignment w:val="center"/>
              <w:rPr>
                <w:rFonts w:ascii="宋体" w:hAnsi="宋体" w:eastAsia="宋体" w:cs="宋体"/>
                <w:sz w:val="21"/>
                <w:szCs w:val="21"/>
                <w:lang w:bidi="ar"/>
              </w:rPr>
            </w:pPr>
          </w:p>
        </w:tc>
        <w:tc>
          <w:tcPr>
            <w:tcW w:w="1136" w:type="pct"/>
            <w:tcMar>
              <w:top w:w="15" w:type="dxa"/>
              <w:left w:w="15" w:type="dxa"/>
              <w:right w:w="15" w:type="dxa"/>
            </w:tcMar>
            <w:vAlign w:val="center"/>
          </w:tcPr>
          <w:p>
            <w:pPr>
              <w:jc w:val="center"/>
              <w:textAlignment w:val="center"/>
              <w:rPr>
                <w:rFonts w:ascii="宋体" w:hAnsi="宋体" w:eastAsia="宋体" w:cs="宋体"/>
                <w:sz w:val="21"/>
                <w:szCs w:val="21"/>
              </w:rPr>
            </w:pPr>
            <w:r>
              <w:rPr>
                <w:rFonts w:hint="eastAsia" w:ascii="宋体" w:hAnsi="宋体" w:eastAsia="宋体" w:cs="宋体"/>
                <w:sz w:val="21"/>
                <w:szCs w:val="21"/>
              </w:rPr>
              <w:t>坝体渗流</w:t>
            </w:r>
          </w:p>
        </w:tc>
        <w:tc>
          <w:tcPr>
            <w:tcW w:w="1109" w:type="pct"/>
            <w:tcMar>
              <w:top w:w="15" w:type="dxa"/>
              <w:left w:w="15" w:type="dxa"/>
              <w:right w:w="15" w:type="dxa"/>
            </w:tcMar>
            <w:vAlign w:val="center"/>
          </w:tcPr>
          <w:p>
            <w:pPr>
              <w:jc w:val="center"/>
              <w:textAlignment w:val="center"/>
              <w:rPr>
                <w:rFonts w:ascii="宋体" w:hAnsi="宋体" w:eastAsia="宋体" w:cs="宋体"/>
                <w:sz w:val="21"/>
                <w:szCs w:val="21"/>
              </w:rPr>
            </w:pPr>
            <w:r>
              <w:rPr>
                <w:rFonts w:hint="eastAsia" w:ascii="宋体" w:hAnsi="宋体" w:eastAsia="宋体" w:cs="宋体"/>
                <w:sz w:val="21"/>
                <w:szCs w:val="21"/>
              </w:rPr>
              <w:t xml:space="preserve">蓄水运用的淤地坝， </w:t>
            </w:r>
            <w:r>
              <w:rPr>
                <w:rFonts w:ascii="宋体" w:hAnsi="宋体" w:eastAsia="宋体" w:cs="宋体"/>
                <w:sz w:val="21"/>
                <w:szCs w:val="21"/>
              </w:rPr>
              <w:t>坝体防渗能力差</w:t>
            </w:r>
          </w:p>
        </w:tc>
        <w:tc>
          <w:tcPr>
            <w:tcW w:w="1083" w:type="pct"/>
            <w:tcMar>
              <w:top w:w="15" w:type="dxa"/>
              <w:left w:w="15" w:type="dxa"/>
              <w:right w:w="15" w:type="dxa"/>
            </w:tcMar>
            <w:vAlign w:val="center"/>
          </w:tcPr>
          <w:p>
            <w:pPr>
              <w:jc w:val="center"/>
              <w:textAlignment w:val="center"/>
              <w:rPr>
                <w:rFonts w:ascii="宋体" w:hAnsi="宋体" w:eastAsia="宋体" w:cs="宋体"/>
                <w:sz w:val="21"/>
                <w:szCs w:val="21"/>
              </w:rPr>
            </w:pPr>
            <w:r>
              <w:rPr>
                <w:rFonts w:hint="eastAsia" w:ascii="宋体" w:hAnsi="宋体" w:eastAsia="宋体" w:cs="宋体"/>
                <w:sz w:val="21"/>
                <w:szCs w:val="21"/>
              </w:rPr>
              <w:t>变形、失稳、溃坝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51" w:hRule="atLeast"/>
        </w:trPr>
        <w:tc>
          <w:tcPr>
            <w:tcW w:w="359" w:type="pct"/>
            <w:noWrap/>
            <w:tcMar>
              <w:top w:w="15" w:type="dxa"/>
              <w:left w:w="15" w:type="dxa"/>
              <w:right w:w="15" w:type="dxa"/>
            </w:tcMar>
            <w:vAlign w:val="center"/>
          </w:tcPr>
          <w:p>
            <w:pPr>
              <w:jc w:val="center"/>
              <w:textAlignment w:val="center"/>
              <w:rPr>
                <w:rFonts w:ascii="宋体" w:hAnsi="宋体" w:eastAsia="宋体" w:cs="宋体"/>
                <w:sz w:val="21"/>
                <w:szCs w:val="21"/>
                <w:lang w:bidi="ar"/>
              </w:rPr>
            </w:pPr>
            <w:r>
              <w:rPr>
                <w:rFonts w:hint="eastAsia" w:ascii="宋体" w:hAnsi="宋体" w:eastAsia="宋体" w:cs="宋体"/>
                <w:sz w:val="21"/>
                <w:szCs w:val="21"/>
                <w:lang w:bidi="ar"/>
              </w:rPr>
              <w:t>3</w:t>
            </w:r>
          </w:p>
        </w:tc>
        <w:tc>
          <w:tcPr>
            <w:tcW w:w="589" w:type="pct"/>
            <w:vMerge w:val="continue"/>
            <w:noWrap/>
            <w:tcMar>
              <w:top w:w="15" w:type="dxa"/>
              <w:left w:w="15" w:type="dxa"/>
              <w:right w:w="15" w:type="dxa"/>
            </w:tcMar>
            <w:vAlign w:val="center"/>
          </w:tcPr>
          <w:p>
            <w:pPr>
              <w:jc w:val="center"/>
              <w:textAlignment w:val="center"/>
              <w:rPr>
                <w:rFonts w:ascii="宋体" w:hAnsi="宋体" w:eastAsia="宋体" w:cs="宋体"/>
                <w:sz w:val="21"/>
                <w:szCs w:val="21"/>
                <w:lang w:bidi="ar"/>
              </w:rPr>
            </w:pPr>
          </w:p>
        </w:tc>
        <w:tc>
          <w:tcPr>
            <w:tcW w:w="725" w:type="pct"/>
            <w:noWrap/>
            <w:tcMar>
              <w:top w:w="15" w:type="dxa"/>
              <w:left w:w="15" w:type="dxa"/>
              <w:right w:w="15" w:type="dxa"/>
            </w:tcMar>
            <w:vAlign w:val="center"/>
          </w:tcPr>
          <w:p>
            <w:pPr>
              <w:jc w:val="center"/>
              <w:textAlignment w:val="center"/>
              <w:rPr>
                <w:rFonts w:ascii="宋体" w:hAnsi="宋体" w:eastAsia="宋体" w:cs="宋体"/>
                <w:sz w:val="21"/>
                <w:szCs w:val="21"/>
                <w:lang w:bidi="ar"/>
              </w:rPr>
            </w:pPr>
            <w:r>
              <w:rPr>
                <w:rFonts w:hint="eastAsia" w:ascii="宋体" w:hAnsi="宋体" w:eastAsia="宋体" w:cs="宋体"/>
                <w:sz w:val="21"/>
                <w:szCs w:val="21"/>
                <w:lang w:bidi="ar"/>
              </w:rPr>
              <w:t>放水建筑物</w:t>
            </w:r>
          </w:p>
        </w:tc>
        <w:tc>
          <w:tcPr>
            <w:tcW w:w="1136" w:type="pct"/>
            <w:tcMar>
              <w:top w:w="15" w:type="dxa"/>
              <w:left w:w="15" w:type="dxa"/>
              <w:right w:w="15" w:type="dxa"/>
            </w:tcMar>
            <w:vAlign w:val="center"/>
          </w:tcPr>
          <w:p>
            <w:pPr>
              <w:jc w:val="center"/>
              <w:textAlignment w:val="center"/>
              <w:rPr>
                <w:rFonts w:ascii="宋体" w:hAnsi="宋体" w:eastAsia="宋体" w:cs="宋体"/>
                <w:sz w:val="21"/>
                <w:szCs w:val="21"/>
              </w:rPr>
            </w:pPr>
            <w:r>
              <w:rPr>
                <w:rFonts w:hint="eastAsia" w:ascii="宋体" w:hAnsi="宋体" w:eastAsia="宋体" w:cs="宋体"/>
                <w:sz w:val="21"/>
                <w:szCs w:val="21"/>
              </w:rPr>
              <w:t>卧管（竖井）、        涵洞（涵管）</w:t>
            </w:r>
          </w:p>
        </w:tc>
        <w:tc>
          <w:tcPr>
            <w:tcW w:w="1109" w:type="pct"/>
            <w:tcMar>
              <w:top w:w="15" w:type="dxa"/>
              <w:left w:w="15" w:type="dxa"/>
              <w:right w:w="15" w:type="dxa"/>
            </w:tcMar>
            <w:vAlign w:val="center"/>
          </w:tcPr>
          <w:p>
            <w:pPr>
              <w:jc w:val="center"/>
              <w:textAlignment w:val="center"/>
              <w:rPr>
                <w:rFonts w:ascii="宋体" w:hAnsi="宋体" w:eastAsia="宋体" w:cs="宋体"/>
                <w:sz w:val="21"/>
                <w:szCs w:val="21"/>
              </w:rPr>
            </w:pPr>
            <w:r>
              <w:rPr>
                <w:rFonts w:hint="eastAsia" w:ascii="宋体" w:hAnsi="宋体" w:eastAsia="宋体" w:cs="宋体"/>
                <w:sz w:val="21"/>
                <w:szCs w:val="21"/>
              </w:rPr>
              <w:t>损坏或堵塞</w:t>
            </w:r>
          </w:p>
        </w:tc>
        <w:tc>
          <w:tcPr>
            <w:tcW w:w="1083" w:type="pct"/>
            <w:tcMar>
              <w:top w:w="15" w:type="dxa"/>
              <w:left w:w="15" w:type="dxa"/>
              <w:right w:w="15" w:type="dxa"/>
            </w:tcMar>
            <w:vAlign w:val="center"/>
          </w:tcPr>
          <w:p>
            <w:pPr>
              <w:jc w:val="center"/>
              <w:textAlignment w:val="center"/>
              <w:rPr>
                <w:rFonts w:ascii="宋体" w:hAnsi="宋体" w:eastAsia="宋体" w:cs="宋体"/>
                <w:sz w:val="21"/>
                <w:szCs w:val="21"/>
              </w:rPr>
            </w:pPr>
            <w:r>
              <w:rPr>
                <w:rFonts w:hint="eastAsia" w:ascii="宋体" w:hAnsi="宋体" w:eastAsia="宋体" w:cs="宋体"/>
                <w:sz w:val="21"/>
                <w:szCs w:val="21"/>
              </w:rPr>
              <w:t>失稳、溃坝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51" w:hRule="atLeast"/>
        </w:trPr>
        <w:tc>
          <w:tcPr>
            <w:tcW w:w="359" w:type="pct"/>
            <w:noWrap/>
            <w:tcMar>
              <w:top w:w="15" w:type="dxa"/>
              <w:left w:w="15" w:type="dxa"/>
              <w:right w:w="15" w:type="dxa"/>
            </w:tcMar>
            <w:vAlign w:val="center"/>
          </w:tcPr>
          <w:p>
            <w:pPr>
              <w:jc w:val="center"/>
              <w:textAlignment w:val="center"/>
              <w:rPr>
                <w:rFonts w:ascii="宋体" w:hAnsi="宋体" w:eastAsia="宋体" w:cs="宋体"/>
                <w:sz w:val="21"/>
                <w:szCs w:val="21"/>
                <w:lang w:bidi="ar"/>
              </w:rPr>
            </w:pPr>
            <w:r>
              <w:rPr>
                <w:rFonts w:ascii="宋体" w:hAnsi="宋体" w:eastAsia="宋体" w:cs="宋体"/>
                <w:sz w:val="21"/>
                <w:szCs w:val="21"/>
                <w:lang w:bidi="ar"/>
              </w:rPr>
              <w:t>4</w:t>
            </w:r>
          </w:p>
        </w:tc>
        <w:tc>
          <w:tcPr>
            <w:tcW w:w="589" w:type="pct"/>
            <w:vMerge w:val="continue"/>
            <w:noWrap/>
            <w:tcMar>
              <w:top w:w="15" w:type="dxa"/>
              <w:left w:w="15" w:type="dxa"/>
              <w:right w:w="15" w:type="dxa"/>
            </w:tcMar>
            <w:vAlign w:val="center"/>
          </w:tcPr>
          <w:p>
            <w:pPr>
              <w:widowControl w:val="0"/>
              <w:jc w:val="center"/>
              <w:rPr>
                <w:rFonts w:ascii="宋体" w:hAnsi="宋体" w:eastAsia="宋体" w:cs="宋体"/>
                <w:kern w:val="2"/>
                <w:sz w:val="21"/>
                <w:szCs w:val="21"/>
              </w:rPr>
            </w:pPr>
          </w:p>
        </w:tc>
        <w:tc>
          <w:tcPr>
            <w:tcW w:w="725" w:type="pct"/>
            <w:vMerge w:val="restart"/>
            <w:noWrap/>
            <w:tcMar>
              <w:top w:w="15" w:type="dxa"/>
              <w:left w:w="15" w:type="dxa"/>
              <w:right w:w="15" w:type="dxa"/>
            </w:tcMar>
            <w:vAlign w:val="center"/>
          </w:tcPr>
          <w:p>
            <w:pPr>
              <w:jc w:val="center"/>
              <w:textAlignment w:val="center"/>
              <w:rPr>
                <w:rFonts w:ascii="宋体" w:hAnsi="宋体" w:eastAsia="宋体" w:cs="宋体"/>
                <w:kern w:val="2"/>
                <w:sz w:val="21"/>
                <w:szCs w:val="21"/>
              </w:rPr>
            </w:pPr>
            <w:r>
              <w:rPr>
                <w:rFonts w:hint="eastAsia" w:ascii="宋体" w:hAnsi="宋体" w:eastAsia="宋体" w:cs="宋体"/>
                <w:sz w:val="21"/>
                <w:szCs w:val="21"/>
                <w:lang w:bidi="ar"/>
              </w:rPr>
              <w:t>泄洪建筑物</w:t>
            </w:r>
          </w:p>
        </w:tc>
        <w:tc>
          <w:tcPr>
            <w:tcW w:w="1136" w:type="pct"/>
            <w:tcMar>
              <w:top w:w="15" w:type="dxa"/>
              <w:left w:w="15" w:type="dxa"/>
              <w:right w:w="15" w:type="dxa"/>
            </w:tcMar>
            <w:vAlign w:val="center"/>
          </w:tcPr>
          <w:p>
            <w:pPr>
              <w:jc w:val="center"/>
              <w:rPr>
                <w:rFonts w:ascii="宋体" w:hAnsi="宋体" w:eastAsia="宋体" w:cs="宋体"/>
                <w:sz w:val="21"/>
                <w:szCs w:val="21"/>
              </w:rPr>
            </w:pPr>
            <w:r>
              <w:rPr>
                <w:rFonts w:hint="eastAsia" w:ascii="宋体" w:hAnsi="宋体" w:eastAsia="宋体" w:cs="宋体"/>
                <w:sz w:val="21"/>
                <w:szCs w:val="21"/>
              </w:rPr>
              <w:t>溢洪道、泄洪洞消能  设施</w:t>
            </w:r>
          </w:p>
        </w:tc>
        <w:tc>
          <w:tcPr>
            <w:tcW w:w="1109" w:type="pct"/>
            <w:tcMar>
              <w:top w:w="15" w:type="dxa"/>
              <w:left w:w="15" w:type="dxa"/>
              <w:right w:w="15" w:type="dxa"/>
            </w:tcMar>
            <w:vAlign w:val="center"/>
          </w:tcPr>
          <w:p>
            <w:pPr>
              <w:jc w:val="center"/>
              <w:textAlignment w:val="center"/>
              <w:rPr>
                <w:rFonts w:ascii="宋体" w:hAnsi="宋体" w:eastAsia="宋体" w:cs="宋体"/>
                <w:sz w:val="21"/>
                <w:szCs w:val="21"/>
              </w:rPr>
            </w:pPr>
            <w:r>
              <w:rPr>
                <w:rFonts w:hint="eastAsia" w:ascii="宋体" w:hAnsi="宋体" w:eastAsia="宋体" w:cs="宋体"/>
                <w:sz w:val="21"/>
                <w:szCs w:val="21"/>
              </w:rPr>
              <w:t>底部淘刷、淤积</w:t>
            </w:r>
          </w:p>
        </w:tc>
        <w:tc>
          <w:tcPr>
            <w:tcW w:w="1083" w:type="pct"/>
            <w:tcMar>
              <w:top w:w="15" w:type="dxa"/>
              <w:left w:w="15" w:type="dxa"/>
              <w:right w:w="15" w:type="dxa"/>
            </w:tcMar>
            <w:vAlign w:val="center"/>
          </w:tcPr>
          <w:p>
            <w:pPr>
              <w:jc w:val="center"/>
              <w:textAlignment w:val="center"/>
              <w:rPr>
                <w:rFonts w:ascii="宋体" w:hAnsi="宋体" w:eastAsia="宋体" w:cs="宋体"/>
                <w:sz w:val="21"/>
                <w:szCs w:val="21"/>
              </w:rPr>
            </w:pPr>
            <w:r>
              <w:rPr>
                <w:rFonts w:hint="eastAsia" w:ascii="宋体" w:hAnsi="宋体" w:eastAsia="宋体" w:cs="宋体"/>
                <w:sz w:val="21"/>
                <w:szCs w:val="21"/>
              </w:rPr>
              <w:t>开裂、破坏、沉陷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51" w:hRule="atLeast"/>
        </w:trPr>
        <w:tc>
          <w:tcPr>
            <w:tcW w:w="359" w:type="pct"/>
            <w:noWrap/>
            <w:tcMar>
              <w:top w:w="15" w:type="dxa"/>
              <w:left w:w="15" w:type="dxa"/>
              <w:right w:w="15" w:type="dxa"/>
            </w:tcMar>
            <w:vAlign w:val="center"/>
          </w:tcPr>
          <w:p>
            <w:pPr>
              <w:jc w:val="center"/>
              <w:textAlignment w:val="center"/>
              <w:rPr>
                <w:rFonts w:ascii="宋体" w:hAnsi="宋体" w:eastAsia="宋体" w:cs="宋体"/>
                <w:sz w:val="21"/>
                <w:szCs w:val="21"/>
                <w:lang w:bidi="ar"/>
              </w:rPr>
            </w:pPr>
            <w:r>
              <w:rPr>
                <w:rFonts w:hint="eastAsia" w:ascii="宋体" w:hAnsi="宋体" w:eastAsia="宋体" w:cs="宋体"/>
                <w:sz w:val="21"/>
                <w:szCs w:val="21"/>
                <w:lang w:bidi="ar"/>
              </w:rPr>
              <w:t>5</w:t>
            </w:r>
          </w:p>
        </w:tc>
        <w:tc>
          <w:tcPr>
            <w:tcW w:w="589" w:type="pct"/>
            <w:vMerge w:val="continue"/>
            <w:noWrap/>
            <w:tcMar>
              <w:top w:w="15" w:type="dxa"/>
              <w:left w:w="15" w:type="dxa"/>
              <w:right w:w="15" w:type="dxa"/>
            </w:tcMar>
            <w:vAlign w:val="center"/>
          </w:tcPr>
          <w:p>
            <w:pPr>
              <w:widowControl w:val="0"/>
              <w:jc w:val="center"/>
              <w:rPr>
                <w:rFonts w:ascii="宋体" w:hAnsi="宋体" w:eastAsia="宋体" w:cs="宋体"/>
                <w:kern w:val="2"/>
                <w:sz w:val="21"/>
                <w:szCs w:val="21"/>
              </w:rPr>
            </w:pPr>
          </w:p>
        </w:tc>
        <w:tc>
          <w:tcPr>
            <w:tcW w:w="725" w:type="pct"/>
            <w:vMerge w:val="continue"/>
            <w:noWrap/>
            <w:tcMar>
              <w:top w:w="15" w:type="dxa"/>
              <w:left w:w="15" w:type="dxa"/>
              <w:right w:w="15" w:type="dxa"/>
            </w:tcMar>
            <w:vAlign w:val="center"/>
          </w:tcPr>
          <w:p>
            <w:pPr>
              <w:jc w:val="center"/>
              <w:textAlignment w:val="center"/>
              <w:rPr>
                <w:rFonts w:ascii="宋体" w:hAnsi="宋体" w:eastAsia="宋体" w:cs="宋体"/>
                <w:sz w:val="21"/>
                <w:szCs w:val="21"/>
                <w:lang w:bidi="ar"/>
              </w:rPr>
            </w:pPr>
          </w:p>
        </w:tc>
        <w:tc>
          <w:tcPr>
            <w:tcW w:w="1136" w:type="pct"/>
            <w:tcMar>
              <w:top w:w="15" w:type="dxa"/>
              <w:left w:w="15" w:type="dxa"/>
              <w:right w:w="15" w:type="dxa"/>
            </w:tcMar>
            <w:vAlign w:val="center"/>
          </w:tcPr>
          <w:p>
            <w:pPr>
              <w:jc w:val="center"/>
              <w:rPr>
                <w:rFonts w:ascii="宋体" w:hAnsi="宋体" w:eastAsia="宋体" w:cs="宋体"/>
                <w:sz w:val="21"/>
                <w:szCs w:val="21"/>
              </w:rPr>
            </w:pPr>
            <w:r>
              <w:rPr>
                <w:rFonts w:hint="eastAsia" w:ascii="宋体" w:hAnsi="宋体" w:eastAsia="宋体" w:cs="宋体"/>
                <w:sz w:val="21"/>
                <w:szCs w:val="21"/>
              </w:rPr>
              <w:t>泄洪洞接缝、止水</w:t>
            </w:r>
          </w:p>
        </w:tc>
        <w:tc>
          <w:tcPr>
            <w:tcW w:w="1109" w:type="pct"/>
            <w:tcMar>
              <w:top w:w="15" w:type="dxa"/>
              <w:left w:w="15" w:type="dxa"/>
              <w:right w:w="15" w:type="dxa"/>
            </w:tcMar>
            <w:vAlign w:val="center"/>
          </w:tcPr>
          <w:p>
            <w:pPr>
              <w:jc w:val="center"/>
              <w:textAlignment w:val="center"/>
              <w:rPr>
                <w:rFonts w:ascii="宋体" w:hAnsi="宋体" w:eastAsia="宋体" w:cs="宋体"/>
                <w:sz w:val="21"/>
                <w:szCs w:val="21"/>
              </w:rPr>
            </w:pPr>
            <w:r>
              <w:rPr>
                <w:rFonts w:hint="eastAsia" w:ascii="宋体" w:hAnsi="宋体" w:eastAsia="宋体" w:cs="宋体"/>
                <w:sz w:val="21"/>
                <w:szCs w:val="21"/>
              </w:rPr>
              <w:t>破损、失效</w:t>
            </w:r>
          </w:p>
        </w:tc>
        <w:tc>
          <w:tcPr>
            <w:tcW w:w="1083" w:type="pct"/>
            <w:tcMar>
              <w:top w:w="15" w:type="dxa"/>
              <w:left w:w="15" w:type="dxa"/>
              <w:right w:w="15" w:type="dxa"/>
            </w:tcMar>
            <w:vAlign w:val="center"/>
          </w:tcPr>
          <w:p>
            <w:pPr>
              <w:jc w:val="center"/>
              <w:textAlignment w:val="center"/>
              <w:rPr>
                <w:rFonts w:ascii="宋体" w:hAnsi="宋体" w:eastAsia="宋体" w:cs="宋体"/>
                <w:sz w:val="21"/>
                <w:szCs w:val="21"/>
              </w:rPr>
            </w:pPr>
            <w:r>
              <w:rPr>
                <w:rFonts w:hint="eastAsia" w:ascii="宋体" w:hAnsi="宋体" w:eastAsia="宋体" w:cs="宋体"/>
                <w:sz w:val="21"/>
                <w:szCs w:val="21"/>
              </w:rPr>
              <w:t>结构破坏、失稳、    溃坝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51" w:hRule="atLeast"/>
        </w:trPr>
        <w:tc>
          <w:tcPr>
            <w:tcW w:w="359" w:type="pct"/>
            <w:noWrap/>
            <w:tcMar>
              <w:top w:w="15" w:type="dxa"/>
              <w:left w:w="15" w:type="dxa"/>
              <w:right w:w="15" w:type="dxa"/>
            </w:tcMar>
            <w:vAlign w:val="center"/>
          </w:tcPr>
          <w:p>
            <w:pPr>
              <w:jc w:val="center"/>
              <w:textAlignment w:val="center"/>
              <w:rPr>
                <w:rFonts w:ascii="宋体" w:hAnsi="宋体" w:eastAsia="宋体" w:cs="宋体"/>
                <w:kern w:val="2"/>
                <w:sz w:val="21"/>
                <w:szCs w:val="21"/>
              </w:rPr>
            </w:pPr>
            <w:r>
              <w:rPr>
                <w:rFonts w:ascii="宋体" w:hAnsi="宋体" w:eastAsia="宋体" w:cs="宋体"/>
                <w:sz w:val="21"/>
                <w:szCs w:val="21"/>
                <w:lang w:bidi="ar"/>
              </w:rPr>
              <w:t>6</w:t>
            </w:r>
          </w:p>
        </w:tc>
        <w:tc>
          <w:tcPr>
            <w:tcW w:w="589" w:type="pct"/>
            <w:vMerge w:val="restart"/>
            <w:noWrap/>
            <w:tcMar>
              <w:top w:w="15" w:type="dxa"/>
              <w:left w:w="15" w:type="dxa"/>
              <w:right w:w="15" w:type="dxa"/>
            </w:tcMar>
            <w:vAlign w:val="center"/>
          </w:tcPr>
          <w:p>
            <w:pPr>
              <w:jc w:val="center"/>
              <w:textAlignment w:val="center"/>
              <w:rPr>
                <w:rFonts w:ascii="宋体" w:hAnsi="宋体" w:eastAsia="宋体" w:cs="宋体"/>
                <w:kern w:val="2"/>
                <w:sz w:val="21"/>
                <w:szCs w:val="21"/>
              </w:rPr>
            </w:pPr>
            <w:r>
              <w:rPr>
                <w:rFonts w:hint="eastAsia" w:ascii="宋体" w:hAnsi="宋体" w:eastAsia="宋体" w:cs="宋体"/>
                <w:sz w:val="21"/>
                <w:szCs w:val="21"/>
                <w:lang w:bidi="ar"/>
              </w:rPr>
              <w:t>环境类</w:t>
            </w:r>
          </w:p>
        </w:tc>
        <w:tc>
          <w:tcPr>
            <w:tcW w:w="725" w:type="pct"/>
            <w:vMerge w:val="restart"/>
            <w:noWrap/>
            <w:tcMar>
              <w:top w:w="15" w:type="dxa"/>
              <w:left w:w="15" w:type="dxa"/>
              <w:right w:w="15" w:type="dxa"/>
            </w:tcMar>
            <w:vAlign w:val="center"/>
          </w:tcPr>
          <w:p>
            <w:pPr>
              <w:jc w:val="center"/>
              <w:textAlignment w:val="center"/>
              <w:rPr>
                <w:rFonts w:ascii="宋体" w:hAnsi="宋体" w:eastAsia="宋体" w:cs="宋体"/>
                <w:kern w:val="2"/>
                <w:sz w:val="21"/>
                <w:szCs w:val="21"/>
              </w:rPr>
            </w:pPr>
            <w:r>
              <w:rPr>
                <w:rFonts w:hint="eastAsia" w:ascii="宋体" w:hAnsi="宋体" w:eastAsia="宋体" w:cs="宋体"/>
                <w:sz w:val="21"/>
                <w:szCs w:val="21"/>
                <w:lang w:bidi="ar"/>
              </w:rPr>
              <w:t>自然环境</w:t>
            </w:r>
          </w:p>
        </w:tc>
        <w:tc>
          <w:tcPr>
            <w:tcW w:w="1136" w:type="pct"/>
            <w:noWrap/>
            <w:tcMar>
              <w:top w:w="15" w:type="dxa"/>
              <w:left w:w="15" w:type="dxa"/>
              <w:right w:w="15" w:type="dxa"/>
            </w:tcMar>
            <w:vAlign w:val="center"/>
          </w:tcPr>
          <w:p>
            <w:pPr>
              <w:jc w:val="center"/>
              <w:textAlignment w:val="center"/>
              <w:rPr>
                <w:rFonts w:ascii="宋体" w:hAnsi="宋体" w:eastAsia="宋体" w:cs="宋体"/>
                <w:kern w:val="2"/>
                <w:sz w:val="21"/>
                <w:szCs w:val="21"/>
              </w:rPr>
            </w:pPr>
            <w:r>
              <w:rPr>
                <w:rFonts w:hint="eastAsia" w:ascii="宋体" w:hAnsi="宋体" w:eastAsia="宋体" w:cs="宋体"/>
                <w:sz w:val="21"/>
                <w:szCs w:val="21"/>
                <w:lang w:bidi="ar"/>
              </w:rPr>
              <w:t>山洪、泥石流、       山体滑坡等</w:t>
            </w:r>
          </w:p>
        </w:tc>
        <w:tc>
          <w:tcPr>
            <w:tcW w:w="1109" w:type="pct"/>
            <w:tcMar>
              <w:top w:w="15" w:type="dxa"/>
              <w:left w:w="15" w:type="dxa"/>
              <w:right w:w="15" w:type="dxa"/>
            </w:tcMar>
            <w:vAlign w:val="center"/>
          </w:tcPr>
          <w:p>
            <w:pPr>
              <w:jc w:val="center"/>
              <w:textAlignment w:val="center"/>
              <w:rPr>
                <w:rFonts w:ascii="宋体" w:hAnsi="宋体" w:eastAsia="宋体" w:cs="宋体"/>
                <w:sz w:val="21"/>
                <w:szCs w:val="21"/>
                <w:lang w:bidi="ar"/>
              </w:rPr>
            </w:pPr>
            <w:r>
              <w:rPr>
                <w:rFonts w:hint="eastAsia" w:ascii="宋体" w:hAnsi="宋体" w:eastAsia="宋体" w:cs="宋体"/>
                <w:sz w:val="21"/>
                <w:szCs w:val="21"/>
                <w:lang w:bidi="ar"/>
              </w:rPr>
              <w:t>发生自然灾害</w:t>
            </w:r>
          </w:p>
        </w:tc>
        <w:tc>
          <w:tcPr>
            <w:tcW w:w="1083" w:type="pct"/>
            <w:tcMar>
              <w:top w:w="15" w:type="dxa"/>
              <w:left w:w="15" w:type="dxa"/>
              <w:right w:w="15" w:type="dxa"/>
            </w:tcMar>
            <w:vAlign w:val="center"/>
          </w:tcPr>
          <w:p>
            <w:pPr>
              <w:jc w:val="center"/>
              <w:textAlignment w:val="center"/>
              <w:rPr>
                <w:rFonts w:ascii="宋体" w:hAnsi="宋体" w:eastAsia="宋体" w:cs="宋体"/>
                <w:kern w:val="2"/>
                <w:sz w:val="21"/>
                <w:szCs w:val="21"/>
              </w:rPr>
            </w:pPr>
            <w:r>
              <w:rPr>
                <w:rFonts w:hint="eastAsia" w:ascii="宋体" w:hAnsi="宋体" w:eastAsia="宋体" w:cs="宋体"/>
                <w:sz w:val="21"/>
                <w:szCs w:val="21"/>
                <w:lang w:bidi="ar"/>
              </w:rPr>
              <w:t>工程损（破）坏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51" w:hRule="atLeast"/>
        </w:trPr>
        <w:tc>
          <w:tcPr>
            <w:tcW w:w="359" w:type="pct"/>
            <w:noWrap/>
            <w:tcMar>
              <w:top w:w="15" w:type="dxa"/>
              <w:left w:w="15" w:type="dxa"/>
              <w:right w:w="15" w:type="dxa"/>
            </w:tcMar>
            <w:vAlign w:val="center"/>
          </w:tcPr>
          <w:p>
            <w:pPr>
              <w:jc w:val="center"/>
              <w:textAlignment w:val="center"/>
              <w:rPr>
                <w:rFonts w:ascii="宋体" w:hAnsi="宋体" w:eastAsia="宋体" w:cs="宋体"/>
                <w:sz w:val="21"/>
                <w:szCs w:val="21"/>
                <w:lang w:bidi="ar"/>
              </w:rPr>
            </w:pPr>
            <w:r>
              <w:rPr>
                <w:rFonts w:ascii="宋体" w:hAnsi="宋体" w:eastAsia="宋体" w:cs="宋体"/>
                <w:sz w:val="21"/>
                <w:szCs w:val="21"/>
                <w:lang w:bidi="ar"/>
              </w:rPr>
              <w:t>7</w:t>
            </w:r>
          </w:p>
        </w:tc>
        <w:tc>
          <w:tcPr>
            <w:tcW w:w="589" w:type="pct"/>
            <w:vMerge w:val="continue"/>
            <w:noWrap/>
            <w:tcMar>
              <w:top w:w="15" w:type="dxa"/>
              <w:left w:w="15" w:type="dxa"/>
              <w:right w:w="15" w:type="dxa"/>
            </w:tcMar>
            <w:vAlign w:val="center"/>
          </w:tcPr>
          <w:p>
            <w:pPr>
              <w:jc w:val="center"/>
              <w:textAlignment w:val="center"/>
              <w:rPr>
                <w:rFonts w:ascii="宋体" w:hAnsi="宋体" w:eastAsia="宋体" w:cs="宋体"/>
                <w:sz w:val="21"/>
                <w:szCs w:val="21"/>
                <w:lang w:bidi="ar"/>
              </w:rPr>
            </w:pPr>
          </w:p>
        </w:tc>
        <w:tc>
          <w:tcPr>
            <w:tcW w:w="725" w:type="pct"/>
            <w:vMerge w:val="continue"/>
            <w:noWrap/>
            <w:tcMar>
              <w:top w:w="15" w:type="dxa"/>
              <w:left w:w="15" w:type="dxa"/>
              <w:right w:w="15" w:type="dxa"/>
            </w:tcMar>
            <w:vAlign w:val="center"/>
          </w:tcPr>
          <w:p>
            <w:pPr>
              <w:jc w:val="center"/>
              <w:textAlignment w:val="center"/>
              <w:rPr>
                <w:rFonts w:ascii="宋体" w:hAnsi="宋体" w:eastAsia="宋体" w:cs="宋体"/>
                <w:sz w:val="21"/>
                <w:szCs w:val="21"/>
                <w:lang w:bidi="ar"/>
              </w:rPr>
            </w:pPr>
          </w:p>
        </w:tc>
        <w:tc>
          <w:tcPr>
            <w:tcW w:w="1136" w:type="pct"/>
            <w:noWrap/>
            <w:tcMar>
              <w:top w:w="15" w:type="dxa"/>
              <w:left w:w="15" w:type="dxa"/>
              <w:right w:w="15" w:type="dxa"/>
            </w:tcMar>
            <w:vAlign w:val="center"/>
          </w:tcPr>
          <w:p>
            <w:pPr>
              <w:jc w:val="center"/>
              <w:textAlignment w:val="center"/>
              <w:rPr>
                <w:rFonts w:ascii="宋体" w:hAnsi="宋体" w:eastAsia="宋体" w:cs="宋体"/>
                <w:sz w:val="21"/>
                <w:szCs w:val="21"/>
                <w:lang w:bidi="ar"/>
              </w:rPr>
            </w:pPr>
            <w:r>
              <w:rPr>
                <w:rFonts w:hint="eastAsia" w:ascii="宋体" w:hAnsi="宋体" w:eastAsia="宋体" w:cs="宋体"/>
                <w:sz w:val="21"/>
                <w:szCs w:val="21"/>
                <w:lang w:bidi="ar"/>
              </w:rPr>
              <w:t>超标准洪水</w:t>
            </w:r>
          </w:p>
        </w:tc>
        <w:tc>
          <w:tcPr>
            <w:tcW w:w="1109" w:type="pct"/>
            <w:tcMar>
              <w:top w:w="15" w:type="dxa"/>
              <w:left w:w="15" w:type="dxa"/>
              <w:right w:w="15" w:type="dxa"/>
            </w:tcMar>
            <w:vAlign w:val="center"/>
          </w:tcPr>
          <w:p>
            <w:pPr>
              <w:jc w:val="center"/>
              <w:textAlignment w:val="center"/>
              <w:rPr>
                <w:rFonts w:ascii="宋体" w:hAnsi="宋体" w:eastAsia="宋体" w:cs="宋体"/>
                <w:sz w:val="21"/>
                <w:szCs w:val="21"/>
                <w:lang w:bidi="ar"/>
              </w:rPr>
            </w:pPr>
            <w:r>
              <w:rPr>
                <w:rFonts w:hint="eastAsia" w:ascii="宋体" w:hAnsi="宋体" w:eastAsia="宋体" w:cs="宋体"/>
                <w:sz w:val="21"/>
                <w:szCs w:val="21"/>
                <w:lang w:bidi="ar"/>
              </w:rPr>
              <w:t>超校核洪水位</w:t>
            </w:r>
          </w:p>
        </w:tc>
        <w:tc>
          <w:tcPr>
            <w:tcW w:w="1083" w:type="pct"/>
            <w:tcMar>
              <w:top w:w="15" w:type="dxa"/>
              <w:left w:w="15" w:type="dxa"/>
              <w:right w:w="15" w:type="dxa"/>
            </w:tcMar>
            <w:vAlign w:val="center"/>
          </w:tcPr>
          <w:p>
            <w:pPr>
              <w:jc w:val="center"/>
              <w:textAlignment w:val="center"/>
              <w:rPr>
                <w:rFonts w:ascii="宋体" w:hAnsi="宋体" w:eastAsia="宋体" w:cs="宋体"/>
                <w:sz w:val="21"/>
                <w:szCs w:val="21"/>
                <w:lang w:bidi="ar"/>
              </w:rPr>
            </w:pPr>
            <w:r>
              <w:rPr>
                <w:rFonts w:hint="eastAsia" w:ascii="宋体" w:hAnsi="宋体" w:eastAsia="宋体" w:cs="宋体"/>
                <w:sz w:val="21"/>
                <w:szCs w:val="21"/>
                <w:lang w:bidi="ar"/>
              </w:rPr>
              <w:t>工程损（破）坏</w:t>
            </w:r>
          </w:p>
        </w:tc>
      </w:tr>
    </w:tbl>
    <w:p>
      <w:pPr>
        <w:widowControl w:val="0"/>
        <w:rPr>
          <w:rFonts w:ascii="Calibri" w:hAnsi="Calibri" w:eastAsia="宋体" w:cs="Calibri"/>
          <w:kern w:val="2"/>
          <w:sz w:val="21"/>
          <w:szCs w:val="21"/>
        </w:rPr>
      </w:pPr>
    </w:p>
    <w:p>
      <w:pPr>
        <w:widowControl w:val="0"/>
        <w:ind w:firstLine="640" w:firstLineChars="200"/>
        <w:rPr>
          <w:rFonts w:ascii="仿宋" w:hAnsi="仿宋" w:eastAsia="仿宋" w:cs="仿宋"/>
          <w:kern w:val="2"/>
        </w:rPr>
      </w:pPr>
    </w:p>
    <w:p>
      <w:pPr>
        <w:widowControl w:val="0"/>
        <w:rPr>
          <w:rFonts w:ascii="仿宋" w:hAnsi="仿宋" w:eastAsia="仿宋" w:cs="仿宋"/>
          <w:kern w:val="2"/>
        </w:rPr>
      </w:pPr>
    </w:p>
    <w:p>
      <w:pPr>
        <w:widowControl w:val="0"/>
        <w:rPr>
          <w:rFonts w:ascii="Calibri" w:hAnsi="Calibri" w:eastAsia="宋体" w:cs="Calibri"/>
          <w:kern w:val="2"/>
          <w:sz w:val="21"/>
          <w:szCs w:val="21"/>
        </w:rPr>
      </w:pPr>
    </w:p>
    <w:p>
      <w:pPr>
        <w:widowControl w:val="0"/>
        <w:rPr>
          <w:rFonts w:ascii="Calibri" w:hAnsi="Calibri" w:eastAsia="宋体" w:cs="Calibri"/>
          <w:kern w:val="2"/>
          <w:sz w:val="21"/>
          <w:szCs w:val="21"/>
        </w:rPr>
      </w:pPr>
    </w:p>
    <w:p>
      <w:pPr>
        <w:widowControl w:val="0"/>
        <w:rPr>
          <w:rFonts w:ascii="Calibri" w:hAnsi="Calibri" w:eastAsia="宋体" w:cs="Calibri"/>
          <w:kern w:val="2"/>
          <w:sz w:val="21"/>
          <w:szCs w:val="21"/>
        </w:rPr>
      </w:pPr>
    </w:p>
    <w:p>
      <w:pPr>
        <w:widowControl w:val="0"/>
        <w:tabs>
          <w:tab w:val="left" w:pos="6744"/>
        </w:tabs>
        <w:jc w:val="left"/>
        <w:rPr>
          <w:rFonts w:ascii="Calibri" w:hAnsi="Calibri" w:eastAsia="宋体" w:cs="Calibri"/>
          <w:kern w:val="2"/>
          <w:sz w:val="21"/>
          <w:szCs w:val="21"/>
        </w:rPr>
      </w:pPr>
      <w:r>
        <w:rPr>
          <w:rFonts w:hint="eastAsia" w:ascii="Calibri" w:hAnsi="Calibri" w:eastAsia="宋体" w:cs="Calibri"/>
          <w:kern w:val="2"/>
          <w:sz w:val="21"/>
          <w:szCs w:val="21"/>
        </w:rPr>
        <w:tab/>
      </w:r>
    </w:p>
    <w:p>
      <w:pPr>
        <w:rPr>
          <w:rFonts w:asciiTheme="minorEastAsia" w:hAnsiTheme="minorEastAsia" w:eastAsiaTheme="minorEastAsia"/>
          <w:sz w:val="21"/>
          <w:szCs w:val="21"/>
        </w:rPr>
        <w:sectPr>
          <w:pgSz w:w="11906" w:h="16838"/>
          <w:pgMar w:top="1440" w:right="1797" w:bottom="1440" w:left="1797" w:header="851" w:footer="992" w:gutter="0"/>
          <w:cols w:space="425" w:num="1"/>
          <w:docGrid w:type="lines" w:linePitch="435" w:charSpace="0"/>
        </w:sectPr>
      </w:pPr>
    </w:p>
    <w:p>
      <w:pPr>
        <w:jc w:val="center"/>
        <w:outlineLvl w:val="0"/>
        <w:rPr>
          <w:rFonts w:ascii="方正小标宋_GBK" w:hAnsi="黑体" w:eastAsia="方正小标宋_GBK"/>
          <w:b/>
          <w:bCs/>
          <w:sz w:val="28"/>
          <w:szCs w:val="28"/>
        </w:rPr>
      </w:pPr>
      <w:bookmarkStart w:id="133" w:name="_Hlk117456067"/>
      <w:bookmarkStart w:id="134" w:name="_Toc117541317"/>
      <w:bookmarkStart w:id="135" w:name="_Toc119336598"/>
      <w:r>
        <w:rPr>
          <w:rFonts w:hint="eastAsia" w:ascii="方正小标宋_GBK" w:hAnsi="黑体" w:eastAsia="方正小标宋_GBK"/>
          <w:b/>
          <w:bCs/>
          <w:sz w:val="28"/>
          <w:szCs w:val="28"/>
        </w:rPr>
        <w:t>附录A.13</w:t>
      </w:r>
      <w:bookmarkEnd w:id="133"/>
      <w:bookmarkEnd w:id="134"/>
      <w:bookmarkEnd w:id="135"/>
    </w:p>
    <w:p>
      <w:pPr>
        <w:jc w:val="center"/>
        <w:rPr>
          <w:rFonts w:ascii="方正小标宋_GBK" w:hAnsi="黑体" w:eastAsia="方正小标宋_GBK"/>
          <w:b/>
          <w:bCs/>
          <w:sz w:val="28"/>
          <w:szCs w:val="28"/>
        </w:rPr>
      </w:pPr>
      <w:r>
        <w:rPr>
          <w:rFonts w:hint="eastAsia" w:ascii="方正小标宋_GBK" w:hAnsi="黑体" w:eastAsia="方正小标宋_GBK"/>
          <w:b/>
          <w:bCs/>
          <w:sz w:val="28"/>
          <w:szCs w:val="28"/>
        </w:rPr>
        <w:t>（资料性附录）</w:t>
      </w:r>
    </w:p>
    <w:p>
      <w:pPr>
        <w:jc w:val="center"/>
        <w:rPr>
          <w:rFonts w:ascii="方正小标宋_GBK" w:hAnsi="黑体" w:eastAsia="方正小标宋_GBK"/>
          <w:b/>
          <w:bCs/>
          <w:sz w:val="28"/>
          <w:szCs w:val="28"/>
        </w:rPr>
      </w:pPr>
    </w:p>
    <w:p>
      <w:pPr>
        <w:jc w:val="center"/>
        <w:outlineLvl w:val="1"/>
        <w:rPr>
          <w:rFonts w:ascii="方正小标宋_GBK" w:hAnsi="黑体" w:eastAsia="方正小标宋_GBK"/>
          <w:b/>
          <w:bCs/>
          <w:sz w:val="28"/>
          <w:szCs w:val="28"/>
        </w:rPr>
      </w:pPr>
      <w:bookmarkStart w:id="136" w:name="_Toc119336599"/>
      <w:bookmarkStart w:id="137" w:name="_Toc117541318"/>
      <w:r>
        <w:rPr>
          <w:rFonts w:hint="eastAsia" w:ascii="方正小标宋_GBK" w:hAnsi="黑体" w:eastAsia="方正小标宋_GBK"/>
          <w:b/>
          <w:bCs/>
          <w:sz w:val="28"/>
          <w:szCs w:val="28"/>
        </w:rPr>
        <w:t>堤防工程运行一般危险源风险评价赋分表（指南）</w:t>
      </w:r>
      <w:bookmarkEnd w:id="136"/>
      <w:bookmarkEnd w:id="137"/>
    </w:p>
    <w:tbl>
      <w:tblPr>
        <w:tblStyle w:val="34"/>
        <w:tblW w:w="14323"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83"/>
        <w:gridCol w:w="1064"/>
        <w:gridCol w:w="1103"/>
        <w:gridCol w:w="1707"/>
        <w:gridCol w:w="2410"/>
        <w:gridCol w:w="2165"/>
        <w:gridCol w:w="889"/>
        <w:gridCol w:w="904"/>
        <w:gridCol w:w="715"/>
        <w:gridCol w:w="775"/>
        <w:gridCol w:w="1014"/>
        <w:gridCol w:w="89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20" w:hRule="atLeast"/>
          <w:tblHeader/>
        </w:trPr>
        <w:tc>
          <w:tcPr>
            <w:tcW w:w="683" w:type="dxa"/>
            <w:noWrap/>
            <w:tcMar>
              <w:top w:w="15" w:type="dxa"/>
              <w:left w:w="15" w:type="dxa"/>
              <w:right w:w="15" w:type="dxa"/>
            </w:tcMar>
            <w:vAlign w:val="center"/>
          </w:tcPr>
          <w:p>
            <w:pPr>
              <w:snapToGrid w:val="0"/>
              <w:jc w:val="center"/>
              <w:textAlignment w:val="center"/>
              <w:rPr>
                <w:rFonts w:ascii="宋体" w:hAnsi="宋体" w:eastAsia="宋体" w:cs="黑体"/>
                <w:b/>
                <w:kern w:val="2"/>
                <w:sz w:val="20"/>
                <w:szCs w:val="20"/>
              </w:rPr>
            </w:pPr>
            <w:r>
              <w:rPr>
                <w:rFonts w:hint="eastAsia" w:ascii="宋体" w:hAnsi="宋体" w:eastAsia="宋体" w:cs="黑体"/>
                <w:b/>
                <w:sz w:val="20"/>
                <w:szCs w:val="20"/>
                <w:lang w:bidi="ar"/>
              </w:rPr>
              <w:t>序号</w:t>
            </w:r>
          </w:p>
        </w:tc>
        <w:tc>
          <w:tcPr>
            <w:tcW w:w="1064" w:type="dxa"/>
            <w:noWrap/>
            <w:tcMar>
              <w:top w:w="15" w:type="dxa"/>
              <w:left w:w="15" w:type="dxa"/>
              <w:right w:w="15" w:type="dxa"/>
            </w:tcMar>
            <w:vAlign w:val="center"/>
          </w:tcPr>
          <w:p>
            <w:pPr>
              <w:snapToGrid w:val="0"/>
              <w:jc w:val="center"/>
              <w:textAlignment w:val="center"/>
              <w:rPr>
                <w:rFonts w:ascii="宋体" w:hAnsi="宋体" w:eastAsia="宋体" w:cs="黑体"/>
                <w:b/>
                <w:kern w:val="2"/>
                <w:sz w:val="20"/>
                <w:szCs w:val="20"/>
              </w:rPr>
            </w:pPr>
            <w:r>
              <w:rPr>
                <w:rFonts w:hint="eastAsia" w:ascii="宋体" w:hAnsi="宋体" w:eastAsia="宋体" w:cs="黑体"/>
                <w:b/>
                <w:sz w:val="20"/>
                <w:szCs w:val="20"/>
                <w:lang w:bidi="ar"/>
              </w:rPr>
              <w:t>类别</w:t>
            </w:r>
          </w:p>
        </w:tc>
        <w:tc>
          <w:tcPr>
            <w:tcW w:w="1103" w:type="dxa"/>
            <w:noWrap/>
            <w:tcMar>
              <w:top w:w="15" w:type="dxa"/>
              <w:left w:w="15" w:type="dxa"/>
              <w:right w:w="15" w:type="dxa"/>
            </w:tcMar>
            <w:vAlign w:val="center"/>
          </w:tcPr>
          <w:p>
            <w:pPr>
              <w:snapToGrid w:val="0"/>
              <w:jc w:val="center"/>
              <w:textAlignment w:val="center"/>
              <w:rPr>
                <w:rFonts w:ascii="宋体" w:hAnsi="宋体" w:eastAsia="宋体" w:cs="黑体"/>
                <w:b/>
                <w:kern w:val="2"/>
                <w:sz w:val="20"/>
                <w:szCs w:val="20"/>
              </w:rPr>
            </w:pPr>
            <w:r>
              <w:rPr>
                <w:rFonts w:hint="eastAsia" w:ascii="宋体" w:hAnsi="宋体" w:eastAsia="宋体" w:cs="黑体"/>
                <w:b/>
                <w:sz w:val="20"/>
                <w:szCs w:val="20"/>
                <w:lang w:bidi="ar"/>
              </w:rPr>
              <w:t>项  目</w:t>
            </w:r>
          </w:p>
        </w:tc>
        <w:tc>
          <w:tcPr>
            <w:tcW w:w="1707" w:type="dxa"/>
            <w:tcBorders>
              <w:right w:val="single" w:color="auto" w:sz="4" w:space="0"/>
            </w:tcBorders>
            <w:noWrap/>
            <w:tcMar>
              <w:top w:w="15" w:type="dxa"/>
              <w:left w:w="15" w:type="dxa"/>
              <w:right w:w="15" w:type="dxa"/>
            </w:tcMar>
            <w:vAlign w:val="center"/>
          </w:tcPr>
          <w:p>
            <w:pPr>
              <w:snapToGrid w:val="0"/>
              <w:jc w:val="center"/>
              <w:textAlignment w:val="center"/>
              <w:rPr>
                <w:rFonts w:ascii="宋体" w:hAnsi="宋体" w:eastAsia="宋体" w:cs="黑体"/>
                <w:b/>
                <w:kern w:val="2"/>
                <w:sz w:val="20"/>
                <w:szCs w:val="20"/>
              </w:rPr>
            </w:pPr>
            <w:r>
              <w:rPr>
                <w:rFonts w:hint="eastAsia" w:ascii="宋体" w:hAnsi="宋体" w:eastAsia="宋体" w:cs="黑体"/>
                <w:b/>
                <w:sz w:val="20"/>
                <w:szCs w:val="20"/>
                <w:lang w:bidi="ar"/>
              </w:rPr>
              <w:t>一般危险源</w:t>
            </w:r>
          </w:p>
        </w:tc>
        <w:tc>
          <w:tcPr>
            <w:tcW w:w="2410" w:type="dxa"/>
            <w:tcBorders>
              <w:left w:val="single" w:color="auto" w:sz="4" w:space="0"/>
            </w:tcBorders>
            <w:noWrap/>
            <w:tcMar>
              <w:top w:w="15" w:type="dxa"/>
              <w:left w:w="15" w:type="dxa"/>
              <w:right w:w="15" w:type="dxa"/>
            </w:tcMar>
            <w:vAlign w:val="center"/>
          </w:tcPr>
          <w:p>
            <w:pPr>
              <w:snapToGrid w:val="0"/>
              <w:jc w:val="center"/>
              <w:textAlignment w:val="center"/>
              <w:rPr>
                <w:rFonts w:ascii="宋体" w:hAnsi="宋体" w:eastAsia="宋体" w:cs="黑体"/>
                <w:b/>
                <w:kern w:val="2"/>
                <w:sz w:val="20"/>
                <w:szCs w:val="20"/>
              </w:rPr>
            </w:pPr>
            <w:r>
              <w:rPr>
                <w:rFonts w:hint="eastAsia" w:ascii="宋体" w:hAnsi="宋体" w:eastAsia="宋体" w:cs="黑体"/>
                <w:b/>
                <w:sz w:val="20"/>
                <w:szCs w:val="20"/>
                <w:lang w:bidi="ar"/>
              </w:rPr>
              <w:t>事故诱因</w:t>
            </w:r>
          </w:p>
        </w:tc>
        <w:tc>
          <w:tcPr>
            <w:tcW w:w="2165" w:type="dxa"/>
            <w:noWrap/>
            <w:tcMar>
              <w:top w:w="15" w:type="dxa"/>
              <w:left w:w="15" w:type="dxa"/>
              <w:right w:w="15" w:type="dxa"/>
            </w:tcMar>
            <w:vAlign w:val="center"/>
          </w:tcPr>
          <w:p>
            <w:pPr>
              <w:snapToGrid w:val="0"/>
              <w:jc w:val="center"/>
              <w:textAlignment w:val="center"/>
              <w:rPr>
                <w:rFonts w:ascii="宋体" w:hAnsi="宋体" w:eastAsia="宋体" w:cs="黑体"/>
                <w:b/>
                <w:kern w:val="2"/>
                <w:sz w:val="20"/>
                <w:szCs w:val="20"/>
              </w:rPr>
            </w:pPr>
            <w:r>
              <w:rPr>
                <w:rFonts w:hint="eastAsia" w:ascii="宋体" w:hAnsi="宋体" w:eastAsia="宋体" w:cs="黑体"/>
                <w:b/>
                <w:sz w:val="20"/>
                <w:szCs w:val="20"/>
                <w:lang w:bidi="ar"/>
              </w:rPr>
              <w:t>可能导致的后果</w:t>
            </w:r>
          </w:p>
        </w:tc>
        <w:tc>
          <w:tcPr>
            <w:tcW w:w="889" w:type="dxa"/>
            <w:tcBorders>
              <w:right w:val="single" w:color="auto" w:sz="4" w:space="0"/>
            </w:tcBorders>
            <w:tcMar>
              <w:top w:w="15" w:type="dxa"/>
              <w:left w:w="15" w:type="dxa"/>
              <w:right w:w="15" w:type="dxa"/>
            </w:tcMar>
            <w:vAlign w:val="center"/>
          </w:tcPr>
          <w:p>
            <w:pPr>
              <w:snapToGrid w:val="0"/>
              <w:jc w:val="center"/>
              <w:textAlignment w:val="center"/>
              <w:rPr>
                <w:rFonts w:ascii="宋体" w:hAnsi="宋体" w:eastAsia="宋体" w:cs="黑体"/>
                <w:b/>
                <w:kern w:val="2"/>
                <w:sz w:val="20"/>
                <w:szCs w:val="20"/>
              </w:rPr>
            </w:pPr>
            <w:r>
              <w:rPr>
                <w:rFonts w:hint="eastAsia" w:ascii="宋体" w:hAnsi="宋体" w:eastAsia="宋体" w:cs="黑体"/>
                <w:b/>
                <w:sz w:val="20"/>
                <w:szCs w:val="20"/>
                <w:lang w:bidi="ar"/>
              </w:rPr>
              <w:t>风险评价方法</w:t>
            </w:r>
          </w:p>
        </w:tc>
        <w:tc>
          <w:tcPr>
            <w:tcW w:w="904" w:type="dxa"/>
            <w:tcBorders>
              <w:left w:val="single" w:color="auto" w:sz="4" w:space="0"/>
              <w:right w:val="single" w:color="auto" w:sz="4" w:space="0"/>
            </w:tcBorders>
            <w:tcMar>
              <w:top w:w="15" w:type="dxa"/>
              <w:left w:w="15" w:type="dxa"/>
              <w:right w:w="15" w:type="dxa"/>
            </w:tcMar>
            <w:vAlign w:val="center"/>
          </w:tcPr>
          <w:p>
            <w:pPr>
              <w:snapToGrid w:val="0"/>
              <w:jc w:val="center"/>
              <w:textAlignment w:val="center"/>
              <w:rPr>
                <w:rFonts w:ascii="宋体" w:hAnsi="宋体" w:eastAsia="宋体" w:cs="黑体"/>
                <w:b/>
                <w:sz w:val="20"/>
                <w:szCs w:val="20"/>
                <w:lang w:bidi="ar"/>
              </w:rPr>
            </w:pPr>
            <w:r>
              <w:rPr>
                <w:rFonts w:hint="eastAsia" w:ascii="宋体" w:hAnsi="宋体" w:eastAsia="宋体" w:cs="黑体"/>
                <w:b/>
                <w:sz w:val="20"/>
                <w:szCs w:val="20"/>
                <w:lang w:bidi="ar"/>
              </w:rPr>
              <w:t>L值</w:t>
            </w:r>
          </w:p>
          <w:p>
            <w:pPr>
              <w:snapToGrid w:val="0"/>
              <w:jc w:val="center"/>
              <w:textAlignment w:val="center"/>
              <w:rPr>
                <w:rFonts w:ascii="宋体" w:hAnsi="宋体" w:eastAsia="宋体" w:cs="黑体"/>
                <w:b/>
                <w:kern w:val="2"/>
                <w:sz w:val="20"/>
                <w:szCs w:val="20"/>
              </w:rPr>
            </w:pPr>
            <w:r>
              <w:rPr>
                <w:rFonts w:hint="eastAsia" w:ascii="宋体" w:hAnsi="宋体" w:eastAsia="宋体" w:cs="黑体"/>
                <w:b/>
                <w:sz w:val="20"/>
                <w:szCs w:val="20"/>
                <w:lang w:bidi="ar"/>
              </w:rPr>
              <w:t>范围</w:t>
            </w:r>
          </w:p>
        </w:tc>
        <w:tc>
          <w:tcPr>
            <w:tcW w:w="715" w:type="dxa"/>
            <w:tcBorders>
              <w:left w:val="single" w:color="auto" w:sz="4" w:space="0"/>
            </w:tcBorders>
            <w:tcMar>
              <w:top w:w="15" w:type="dxa"/>
              <w:left w:w="15" w:type="dxa"/>
              <w:right w:w="15" w:type="dxa"/>
            </w:tcMar>
            <w:vAlign w:val="center"/>
          </w:tcPr>
          <w:p>
            <w:pPr>
              <w:snapToGrid w:val="0"/>
              <w:jc w:val="center"/>
              <w:textAlignment w:val="center"/>
              <w:rPr>
                <w:rFonts w:ascii="宋体" w:hAnsi="宋体" w:eastAsia="宋体" w:cs="黑体"/>
                <w:b/>
                <w:kern w:val="2"/>
                <w:sz w:val="20"/>
                <w:szCs w:val="20"/>
              </w:rPr>
            </w:pPr>
            <w:r>
              <w:rPr>
                <w:rFonts w:hint="eastAsia" w:ascii="宋体" w:hAnsi="宋体" w:eastAsia="宋体" w:cs="黑体"/>
                <w:b/>
                <w:sz w:val="20"/>
                <w:szCs w:val="20"/>
                <w:lang w:bidi="ar"/>
              </w:rPr>
              <w:t>E值  范围</w:t>
            </w:r>
          </w:p>
        </w:tc>
        <w:tc>
          <w:tcPr>
            <w:tcW w:w="775" w:type="dxa"/>
            <w:tcMar>
              <w:top w:w="15" w:type="dxa"/>
              <w:left w:w="15" w:type="dxa"/>
              <w:right w:w="15" w:type="dxa"/>
            </w:tcMar>
            <w:vAlign w:val="center"/>
          </w:tcPr>
          <w:p>
            <w:pPr>
              <w:snapToGrid w:val="0"/>
              <w:jc w:val="center"/>
              <w:textAlignment w:val="center"/>
              <w:rPr>
                <w:rFonts w:ascii="宋体" w:hAnsi="宋体" w:eastAsia="宋体" w:cs="黑体"/>
                <w:b/>
                <w:sz w:val="20"/>
                <w:szCs w:val="20"/>
                <w:lang w:bidi="ar"/>
              </w:rPr>
            </w:pPr>
            <w:r>
              <w:rPr>
                <w:rFonts w:hint="eastAsia" w:ascii="宋体" w:hAnsi="宋体" w:eastAsia="宋体" w:cs="黑体"/>
                <w:b/>
                <w:sz w:val="20"/>
                <w:szCs w:val="20"/>
                <w:lang w:bidi="ar"/>
              </w:rPr>
              <w:t>S值或</w:t>
            </w:r>
          </w:p>
          <w:p>
            <w:pPr>
              <w:snapToGrid w:val="0"/>
              <w:jc w:val="center"/>
              <w:textAlignment w:val="center"/>
              <w:rPr>
                <w:rFonts w:ascii="宋体" w:hAnsi="宋体" w:eastAsia="宋体" w:cs="黑体"/>
                <w:b/>
                <w:kern w:val="2"/>
                <w:sz w:val="20"/>
                <w:szCs w:val="20"/>
              </w:rPr>
            </w:pPr>
            <w:r>
              <w:rPr>
                <w:rFonts w:hint="eastAsia" w:ascii="宋体" w:hAnsi="宋体" w:eastAsia="宋体" w:cs="黑体"/>
                <w:b/>
                <w:sz w:val="20"/>
                <w:szCs w:val="20"/>
                <w:lang w:bidi="ar"/>
              </w:rPr>
              <w:t>C值范围</w:t>
            </w:r>
          </w:p>
        </w:tc>
        <w:tc>
          <w:tcPr>
            <w:tcW w:w="1014" w:type="dxa"/>
            <w:tcMar>
              <w:top w:w="15" w:type="dxa"/>
              <w:left w:w="15" w:type="dxa"/>
              <w:right w:w="15" w:type="dxa"/>
            </w:tcMar>
            <w:vAlign w:val="center"/>
          </w:tcPr>
          <w:p>
            <w:pPr>
              <w:snapToGrid w:val="0"/>
              <w:jc w:val="center"/>
              <w:textAlignment w:val="center"/>
              <w:rPr>
                <w:rFonts w:ascii="宋体" w:hAnsi="宋体" w:eastAsia="宋体" w:cs="黑体"/>
                <w:b/>
                <w:sz w:val="20"/>
                <w:szCs w:val="20"/>
                <w:lang w:bidi="ar"/>
              </w:rPr>
            </w:pPr>
            <w:r>
              <w:rPr>
                <w:rFonts w:hint="eastAsia" w:ascii="宋体" w:hAnsi="宋体" w:eastAsia="宋体" w:cs="黑体"/>
                <w:b/>
                <w:sz w:val="20"/>
                <w:szCs w:val="20"/>
                <w:lang w:bidi="ar"/>
              </w:rPr>
              <w:t>R值或</w:t>
            </w:r>
          </w:p>
          <w:p>
            <w:pPr>
              <w:snapToGrid w:val="0"/>
              <w:jc w:val="center"/>
              <w:textAlignment w:val="center"/>
              <w:rPr>
                <w:rFonts w:ascii="宋体" w:hAnsi="宋体" w:eastAsia="宋体" w:cs="黑体"/>
                <w:b/>
                <w:kern w:val="2"/>
                <w:sz w:val="20"/>
                <w:szCs w:val="20"/>
              </w:rPr>
            </w:pPr>
            <w:r>
              <w:rPr>
                <w:rFonts w:hint="eastAsia" w:ascii="宋体" w:hAnsi="宋体" w:eastAsia="宋体" w:cs="黑体"/>
                <w:b/>
                <w:sz w:val="20"/>
                <w:szCs w:val="20"/>
                <w:lang w:bidi="ar"/>
              </w:rPr>
              <w:t>D值范围</w:t>
            </w:r>
          </w:p>
        </w:tc>
        <w:tc>
          <w:tcPr>
            <w:tcW w:w="894" w:type="dxa"/>
            <w:tcMar>
              <w:top w:w="15" w:type="dxa"/>
              <w:left w:w="15" w:type="dxa"/>
              <w:right w:w="15" w:type="dxa"/>
            </w:tcMar>
            <w:vAlign w:val="center"/>
          </w:tcPr>
          <w:p>
            <w:pPr>
              <w:snapToGrid w:val="0"/>
              <w:jc w:val="center"/>
              <w:textAlignment w:val="center"/>
              <w:rPr>
                <w:rFonts w:ascii="宋体" w:hAnsi="宋体" w:eastAsia="宋体" w:cs="黑体"/>
                <w:b/>
                <w:kern w:val="2"/>
                <w:sz w:val="20"/>
                <w:szCs w:val="20"/>
              </w:rPr>
            </w:pPr>
            <w:r>
              <w:rPr>
                <w:rFonts w:hint="eastAsia" w:ascii="宋体" w:hAnsi="宋体" w:eastAsia="宋体" w:cs="黑体"/>
                <w:b/>
                <w:sz w:val="20"/>
                <w:szCs w:val="20"/>
                <w:lang w:bidi="ar"/>
              </w:rPr>
              <w:t>风险等级范围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683" w:type="dxa"/>
            <w:noWrap/>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1</w:t>
            </w:r>
          </w:p>
        </w:tc>
        <w:tc>
          <w:tcPr>
            <w:tcW w:w="1064" w:type="dxa"/>
            <w:vMerge w:val="restart"/>
            <w:tcMar>
              <w:top w:w="15" w:type="dxa"/>
              <w:left w:w="15" w:type="dxa"/>
              <w:right w:w="15" w:type="dxa"/>
            </w:tcMar>
            <w:vAlign w:val="center"/>
          </w:tcPr>
          <w:p>
            <w:pPr>
              <w:snapToGrid w:val="0"/>
              <w:jc w:val="center"/>
              <w:textAlignment w:val="center"/>
              <w:rPr>
                <w:rFonts w:ascii="宋体" w:hAnsi="宋体" w:eastAsia="宋体" w:cs="宋体"/>
                <w:sz w:val="20"/>
                <w:szCs w:val="20"/>
                <w:lang w:bidi="ar"/>
              </w:rPr>
            </w:pPr>
            <w:r>
              <w:rPr>
                <w:rFonts w:hint="eastAsia" w:ascii="宋体" w:hAnsi="宋体" w:eastAsia="宋体" w:cs="宋体"/>
                <w:sz w:val="20"/>
                <w:szCs w:val="20"/>
                <w:lang w:bidi="ar"/>
              </w:rPr>
              <w:t>构（建）</w:t>
            </w:r>
          </w:p>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筑物类</w:t>
            </w:r>
          </w:p>
        </w:tc>
        <w:tc>
          <w:tcPr>
            <w:tcW w:w="1103" w:type="dxa"/>
            <w:vMerge w:val="restart"/>
            <w:noWrap/>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堤身</w:t>
            </w:r>
          </w:p>
        </w:tc>
        <w:tc>
          <w:tcPr>
            <w:tcW w:w="1707" w:type="dxa"/>
            <w:tcBorders>
              <w:right w:val="single" w:color="auto" w:sz="4" w:space="0"/>
            </w:tcBorders>
            <w:noWrap/>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堤顶车辆行驶</w:t>
            </w:r>
          </w:p>
        </w:tc>
        <w:tc>
          <w:tcPr>
            <w:tcW w:w="2410" w:type="dxa"/>
            <w:tcBorders>
              <w:left w:val="single" w:color="auto" w:sz="4" w:space="0"/>
              <w:right w:val="single" w:color="auto" w:sz="4" w:space="0"/>
            </w:tcBorders>
            <w:noWrap/>
            <w:tcMar>
              <w:top w:w="15" w:type="dxa"/>
              <w:left w:w="15" w:type="dxa"/>
              <w:right w:w="15" w:type="dxa"/>
            </w:tcMar>
            <w:vAlign w:val="center"/>
          </w:tcPr>
          <w:p>
            <w:pPr>
              <w:snapToGrid w:val="0"/>
              <w:jc w:val="center"/>
              <w:textAlignment w:val="center"/>
              <w:rPr>
                <w:rFonts w:ascii="宋体" w:hAnsi="宋体" w:eastAsia="宋体" w:cs="宋体"/>
                <w:sz w:val="20"/>
                <w:szCs w:val="20"/>
                <w:lang w:bidi="ar"/>
              </w:rPr>
            </w:pPr>
            <w:r>
              <w:rPr>
                <w:rFonts w:hint="eastAsia" w:ascii="宋体" w:hAnsi="宋体" w:eastAsia="宋体" w:cs="宋体"/>
                <w:sz w:val="20"/>
                <w:szCs w:val="20"/>
                <w:lang w:bidi="ar"/>
              </w:rPr>
              <w:t>车辆超载、超速、超高、</w:t>
            </w:r>
          </w:p>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碰撞</w:t>
            </w:r>
          </w:p>
        </w:tc>
        <w:tc>
          <w:tcPr>
            <w:tcW w:w="2165" w:type="dxa"/>
            <w:tcBorders>
              <w:left w:val="single" w:color="auto" w:sz="4" w:space="0"/>
              <w:right w:val="single" w:color="auto" w:sz="4" w:space="0"/>
            </w:tcBorders>
            <w:noWrap/>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路面损坏、防浪墙损坏、堤防结构变形或破坏</w:t>
            </w:r>
          </w:p>
        </w:tc>
        <w:tc>
          <w:tcPr>
            <w:tcW w:w="889" w:type="dxa"/>
            <w:tcBorders>
              <w:left w:val="single" w:color="auto" w:sz="4" w:space="0"/>
              <w:right w:val="single" w:color="auto" w:sz="4" w:space="0"/>
            </w:tcBorders>
            <w:noWrap/>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LS法</w:t>
            </w:r>
          </w:p>
        </w:tc>
        <w:tc>
          <w:tcPr>
            <w:tcW w:w="904" w:type="dxa"/>
            <w:tcBorders>
              <w:left w:val="single" w:color="auto" w:sz="4" w:space="0"/>
              <w:right w:val="single" w:color="auto" w:sz="4" w:space="0"/>
            </w:tcBorders>
            <w:noWrap/>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5～</w:t>
            </w:r>
            <w:r>
              <w:rPr>
                <w:rFonts w:ascii="宋体" w:hAnsi="宋体" w:eastAsia="宋体" w:cs="宋体"/>
                <w:sz w:val="20"/>
                <w:szCs w:val="20"/>
                <w:lang w:bidi="ar"/>
              </w:rPr>
              <w:t>3</w:t>
            </w:r>
            <w:r>
              <w:rPr>
                <w:rFonts w:hint="eastAsia" w:ascii="宋体" w:hAnsi="宋体" w:eastAsia="宋体" w:cs="宋体"/>
                <w:sz w:val="20"/>
                <w:szCs w:val="20"/>
                <w:lang w:bidi="ar"/>
              </w:rPr>
              <w:t>0</w:t>
            </w:r>
          </w:p>
        </w:tc>
        <w:tc>
          <w:tcPr>
            <w:tcW w:w="715" w:type="dxa"/>
            <w:tcBorders>
              <w:left w:val="single" w:color="auto" w:sz="4" w:space="0"/>
              <w:right w:val="single" w:color="auto" w:sz="4" w:space="0"/>
            </w:tcBorders>
            <w:noWrap/>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kern w:val="2"/>
                <w:sz w:val="20"/>
                <w:szCs w:val="20"/>
              </w:rPr>
              <w:t>/</w:t>
            </w:r>
          </w:p>
        </w:tc>
        <w:tc>
          <w:tcPr>
            <w:tcW w:w="775" w:type="dxa"/>
            <w:tcBorders>
              <w:left w:val="single" w:color="auto" w:sz="4" w:space="0"/>
              <w:right w:val="single" w:color="auto" w:sz="4" w:space="0"/>
            </w:tcBorders>
            <w:noWrap/>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3～</w:t>
            </w:r>
            <w:r>
              <w:rPr>
                <w:rFonts w:ascii="宋体" w:hAnsi="宋体" w:eastAsia="宋体" w:cs="宋体"/>
                <w:sz w:val="20"/>
                <w:szCs w:val="20"/>
                <w:lang w:bidi="ar"/>
              </w:rPr>
              <w:t>15</w:t>
            </w:r>
          </w:p>
        </w:tc>
        <w:tc>
          <w:tcPr>
            <w:tcW w:w="1014" w:type="dxa"/>
            <w:tcBorders>
              <w:left w:val="single" w:color="auto" w:sz="4" w:space="0"/>
              <w:right w:val="single" w:color="auto" w:sz="4" w:space="0"/>
            </w:tcBorders>
            <w:noWrap/>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15～</w:t>
            </w:r>
            <w:r>
              <w:rPr>
                <w:rFonts w:ascii="宋体" w:hAnsi="宋体" w:eastAsia="宋体" w:cs="宋体"/>
                <w:sz w:val="20"/>
                <w:szCs w:val="20"/>
                <w:lang w:bidi="ar"/>
              </w:rPr>
              <w:t>45</w:t>
            </w:r>
            <w:r>
              <w:rPr>
                <w:rFonts w:hint="eastAsia" w:ascii="宋体" w:hAnsi="宋体" w:eastAsia="宋体" w:cs="宋体"/>
                <w:sz w:val="20"/>
                <w:szCs w:val="20"/>
                <w:lang w:bidi="ar"/>
              </w:rPr>
              <w:t>0</w:t>
            </w:r>
          </w:p>
        </w:tc>
        <w:tc>
          <w:tcPr>
            <w:tcW w:w="894" w:type="dxa"/>
            <w:tcBorders>
              <w:left w:val="single" w:color="auto" w:sz="4" w:space="0"/>
            </w:tcBorders>
            <w:noWrap/>
            <w:tcMar>
              <w:top w:w="15" w:type="dxa"/>
              <w:left w:w="15" w:type="dxa"/>
              <w:right w:w="15" w:type="dxa"/>
            </w:tcMar>
            <w:vAlign w:val="center"/>
          </w:tcPr>
          <w:p>
            <w:pPr>
              <w:snapToGrid w:val="0"/>
              <w:jc w:val="center"/>
              <w:textAlignment w:val="center"/>
              <w:rPr>
                <w:rFonts w:ascii="宋体" w:hAnsi="宋体" w:eastAsia="宋体" w:cs="宋体"/>
                <w:sz w:val="20"/>
                <w:szCs w:val="20"/>
                <w:lang w:bidi="ar"/>
              </w:rPr>
            </w:pPr>
            <w:r>
              <w:rPr>
                <w:rFonts w:hint="eastAsia" w:ascii="宋体" w:hAnsi="宋体" w:eastAsia="宋体" w:cs="宋体"/>
                <w:sz w:val="20"/>
                <w:szCs w:val="20"/>
                <w:lang w:bidi="ar"/>
              </w:rPr>
              <w:t>低～重大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683" w:type="dxa"/>
            <w:noWrap/>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2</w:t>
            </w:r>
          </w:p>
        </w:tc>
        <w:tc>
          <w:tcPr>
            <w:tcW w:w="1064" w:type="dxa"/>
            <w:vMerge w:val="continue"/>
            <w:tcMar>
              <w:top w:w="15" w:type="dxa"/>
              <w:left w:w="15" w:type="dxa"/>
              <w:right w:w="15" w:type="dxa"/>
            </w:tcMar>
            <w:vAlign w:val="center"/>
          </w:tcPr>
          <w:p>
            <w:pPr>
              <w:widowControl w:val="0"/>
              <w:snapToGrid w:val="0"/>
              <w:jc w:val="center"/>
              <w:rPr>
                <w:rFonts w:ascii="宋体" w:hAnsi="宋体" w:eastAsia="宋体" w:cs="宋体"/>
                <w:kern w:val="2"/>
                <w:sz w:val="20"/>
                <w:szCs w:val="20"/>
              </w:rPr>
            </w:pPr>
          </w:p>
        </w:tc>
        <w:tc>
          <w:tcPr>
            <w:tcW w:w="1103" w:type="dxa"/>
            <w:vMerge w:val="continue"/>
            <w:tcMar>
              <w:top w:w="15" w:type="dxa"/>
              <w:left w:w="15" w:type="dxa"/>
              <w:right w:w="15" w:type="dxa"/>
            </w:tcMar>
            <w:vAlign w:val="center"/>
          </w:tcPr>
          <w:p>
            <w:pPr>
              <w:snapToGrid w:val="0"/>
              <w:jc w:val="center"/>
              <w:textAlignment w:val="center"/>
              <w:rPr>
                <w:rFonts w:ascii="宋体" w:hAnsi="宋体" w:eastAsia="宋体" w:cs="宋体"/>
                <w:kern w:val="2"/>
                <w:sz w:val="20"/>
                <w:szCs w:val="20"/>
              </w:rPr>
            </w:pPr>
          </w:p>
        </w:tc>
        <w:tc>
          <w:tcPr>
            <w:tcW w:w="1707" w:type="dxa"/>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堤顶排水</w:t>
            </w:r>
          </w:p>
        </w:tc>
        <w:tc>
          <w:tcPr>
            <w:tcW w:w="2410" w:type="dxa"/>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rPr>
              <w:t>排水设施失效、积水</w:t>
            </w:r>
          </w:p>
        </w:tc>
        <w:tc>
          <w:tcPr>
            <w:tcW w:w="2165" w:type="dxa"/>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rPr>
              <w:t>交通中断、车辆损坏、  堤坡冲沟</w:t>
            </w:r>
          </w:p>
        </w:tc>
        <w:tc>
          <w:tcPr>
            <w:tcW w:w="889" w:type="dxa"/>
            <w:noWrap/>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LS法</w:t>
            </w:r>
          </w:p>
        </w:tc>
        <w:tc>
          <w:tcPr>
            <w:tcW w:w="904" w:type="dxa"/>
            <w:tcBorders>
              <w:right w:val="single" w:color="auto" w:sz="4" w:space="0"/>
            </w:tcBorders>
            <w:noWrap/>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5～</w:t>
            </w:r>
            <w:r>
              <w:rPr>
                <w:rFonts w:ascii="宋体" w:hAnsi="宋体" w:eastAsia="宋体" w:cs="宋体"/>
                <w:sz w:val="20"/>
                <w:szCs w:val="20"/>
                <w:lang w:bidi="ar"/>
              </w:rPr>
              <w:t>3</w:t>
            </w:r>
            <w:r>
              <w:rPr>
                <w:rFonts w:hint="eastAsia" w:ascii="宋体" w:hAnsi="宋体" w:eastAsia="宋体" w:cs="宋体"/>
                <w:sz w:val="20"/>
                <w:szCs w:val="20"/>
                <w:lang w:bidi="ar"/>
              </w:rPr>
              <w:t>0</w:t>
            </w:r>
          </w:p>
        </w:tc>
        <w:tc>
          <w:tcPr>
            <w:tcW w:w="715" w:type="dxa"/>
            <w:tcBorders>
              <w:left w:val="single" w:color="auto" w:sz="4" w:space="0"/>
            </w:tcBorders>
            <w:tcMar>
              <w:top w:w="15" w:type="dxa"/>
              <w:left w:w="15" w:type="dxa"/>
              <w:right w:w="15" w:type="dxa"/>
            </w:tcMar>
            <w:vAlign w:val="center"/>
          </w:tcPr>
          <w:p>
            <w:pPr>
              <w:widowControl w:val="0"/>
              <w:snapToGrid w:val="0"/>
              <w:jc w:val="center"/>
              <w:rPr>
                <w:rFonts w:ascii="宋体" w:hAnsi="宋体" w:eastAsia="宋体" w:cs="宋体"/>
                <w:kern w:val="2"/>
                <w:sz w:val="20"/>
                <w:szCs w:val="20"/>
              </w:rPr>
            </w:pPr>
            <w:r>
              <w:rPr>
                <w:rFonts w:hint="eastAsia" w:ascii="宋体" w:hAnsi="宋体" w:eastAsia="宋体" w:cs="宋体"/>
                <w:kern w:val="2"/>
                <w:sz w:val="20"/>
                <w:szCs w:val="20"/>
              </w:rPr>
              <w:t>/</w:t>
            </w:r>
          </w:p>
        </w:tc>
        <w:tc>
          <w:tcPr>
            <w:tcW w:w="775" w:type="dxa"/>
            <w:noWrap/>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3～15</w:t>
            </w:r>
          </w:p>
        </w:tc>
        <w:tc>
          <w:tcPr>
            <w:tcW w:w="1014" w:type="dxa"/>
            <w:noWrap/>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15～</w:t>
            </w:r>
            <w:r>
              <w:rPr>
                <w:rFonts w:ascii="宋体" w:hAnsi="宋体" w:eastAsia="宋体" w:cs="宋体"/>
                <w:sz w:val="20"/>
                <w:szCs w:val="20"/>
                <w:lang w:bidi="ar"/>
              </w:rPr>
              <w:t>4</w:t>
            </w:r>
            <w:r>
              <w:rPr>
                <w:rFonts w:hint="eastAsia" w:ascii="宋体" w:hAnsi="宋体" w:eastAsia="宋体" w:cs="宋体"/>
                <w:sz w:val="20"/>
                <w:szCs w:val="20"/>
                <w:lang w:bidi="ar"/>
              </w:rPr>
              <w:t>50</w:t>
            </w:r>
          </w:p>
        </w:tc>
        <w:tc>
          <w:tcPr>
            <w:tcW w:w="894" w:type="dxa"/>
            <w:noWrap/>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低～重大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683" w:type="dxa"/>
            <w:noWrap/>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3</w:t>
            </w:r>
          </w:p>
        </w:tc>
        <w:tc>
          <w:tcPr>
            <w:tcW w:w="1064" w:type="dxa"/>
            <w:vMerge w:val="continue"/>
            <w:tcMar>
              <w:top w:w="15" w:type="dxa"/>
              <w:left w:w="15" w:type="dxa"/>
              <w:right w:w="15" w:type="dxa"/>
            </w:tcMar>
            <w:vAlign w:val="center"/>
          </w:tcPr>
          <w:p>
            <w:pPr>
              <w:widowControl w:val="0"/>
              <w:snapToGrid w:val="0"/>
              <w:jc w:val="center"/>
              <w:rPr>
                <w:rFonts w:ascii="宋体" w:hAnsi="宋体" w:eastAsia="宋体" w:cs="宋体"/>
                <w:kern w:val="2"/>
                <w:sz w:val="20"/>
                <w:szCs w:val="20"/>
              </w:rPr>
            </w:pPr>
          </w:p>
        </w:tc>
        <w:tc>
          <w:tcPr>
            <w:tcW w:w="1103" w:type="dxa"/>
            <w:vMerge w:val="continue"/>
            <w:tcMar>
              <w:top w:w="15" w:type="dxa"/>
              <w:left w:w="15" w:type="dxa"/>
              <w:right w:w="15" w:type="dxa"/>
            </w:tcMar>
            <w:vAlign w:val="center"/>
          </w:tcPr>
          <w:p>
            <w:pPr>
              <w:widowControl w:val="0"/>
              <w:snapToGrid w:val="0"/>
              <w:jc w:val="center"/>
              <w:rPr>
                <w:rFonts w:ascii="宋体" w:hAnsi="宋体" w:eastAsia="宋体" w:cs="宋体"/>
                <w:kern w:val="2"/>
                <w:sz w:val="20"/>
                <w:szCs w:val="20"/>
              </w:rPr>
            </w:pPr>
          </w:p>
        </w:tc>
        <w:tc>
          <w:tcPr>
            <w:tcW w:w="1707" w:type="dxa"/>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堤坡</w:t>
            </w:r>
          </w:p>
        </w:tc>
        <w:tc>
          <w:tcPr>
            <w:tcW w:w="2410" w:type="dxa"/>
            <w:tcMar>
              <w:top w:w="15" w:type="dxa"/>
              <w:left w:w="15" w:type="dxa"/>
              <w:right w:w="15" w:type="dxa"/>
            </w:tcMar>
            <w:vAlign w:val="center"/>
          </w:tcPr>
          <w:p>
            <w:pPr>
              <w:widowControl w:val="0"/>
              <w:snapToGrid w:val="0"/>
              <w:jc w:val="center"/>
              <w:rPr>
                <w:rFonts w:ascii="宋体" w:hAnsi="宋体" w:eastAsia="宋体" w:cs="宋体"/>
                <w:sz w:val="20"/>
                <w:szCs w:val="20"/>
              </w:rPr>
            </w:pPr>
            <w:r>
              <w:rPr>
                <w:rFonts w:hint="eastAsia" w:ascii="宋体" w:hAnsi="宋体" w:eastAsia="宋体" w:cs="宋体"/>
                <w:sz w:val="20"/>
                <w:szCs w:val="20"/>
              </w:rPr>
              <w:t>淘刷、迎流顶冲、        浸润线抬升、水位骤降</w:t>
            </w:r>
          </w:p>
        </w:tc>
        <w:tc>
          <w:tcPr>
            <w:tcW w:w="2165" w:type="dxa"/>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rPr>
              <w:t>滑坡、崩岸、失稳</w:t>
            </w:r>
          </w:p>
        </w:tc>
        <w:tc>
          <w:tcPr>
            <w:tcW w:w="889" w:type="dxa"/>
            <w:noWrap/>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LS法</w:t>
            </w:r>
          </w:p>
        </w:tc>
        <w:tc>
          <w:tcPr>
            <w:tcW w:w="904" w:type="dxa"/>
            <w:noWrap/>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5～</w:t>
            </w:r>
            <w:r>
              <w:rPr>
                <w:rFonts w:ascii="宋体" w:hAnsi="宋体" w:eastAsia="宋体" w:cs="宋体"/>
                <w:sz w:val="20"/>
                <w:szCs w:val="20"/>
                <w:lang w:bidi="ar"/>
              </w:rPr>
              <w:t>10</w:t>
            </w:r>
            <w:r>
              <w:rPr>
                <w:rFonts w:hint="eastAsia" w:ascii="宋体" w:hAnsi="宋体" w:eastAsia="宋体" w:cs="宋体"/>
                <w:sz w:val="20"/>
                <w:szCs w:val="20"/>
                <w:lang w:bidi="ar"/>
              </w:rPr>
              <w:t>0</w:t>
            </w:r>
          </w:p>
        </w:tc>
        <w:tc>
          <w:tcPr>
            <w:tcW w:w="715" w:type="dxa"/>
            <w:tcMar>
              <w:top w:w="15" w:type="dxa"/>
              <w:left w:w="15" w:type="dxa"/>
              <w:right w:w="15" w:type="dxa"/>
            </w:tcMar>
            <w:vAlign w:val="center"/>
          </w:tcPr>
          <w:p>
            <w:pPr>
              <w:widowControl w:val="0"/>
              <w:snapToGrid w:val="0"/>
              <w:jc w:val="center"/>
              <w:rPr>
                <w:rFonts w:ascii="宋体" w:hAnsi="宋体" w:eastAsia="宋体" w:cs="宋体"/>
                <w:kern w:val="2"/>
                <w:sz w:val="20"/>
                <w:szCs w:val="20"/>
              </w:rPr>
            </w:pPr>
            <w:r>
              <w:rPr>
                <w:rFonts w:hint="eastAsia" w:ascii="宋体" w:hAnsi="宋体" w:eastAsia="宋体" w:cs="宋体"/>
                <w:kern w:val="2"/>
                <w:sz w:val="20"/>
                <w:szCs w:val="20"/>
              </w:rPr>
              <w:t>/</w:t>
            </w:r>
          </w:p>
        </w:tc>
        <w:tc>
          <w:tcPr>
            <w:tcW w:w="775" w:type="dxa"/>
            <w:noWrap/>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3～15</w:t>
            </w:r>
          </w:p>
        </w:tc>
        <w:tc>
          <w:tcPr>
            <w:tcW w:w="1014" w:type="dxa"/>
            <w:noWrap/>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15～</w:t>
            </w:r>
            <w:r>
              <w:rPr>
                <w:rFonts w:ascii="宋体" w:hAnsi="宋体" w:eastAsia="宋体" w:cs="宋体"/>
                <w:sz w:val="20"/>
                <w:szCs w:val="20"/>
                <w:lang w:bidi="ar"/>
              </w:rPr>
              <w:t>150</w:t>
            </w:r>
            <w:r>
              <w:rPr>
                <w:rFonts w:hint="eastAsia" w:ascii="宋体" w:hAnsi="宋体" w:eastAsia="宋体" w:cs="宋体"/>
                <w:sz w:val="20"/>
                <w:szCs w:val="20"/>
                <w:lang w:bidi="ar"/>
              </w:rPr>
              <w:t>0</w:t>
            </w:r>
          </w:p>
        </w:tc>
        <w:tc>
          <w:tcPr>
            <w:tcW w:w="894" w:type="dxa"/>
            <w:noWrap/>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低～重大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683" w:type="dxa"/>
            <w:noWrap/>
            <w:tcMar>
              <w:top w:w="15" w:type="dxa"/>
              <w:left w:w="15" w:type="dxa"/>
              <w:right w:w="15" w:type="dxa"/>
            </w:tcMar>
            <w:vAlign w:val="center"/>
          </w:tcPr>
          <w:p>
            <w:pPr>
              <w:snapToGrid w:val="0"/>
              <w:jc w:val="center"/>
              <w:textAlignment w:val="center"/>
              <w:rPr>
                <w:rFonts w:ascii="宋体" w:hAnsi="宋体" w:eastAsia="宋体" w:cs="宋体"/>
                <w:sz w:val="20"/>
                <w:szCs w:val="20"/>
                <w:lang w:bidi="ar"/>
              </w:rPr>
            </w:pPr>
            <w:r>
              <w:rPr>
                <w:rFonts w:ascii="宋体" w:hAnsi="宋体" w:eastAsia="宋体" w:cs="宋体"/>
                <w:sz w:val="20"/>
                <w:szCs w:val="20"/>
                <w:lang w:bidi="ar"/>
              </w:rPr>
              <w:t>4</w:t>
            </w:r>
          </w:p>
        </w:tc>
        <w:tc>
          <w:tcPr>
            <w:tcW w:w="1064" w:type="dxa"/>
            <w:vMerge w:val="continue"/>
            <w:tcMar>
              <w:top w:w="15" w:type="dxa"/>
              <w:left w:w="15" w:type="dxa"/>
              <w:right w:w="15" w:type="dxa"/>
            </w:tcMar>
            <w:vAlign w:val="center"/>
          </w:tcPr>
          <w:p>
            <w:pPr>
              <w:widowControl w:val="0"/>
              <w:snapToGrid w:val="0"/>
              <w:jc w:val="center"/>
              <w:rPr>
                <w:rFonts w:ascii="宋体" w:hAnsi="宋体" w:eastAsia="宋体" w:cs="宋体"/>
                <w:kern w:val="2"/>
                <w:sz w:val="20"/>
                <w:szCs w:val="20"/>
              </w:rPr>
            </w:pPr>
          </w:p>
        </w:tc>
        <w:tc>
          <w:tcPr>
            <w:tcW w:w="1103" w:type="dxa"/>
            <w:tcBorders>
              <w:bottom w:val="single" w:color="auto" w:sz="4" w:space="0"/>
            </w:tcBorders>
            <w:tcMar>
              <w:top w:w="15" w:type="dxa"/>
              <w:left w:w="15" w:type="dxa"/>
              <w:right w:w="15" w:type="dxa"/>
            </w:tcMar>
            <w:vAlign w:val="center"/>
          </w:tcPr>
          <w:p>
            <w:pPr>
              <w:widowControl w:val="0"/>
              <w:snapToGrid w:val="0"/>
              <w:jc w:val="center"/>
              <w:rPr>
                <w:rFonts w:ascii="宋体" w:hAnsi="宋体" w:eastAsia="宋体" w:cs="宋体"/>
                <w:kern w:val="2"/>
                <w:sz w:val="20"/>
                <w:szCs w:val="20"/>
              </w:rPr>
            </w:pPr>
            <w:r>
              <w:rPr>
                <w:rFonts w:hint="eastAsia" w:ascii="宋体" w:hAnsi="宋体" w:eastAsia="宋体" w:cs="宋体"/>
                <w:kern w:val="2"/>
                <w:sz w:val="20"/>
                <w:szCs w:val="20"/>
              </w:rPr>
              <w:t>堤基</w:t>
            </w:r>
          </w:p>
        </w:tc>
        <w:tc>
          <w:tcPr>
            <w:tcW w:w="1707" w:type="dxa"/>
            <w:tcBorders>
              <w:bottom w:val="single" w:color="auto" w:sz="4" w:space="0"/>
            </w:tcBorders>
            <w:tcMar>
              <w:top w:w="15" w:type="dxa"/>
              <w:left w:w="15" w:type="dxa"/>
              <w:right w:w="15" w:type="dxa"/>
            </w:tcMar>
            <w:vAlign w:val="center"/>
          </w:tcPr>
          <w:p>
            <w:pPr>
              <w:snapToGrid w:val="0"/>
              <w:jc w:val="center"/>
              <w:textAlignment w:val="center"/>
              <w:rPr>
                <w:rFonts w:ascii="宋体" w:hAnsi="宋体" w:eastAsia="宋体" w:cs="宋体"/>
                <w:sz w:val="20"/>
                <w:szCs w:val="20"/>
                <w:lang w:bidi="ar"/>
              </w:rPr>
            </w:pPr>
            <w:r>
              <w:rPr>
                <w:rFonts w:hint="eastAsia" w:ascii="宋体" w:hAnsi="宋体" w:eastAsia="宋体" w:cs="宋体"/>
                <w:sz w:val="20"/>
                <w:szCs w:val="20"/>
                <w:lang w:bidi="ar"/>
              </w:rPr>
              <w:t>堤基渗流</w:t>
            </w:r>
          </w:p>
        </w:tc>
        <w:tc>
          <w:tcPr>
            <w:tcW w:w="2410" w:type="dxa"/>
            <w:tcMar>
              <w:top w:w="15" w:type="dxa"/>
              <w:left w:w="15" w:type="dxa"/>
              <w:right w:w="15" w:type="dxa"/>
            </w:tcMar>
            <w:vAlign w:val="center"/>
          </w:tcPr>
          <w:p>
            <w:pPr>
              <w:snapToGrid w:val="0"/>
              <w:jc w:val="center"/>
              <w:textAlignment w:val="center"/>
              <w:rPr>
                <w:rFonts w:ascii="宋体" w:hAnsi="宋体" w:eastAsia="宋体" w:cs="宋体"/>
                <w:sz w:val="20"/>
                <w:szCs w:val="20"/>
                <w:lang w:bidi="ar"/>
              </w:rPr>
            </w:pPr>
            <w:r>
              <w:rPr>
                <w:rFonts w:hint="eastAsia" w:ascii="宋体" w:hAnsi="宋体" w:eastAsia="宋体" w:cs="宋体"/>
                <w:sz w:val="20"/>
                <w:szCs w:val="20"/>
              </w:rPr>
              <w:t>防渗设施不完善、       接触冲刷、细颗粒流失</w:t>
            </w:r>
          </w:p>
        </w:tc>
        <w:tc>
          <w:tcPr>
            <w:tcW w:w="2165" w:type="dxa"/>
            <w:tcMar>
              <w:top w:w="15" w:type="dxa"/>
              <w:left w:w="15" w:type="dxa"/>
              <w:right w:w="15" w:type="dxa"/>
            </w:tcMar>
            <w:vAlign w:val="center"/>
          </w:tcPr>
          <w:p>
            <w:pPr>
              <w:snapToGrid w:val="0"/>
              <w:jc w:val="center"/>
              <w:textAlignment w:val="center"/>
              <w:rPr>
                <w:rFonts w:ascii="宋体" w:hAnsi="宋体" w:eastAsia="宋体" w:cs="宋体"/>
                <w:sz w:val="20"/>
                <w:szCs w:val="20"/>
                <w:lang w:bidi="ar"/>
              </w:rPr>
            </w:pPr>
            <w:r>
              <w:rPr>
                <w:rFonts w:hint="eastAsia" w:ascii="宋体" w:hAnsi="宋体" w:eastAsia="宋体" w:cs="宋体"/>
                <w:sz w:val="20"/>
                <w:szCs w:val="20"/>
              </w:rPr>
              <w:t>塌陷、沉降、管涌、流土</w:t>
            </w:r>
          </w:p>
        </w:tc>
        <w:tc>
          <w:tcPr>
            <w:tcW w:w="889" w:type="dxa"/>
            <w:noWrap/>
            <w:tcMar>
              <w:top w:w="15" w:type="dxa"/>
              <w:left w:w="15" w:type="dxa"/>
              <w:right w:w="15" w:type="dxa"/>
            </w:tcMar>
            <w:vAlign w:val="center"/>
          </w:tcPr>
          <w:p>
            <w:pPr>
              <w:snapToGrid w:val="0"/>
              <w:jc w:val="center"/>
              <w:textAlignment w:val="center"/>
              <w:rPr>
                <w:rFonts w:ascii="宋体" w:hAnsi="宋体" w:eastAsia="宋体" w:cs="宋体"/>
                <w:sz w:val="20"/>
                <w:szCs w:val="20"/>
                <w:lang w:bidi="ar"/>
              </w:rPr>
            </w:pPr>
            <w:r>
              <w:rPr>
                <w:rFonts w:hint="eastAsia" w:ascii="宋体" w:hAnsi="宋体" w:eastAsia="宋体" w:cs="宋体"/>
                <w:sz w:val="20"/>
                <w:szCs w:val="20"/>
                <w:lang w:bidi="ar"/>
              </w:rPr>
              <w:t>LS法</w:t>
            </w:r>
          </w:p>
        </w:tc>
        <w:tc>
          <w:tcPr>
            <w:tcW w:w="904" w:type="dxa"/>
            <w:noWrap/>
            <w:tcMar>
              <w:top w:w="15" w:type="dxa"/>
              <w:left w:w="15" w:type="dxa"/>
              <w:right w:w="15" w:type="dxa"/>
            </w:tcMar>
            <w:vAlign w:val="center"/>
          </w:tcPr>
          <w:p>
            <w:pPr>
              <w:snapToGrid w:val="0"/>
              <w:jc w:val="center"/>
              <w:textAlignment w:val="center"/>
              <w:rPr>
                <w:rFonts w:ascii="宋体" w:hAnsi="宋体" w:eastAsia="宋体" w:cs="宋体"/>
                <w:sz w:val="20"/>
                <w:szCs w:val="20"/>
                <w:lang w:bidi="ar"/>
              </w:rPr>
            </w:pPr>
            <w:r>
              <w:rPr>
                <w:rFonts w:hint="eastAsia" w:ascii="宋体" w:hAnsi="宋体" w:eastAsia="宋体" w:cs="宋体"/>
                <w:sz w:val="20"/>
                <w:szCs w:val="20"/>
                <w:lang w:bidi="ar"/>
              </w:rPr>
              <w:t>5～30</w:t>
            </w:r>
          </w:p>
        </w:tc>
        <w:tc>
          <w:tcPr>
            <w:tcW w:w="715" w:type="dxa"/>
            <w:tcMar>
              <w:top w:w="15" w:type="dxa"/>
              <w:left w:w="15" w:type="dxa"/>
              <w:right w:w="15" w:type="dxa"/>
            </w:tcMar>
            <w:vAlign w:val="center"/>
          </w:tcPr>
          <w:p>
            <w:pPr>
              <w:widowControl w:val="0"/>
              <w:snapToGrid w:val="0"/>
              <w:jc w:val="center"/>
              <w:rPr>
                <w:rFonts w:ascii="宋体" w:hAnsi="宋体" w:eastAsia="宋体" w:cs="宋体"/>
                <w:kern w:val="2"/>
                <w:sz w:val="20"/>
                <w:szCs w:val="20"/>
              </w:rPr>
            </w:pPr>
            <w:r>
              <w:rPr>
                <w:rFonts w:hint="eastAsia" w:ascii="宋体" w:hAnsi="宋体" w:eastAsia="宋体" w:cs="宋体"/>
                <w:kern w:val="2"/>
                <w:sz w:val="20"/>
                <w:szCs w:val="20"/>
              </w:rPr>
              <w:t>/</w:t>
            </w:r>
          </w:p>
        </w:tc>
        <w:tc>
          <w:tcPr>
            <w:tcW w:w="775" w:type="dxa"/>
            <w:noWrap/>
            <w:tcMar>
              <w:top w:w="15" w:type="dxa"/>
              <w:left w:w="15" w:type="dxa"/>
              <w:right w:w="15" w:type="dxa"/>
            </w:tcMar>
            <w:vAlign w:val="center"/>
          </w:tcPr>
          <w:p>
            <w:pPr>
              <w:snapToGrid w:val="0"/>
              <w:jc w:val="center"/>
              <w:textAlignment w:val="center"/>
              <w:rPr>
                <w:rFonts w:ascii="宋体" w:hAnsi="宋体" w:eastAsia="宋体" w:cs="宋体"/>
                <w:sz w:val="20"/>
                <w:szCs w:val="20"/>
                <w:lang w:bidi="ar"/>
              </w:rPr>
            </w:pPr>
            <w:r>
              <w:rPr>
                <w:rFonts w:hint="eastAsia" w:ascii="宋体" w:hAnsi="宋体" w:eastAsia="宋体" w:cs="宋体"/>
                <w:sz w:val="20"/>
                <w:szCs w:val="20"/>
                <w:lang w:bidi="ar"/>
              </w:rPr>
              <w:t>3～15</w:t>
            </w:r>
          </w:p>
        </w:tc>
        <w:tc>
          <w:tcPr>
            <w:tcW w:w="1014" w:type="dxa"/>
            <w:noWrap/>
            <w:tcMar>
              <w:top w:w="15" w:type="dxa"/>
              <w:left w:w="15" w:type="dxa"/>
              <w:right w:w="15" w:type="dxa"/>
            </w:tcMar>
            <w:vAlign w:val="center"/>
          </w:tcPr>
          <w:p>
            <w:pPr>
              <w:snapToGrid w:val="0"/>
              <w:jc w:val="center"/>
              <w:textAlignment w:val="center"/>
              <w:rPr>
                <w:rFonts w:ascii="宋体" w:hAnsi="宋体" w:eastAsia="宋体" w:cs="宋体"/>
                <w:sz w:val="20"/>
                <w:szCs w:val="20"/>
                <w:lang w:bidi="ar"/>
              </w:rPr>
            </w:pPr>
            <w:r>
              <w:rPr>
                <w:rFonts w:hint="eastAsia" w:ascii="宋体" w:hAnsi="宋体" w:eastAsia="宋体" w:cs="宋体"/>
                <w:sz w:val="20"/>
                <w:szCs w:val="20"/>
                <w:lang w:bidi="ar"/>
              </w:rPr>
              <w:t>15～450</w:t>
            </w:r>
          </w:p>
        </w:tc>
        <w:tc>
          <w:tcPr>
            <w:tcW w:w="894" w:type="dxa"/>
            <w:noWrap/>
            <w:tcMar>
              <w:top w:w="15" w:type="dxa"/>
              <w:left w:w="15" w:type="dxa"/>
              <w:right w:w="15" w:type="dxa"/>
            </w:tcMar>
            <w:vAlign w:val="center"/>
          </w:tcPr>
          <w:p>
            <w:pPr>
              <w:snapToGrid w:val="0"/>
              <w:jc w:val="center"/>
              <w:textAlignment w:val="center"/>
              <w:rPr>
                <w:rFonts w:ascii="宋体" w:hAnsi="宋体" w:eastAsia="宋体" w:cs="宋体"/>
                <w:sz w:val="20"/>
                <w:szCs w:val="20"/>
                <w:lang w:bidi="ar"/>
              </w:rPr>
            </w:pPr>
            <w:r>
              <w:rPr>
                <w:rFonts w:hint="eastAsia" w:ascii="宋体" w:hAnsi="宋体" w:eastAsia="宋体" w:cs="宋体"/>
                <w:sz w:val="20"/>
                <w:szCs w:val="20"/>
                <w:lang w:bidi="ar"/>
              </w:rPr>
              <w:t>低～重大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683" w:type="dxa"/>
            <w:noWrap/>
            <w:tcMar>
              <w:top w:w="15" w:type="dxa"/>
              <w:left w:w="15" w:type="dxa"/>
              <w:right w:w="15" w:type="dxa"/>
            </w:tcMar>
            <w:vAlign w:val="center"/>
          </w:tcPr>
          <w:p>
            <w:pPr>
              <w:snapToGrid w:val="0"/>
              <w:jc w:val="center"/>
              <w:textAlignment w:val="center"/>
              <w:rPr>
                <w:rFonts w:ascii="宋体" w:hAnsi="宋体" w:eastAsia="宋体" w:cs="宋体"/>
                <w:sz w:val="20"/>
                <w:szCs w:val="20"/>
                <w:lang w:bidi="ar"/>
              </w:rPr>
            </w:pPr>
            <w:r>
              <w:rPr>
                <w:rFonts w:ascii="宋体" w:hAnsi="宋体" w:eastAsia="宋体" w:cs="宋体"/>
                <w:sz w:val="20"/>
                <w:szCs w:val="20"/>
                <w:lang w:bidi="ar"/>
              </w:rPr>
              <w:t>5</w:t>
            </w:r>
          </w:p>
        </w:tc>
        <w:tc>
          <w:tcPr>
            <w:tcW w:w="1064" w:type="dxa"/>
            <w:vMerge w:val="continue"/>
            <w:tcMar>
              <w:top w:w="15" w:type="dxa"/>
              <w:left w:w="15" w:type="dxa"/>
              <w:right w:w="15" w:type="dxa"/>
            </w:tcMar>
            <w:vAlign w:val="center"/>
          </w:tcPr>
          <w:p>
            <w:pPr>
              <w:widowControl w:val="0"/>
              <w:snapToGrid w:val="0"/>
              <w:jc w:val="center"/>
              <w:rPr>
                <w:rFonts w:ascii="宋体" w:hAnsi="宋体" w:eastAsia="宋体" w:cs="宋体"/>
                <w:kern w:val="2"/>
                <w:sz w:val="20"/>
                <w:szCs w:val="20"/>
              </w:rPr>
            </w:pPr>
          </w:p>
        </w:tc>
        <w:tc>
          <w:tcPr>
            <w:tcW w:w="1103" w:type="dxa"/>
            <w:tcBorders>
              <w:top w:val="single" w:color="auto" w:sz="4" w:space="0"/>
            </w:tcBorders>
            <w:tcMar>
              <w:top w:w="15" w:type="dxa"/>
              <w:left w:w="15" w:type="dxa"/>
              <w:right w:w="15" w:type="dxa"/>
            </w:tcMar>
            <w:vAlign w:val="center"/>
          </w:tcPr>
          <w:p>
            <w:pPr>
              <w:widowControl w:val="0"/>
              <w:snapToGrid w:val="0"/>
              <w:jc w:val="center"/>
              <w:rPr>
                <w:rFonts w:ascii="宋体" w:hAnsi="宋体" w:eastAsia="宋体" w:cs="宋体"/>
                <w:kern w:val="2"/>
                <w:sz w:val="20"/>
                <w:szCs w:val="20"/>
              </w:rPr>
            </w:pPr>
            <w:r>
              <w:rPr>
                <w:rFonts w:ascii="宋体" w:hAnsi="宋体" w:eastAsia="宋体" w:cs="宋体"/>
                <w:sz w:val="20"/>
                <w:szCs w:val="20"/>
                <w:lang w:bidi="ar"/>
              </w:rPr>
              <w:t>护堤地</w:t>
            </w:r>
          </w:p>
        </w:tc>
        <w:tc>
          <w:tcPr>
            <w:tcW w:w="1707" w:type="dxa"/>
            <w:tcBorders>
              <w:top w:val="single" w:color="auto" w:sz="4" w:space="0"/>
            </w:tcBorders>
            <w:tcMar>
              <w:top w:w="15" w:type="dxa"/>
              <w:left w:w="15" w:type="dxa"/>
              <w:right w:w="15" w:type="dxa"/>
            </w:tcMar>
            <w:vAlign w:val="center"/>
          </w:tcPr>
          <w:p>
            <w:pPr>
              <w:snapToGrid w:val="0"/>
              <w:jc w:val="center"/>
              <w:textAlignment w:val="center"/>
              <w:rPr>
                <w:rFonts w:ascii="宋体" w:hAnsi="宋体" w:eastAsia="宋体" w:cs="宋体"/>
                <w:sz w:val="20"/>
                <w:szCs w:val="20"/>
                <w:lang w:bidi="ar"/>
              </w:rPr>
            </w:pPr>
            <w:r>
              <w:rPr>
                <w:rFonts w:ascii="宋体" w:hAnsi="宋体" w:eastAsia="宋体" w:cs="宋体"/>
                <w:sz w:val="20"/>
                <w:szCs w:val="20"/>
                <w:lang w:bidi="ar"/>
              </w:rPr>
              <w:t>护堤地</w:t>
            </w:r>
          </w:p>
        </w:tc>
        <w:tc>
          <w:tcPr>
            <w:tcW w:w="2410" w:type="dxa"/>
            <w:tcMar>
              <w:top w:w="15" w:type="dxa"/>
              <w:left w:w="15" w:type="dxa"/>
              <w:right w:w="15" w:type="dxa"/>
            </w:tcMar>
            <w:vAlign w:val="center"/>
          </w:tcPr>
          <w:p>
            <w:pPr>
              <w:snapToGrid w:val="0"/>
              <w:jc w:val="center"/>
              <w:textAlignment w:val="center"/>
              <w:rPr>
                <w:rFonts w:ascii="宋体" w:hAnsi="宋体" w:eastAsia="宋体" w:cs="宋体"/>
                <w:sz w:val="20"/>
                <w:szCs w:val="20"/>
                <w:lang w:bidi="ar"/>
              </w:rPr>
            </w:pPr>
            <w:r>
              <w:rPr>
                <w:rFonts w:hint="eastAsia" w:ascii="宋体" w:hAnsi="宋体" w:eastAsia="宋体" w:cs="宋体"/>
                <w:sz w:val="20"/>
                <w:szCs w:val="20"/>
              </w:rPr>
              <w:t>取土等</w:t>
            </w:r>
          </w:p>
        </w:tc>
        <w:tc>
          <w:tcPr>
            <w:tcW w:w="2165" w:type="dxa"/>
            <w:tcMar>
              <w:top w:w="15" w:type="dxa"/>
              <w:left w:w="15" w:type="dxa"/>
              <w:right w:w="15" w:type="dxa"/>
            </w:tcMar>
            <w:vAlign w:val="center"/>
          </w:tcPr>
          <w:p>
            <w:pPr>
              <w:snapToGrid w:val="0"/>
              <w:jc w:val="center"/>
              <w:textAlignment w:val="center"/>
              <w:rPr>
                <w:rFonts w:ascii="宋体" w:hAnsi="宋体" w:eastAsia="宋体" w:cs="宋体"/>
                <w:sz w:val="20"/>
                <w:szCs w:val="20"/>
                <w:lang w:bidi="ar"/>
              </w:rPr>
            </w:pPr>
            <w:r>
              <w:rPr>
                <w:rFonts w:hint="eastAsia" w:ascii="宋体" w:hAnsi="宋体" w:eastAsia="宋体" w:cs="宋体"/>
                <w:sz w:val="20"/>
                <w:szCs w:val="20"/>
              </w:rPr>
              <w:t>失稳、滑坡、管涌、流土</w:t>
            </w:r>
          </w:p>
        </w:tc>
        <w:tc>
          <w:tcPr>
            <w:tcW w:w="889" w:type="dxa"/>
            <w:noWrap/>
            <w:tcMar>
              <w:top w:w="15" w:type="dxa"/>
              <w:left w:w="15" w:type="dxa"/>
              <w:right w:w="15" w:type="dxa"/>
            </w:tcMar>
            <w:vAlign w:val="center"/>
          </w:tcPr>
          <w:p>
            <w:pPr>
              <w:snapToGrid w:val="0"/>
              <w:jc w:val="center"/>
              <w:textAlignment w:val="center"/>
              <w:rPr>
                <w:rFonts w:ascii="宋体" w:hAnsi="宋体" w:eastAsia="宋体" w:cs="宋体"/>
                <w:sz w:val="20"/>
                <w:szCs w:val="20"/>
                <w:lang w:bidi="ar"/>
              </w:rPr>
            </w:pPr>
            <w:r>
              <w:rPr>
                <w:rFonts w:hint="eastAsia" w:ascii="宋体" w:hAnsi="宋体" w:eastAsia="宋体" w:cs="宋体"/>
                <w:sz w:val="20"/>
                <w:szCs w:val="20"/>
                <w:lang w:bidi="ar"/>
              </w:rPr>
              <w:t>LS法</w:t>
            </w:r>
          </w:p>
        </w:tc>
        <w:tc>
          <w:tcPr>
            <w:tcW w:w="904" w:type="dxa"/>
            <w:noWrap/>
            <w:tcMar>
              <w:top w:w="15" w:type="dxa"/>
              <w:left w:w="15" w:type="dxa"/>
              <w:right w:w="15" w:type="dxa"/>
            </w:tcMar>
            <w:vAlign w:val="center"/>
          </w:tcPr>
          <w:p>
            <w:pPr>
              <w:snapToGrid w:val="0"/>
              <w:jc w:val="center"/>
              <w:textAlignment w:val="center"/>
              <w:rPr>
                <w:rFonts w:ascii="宋体" w:hAnsi="宋体" w:eastAsia="宋体" w:cs="宋体"/>
                <w:sz w:val="20"/>
                <w:szCs w:val="20"/>
                <w:lang w:bidi="ar"/>
              </w:rPr>
            </w:pPr>
            <w:r>
              <w:rPr>
                <w:rFonts w:ascii="宋体" w:hAnsi="宋体" w:eastAsia="宋体" w:cs="宋体"/>
                <w:sz w:val="20"/>
                <w:szCs w:val="20"/>
                <w:lang w:bidi="ar"/>
              </w:rPr>
              <w:t>5</w:t>
            </w:r>
            <w:r>
              <w:rPr>
                <w:rFonts w:hint="eastAsia" w:ascii="宋体" w:hAnsi="宋体" w:eastAsia="宋体" w:cs="宋体"/>
                <w:sz w:val="20"/>
                <w:szCs w:val="20"/>
                <w:lang w:bidi="ar"/>
              </w:rPr>
              <w:t>～</w:t>
            </w:r>
            <w:r>
              <w:rPr>
                <w:rFonts w:ascii="宋体" w:hAnsi="宋体" w:eastAsia="宋体" w:cs="宋体"/>
                <w:sz w:val="20"/>
                <w:szCs w:val="20"/>
                <w:lang w:bidi="ar"/>
              </w:rPr>
              <w:t>30</w:t>
            </w:r>
          </w:p>
        </w:tc>
        <w:tc>
          <w:tcPr>
            <w:tcW w:w="715" w:type="dxa"/>
            <w:tcMar>
              <w:top w:w="15" w:type="dxa"/>
              <w:left w:w="15" w:type="dxa"/>
              <w:right w:w="15" w:type="dxa"/>
            </w:tcMar>
            <w:vAlign w:val="center"/>
          </w:tcPr>
          <w:p>
            <w:pPr>
              <w:widowControl w:val="0"/>
              <w:snapToGrid w:val="0"/>
              <w:jc w:val="center"/>
              <w:rPr>
                <w:rFonts w:ascii="宋体" w:hAnsi="宋体" w:eastAsia="宋体" w:cs="宋体"/>
                <w:kern w:val="2"/>
                <w:sz w:val="20"/>
                <w:szCs w:val="20"/>
              </w:rPr>
            </w:pPr>
            <w:r>
              <w:rPr>
                <w:rFonts w:hint="eastAsia" w:ascii="宋体" w:hAnsi="宋体" w:eastAsia="宋体" w:cs="宋体"/>
                <w:kern w:val="2"/>
                <w:sz w:val="20"/>
                <w:szCs w:val="20"/>
              </w:rPr>
              <w:t>/</w:t>
            </w:r>
          </w:p>
        </w:tc>
        <w:tc>
          <w:tcPr>
            <w:tcW w:w="775" w:type="dxa"/>
            <w:noWrap/>
            <w:tcMar>
              <w:top w:w="15" w:type="dxa"/>
              <w:left w:w="15" w:type="dxa"/>
              <w:right w:w="15" w:type="dxa"/>
            </w:tcMar>
            <w:vAlign w:val="center"/>
          </w:tcPr>
          <w:p>
            <w:pPr>
              <w:snapToGrid w:val="0"/>
              <w:jc w:val="center"/>
              <w:textAlignment w:val="center"/>
              <w:rPr>
                <w:rFonts w:ascii="宋体" w:hAnsi="宋体" w:eastAsia="宋体" w:cs="宋体"/>
                <w:sz w:val="20"/>
                <w:szCs w:val="20"/>
                <w:lang w:bidi="ar"/>
              </w:rPr>
            </w:pPr>
            <w:r>
              <w:rPr>
                <w:rFonts w:ascii="宋体" w:hAnsi="宋体" w:eastAsia="宋体" w:cs="宋体"/>
                <w:kern w:val="2"/>
                <w:sz w:val="20"/>
                <w:szCs w:val="20"/>
                <w:lang w:bidi="ar"/>
              </w:rPr>
              <w:t>3～15</w:t>
            </w:r>
          </w:p>
        </w:tc>
        <w:tc>
          <w:tcPr>
            <w:tcW w:w="1014" w:type="dxa"/>
            <w:noWrap/>
            <w:tcMar>
              <w:top w:w="15" w:type="dxa"/>
              <w:left w:w="15" w:type="dxa"/>
              <w:right w:w="15" w:type="dxa"/>
            </w:tcMar>
            <w:vAlign w:val="center"/>
          </w:tcPr>
          <w:p>
            <w:pPr>
              <w:snapToGrid w:val="0"/>
              <w:jc w:val="center"/>
              <w:textAlignment w:val="center"/>
              <w:rPr>
                <w:rFonts w:ascii="宋体" w:hAnsi="宋体" w:eastAsia="宋体" w:cs="宋体"/>
                <w:sz w:val="20"/>
                <w:szCs w:val="20"/>
                <w:lang w:bidi="ar"/>
              </w:rPr>
            </w:pPr>
            <w:r>
              <w:rPr>
                <w:rFonts w:ascii="宋体" w:hAnsi="宋体" w:eastAsia="宋体" w:cs="宋体"/>
                <w:sz w:val="20"/>
                <w:szCs w:val="20"/>
                <w:lang w:bidi="ar"/>
              </w:rPr>
              <w:t>15</w:t>
            </w:r>
            <w:r>
              <w:rPr>
                <w:rFonts w:hint="eastAsia" w:ascii="宋体" w:hAnsi="宋体" w:eastAsia="宋体" w:cs="宋体"/>
                <w:sz w:val="20"/>
                <w:szCs w:val="20"/>
                <w:lang w:bidi="ar"/>
              </w:rPr>
              <w:t>～</w:t>
            </w:r>
            <w:r>
              <w:rPr>
                <w:rFonts w:ascii="宋体" w:hAnsi="宋体" w:eastAsia="宋体" w:cs="宋体"/>
                <w:sz w:val="20"/>
                <w:szCs w:val="20"/>
                <w:lang w:bidi="ar"/>
              </w:rPr>
              <w:t>450</w:t>
            </w:r>
          </w:p>
        </w:tc>
        <w:tc>
          <w:tcPr>
            <w:tcW w:w="894" w:type="dxa"/>
            <w:noWrap/>
            <w:tcMar>
              <w:top w:w="15" w:type="dxa"/>
              <w:left w:w="15" w:type="dxa"/>
              <w:right w:w="15" w:type="dxa"/>
            </w:tcMar>
            <w:vAlign w:val="center"/>
          </w:tcPr>
          <w:p>
            <w:pPr>
              <w:snapToGrid w:val="0"/>
              <w:jc w:val="center"/>
              <w:textAlignment w:val="center"/>
              <w:rPr>
                <w:rFonts w:ascii="宋体" w:hAnsi="宋体" w:eastAsia="宋体" w:cs="宋体"/>
                <w:sz w:val="20"/>
                <w:szCs w:val="20"/>
                <w:lang w:bidi="ar"/>
              </w:rPr>
            </w:pPr>
            <w:r>
              <w:rPr>
                <w:rFonts w:hint="eastAsia" w:ascii="宋体" w:hAnsi="宋体" w:eastAsia="宋体" w:cs="宋体"/>
                <w:sz w:val="20"/>
                <w:szCs w:val="20"/>
                <w:lang w:bidi="ar"/>
              </w:rPr>
              <w:t>低～重大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683" w:type="dxa"/>
            <w:noWrap/>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ascii="宋体" w:hAnsi="宋体" w:eastAsia="宋体" w:cs="宋体"/>
                <w:sz w:val="20"/>
                <w:szCs w:val="20"/>
                <w:lang w:bidi="ar"/>
              </w:rPr>
              <w:t>6</w:t>
            </w:r>
          </w:p>
        </w:tc>
        <w:tc>
          <w:tcPr>
            <w:tcW w:w="1064" w:type="dxa"/>
            <w:vMerge w:val="continue"/>
            <w:tcMar>
              <w:top w:w="15" w:type="dxa"/>
              <w:left w:w="15" w:type="dxa"/>
              <w:right w:w="15" w:type="dxa"/>
            </w:tcMar>
            <w:vAlign w:val="center"/>
          </w:tcPr>
          <w:p>
            <w:pPr>
              <w:widowControl w:val="0"/>
              <w:snapToGrid w:val="0"/>
              <w:jc w:val="center"/>
              <w:rPr>
                <w:rFonts w:ascii="宋体" w:hAnsi="宋体" w:eastAsia="宋体" w:cs="宋体"/>
                <w:kern w:val="2"/>
                <w:sz w:val="20"/>
                <w:szCs w:val="20"/>
              </w:rPr>
            </w:pPr>
          </w:p>
        </w:tc>
        <w:tc>
          <w:tcPr>
            <w:tcW w:w="1103" w:type="dxa"/>
            <w:vMerge w:val="restart"/>
            <w:tcBorders>
              <w:top w:val="single" w:color="auto" w:sz="4" w:space="0"/>
            </w:tcBorders>
            <w:tcMar>
              <w:top w:w="15" w:type="dxa"/>
              <w:left w:w="15" w:type="dxa"/>
              <w:right w:w="15" w:type="dxa"/>
            </w:tcMar>
            <w:vAlign w:val="center"/>
          </w:tcPr>
          <w:p>
            <w:pPr>
              <w:widowControl w:val="0"/>
              <w:snapToGrid w:val="0"/>
              <w:jc w:val="center"/>
              <w:rPr>
                <w:rFonts w:ascii="宋体" w:hAnsi="宋体" w:eastAsia="宋体" w:cs="宋体"/>
                <w:kern w:val="2"/>
                <w:sz w:val="20"/>
                <w:szCs w:val="20"/>
              </w:rPr>
            </w:pPr>
            <w:r>
              <w:rPr>
                <w:rFonts w:ascii="宋体" w:hAnsi="宋体" w:eastAsia="宋体" w:cs="宋体"/>
                <w:sz w:val="20"/>
                <w:szCs w:val="20"/>
                <w:lang w:bidi="ar"/>
              </w:rPr>
              <w:t>堤岸防护</w:t>
            </w:r>
          </w:p>
        </w:tc>
        <w:tc>
          <w:tcPr>
            <w:tcW w:w="1707" w:type="dxa"/>
            <w:tcBorders>
              <w:top w:val="single" w:color="auto" w:sz="4" w:space="0"/>
            </w:tcBorders>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护坡、护岸</w:t>
            </w:r>
          </w:p>
        </w:tc>
        <w:tc>
          <w:tcPr>
            <w:tcW w:w="2410" w:type="dxa"/>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水流冲刷、沉降变形、    侵蚀剥落、渗透破坏、    裂缝、高秆作物</w:t>
            </w:r>
          </w:p>
        </w:tc>
        <w:tc>
          <w:tcPr>
            <w:tcW w:w="2165" w:type="dxa"/>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rPr>
              <w:t>脱坡、开裂、塌陷</w:t>
            </w:r>
          </w:p>
        </w:tc>
        <w:tc>
          <w:tcPr>
            <w:tcW w:w="889" w:type="dxa"/>
            <w:noWrap/>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LS法</w:t>
            </w:r>
          </w:p>
        </w:tc>
        <w:tc>
          <w:tcPr>
            <w:tcW w:w="904" w:type="dxa"/>
            <w:noWrap/>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5～</w:t>
            </w:r>
            <w:r>
              <w:rPr>
                <w:rFonts w:ascii="宋体" w:hAnsi="宋体" w:eastAsia="宋体" w:cs="宋体"/>
                <w:sz w:val="20"/>
                <w:szCs w:val="20"/>
                <w:lang w:bidi="ar"/>
              </w:rPr>
              <w:t>6</w:t>
            </w:r>
            <w:r>
              <w:rPr>
                <w:rFonts w:hint="eastAsia" w:ascii="宋体" w:hAnsi="宋体" w:eastAsia="宋体" w:cs="宋体"/>
                <w:sz w:val="20"/>
                <w:szCs w:val="20"/>
                <w:lang w:bidi="ar"/>
              </w:rPr>
              <w:t>0</w:t>
            </w:r>
          </w:p>
        </w:tc>
        <w:tc>
          <w:tcPr>
            <w:tcW w:w="715" w:type="dxa"/>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kern w:val="2"/>
                <w:sz w:val="20"/>
                <w:szCs w:val="20"/>
              </w:rPr>
              <w:t>/</w:t>
            </w:r>
          </w:p>
        </w:tc>
        <w:tc>
          <w:tcPr>
            <w:tcW w:w="775" w:type="dxa"/>
            <w:noWrap/>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3～</w:t>
            </w:r>
            <w:r>
              <w:rPr>
                <w:rFonts w:ascii="宋体" w:hAnsi="宋体" w:eastAsia="宋体" w:cs="宋体"/>
                <w:sz w:val="20"/>
                <w:szCs w:val="20"/>
                <w:lang w:bidi="ar"/>
              </w:rPr>
              <w:t>15</w:t>
            </w:r>
          </w:p>
        </w:tc>
        <w:tc>
          <w:tcPr>
            <w:tcW w:w="1014" w:type="dxa"/>
            <w:noWrap/>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15～</w:t>
            </w:r>
            <w:r>
              <w:rPr>
                <w:rFonts w:ascii="宋体" w:hAnsi="宋体" w:eastAsia="宋体" w:cs="宋体"/>
                <w:sz w:val="20"/>
                <w:szCs w:val="20"/>
                <w:lang w:bidi="ar"/>
              </w:rPr>
              <w:t>90</w:t>
            </w:r>
            <w:r>
              <w:rPr>
                <w:rFonts w:hint="eastAsia" w:ascii="宋体" w:hAnsi="宋体" w:eastAsia="宋体" w:cs="宋体"/>
                <w:sz w:val="20"/>
                <w:szCs w:val="20"/>
                <w:lang w:bidi="ar"/>
              </w:rPr>
              <w:t>0</w:t>
            </w:r>
          </w:p>
        </w:tc>
        <w:tc>
          <w:tcPr>
            <w:tcW w:w="894" w:type="dxa"/>
            <w:noWrap/>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低～重大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683" w:type="dxa"/>
            <w:noWrap/>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ascii="宋体" w:hAnsi="宋体" w:eastAsia="宋体" w:cs="宋体"/>
                <w:sz w:val="20"/>
                <w:szCs w:val="20"/>
                <w:lang w:bidi="ar"/>
              </w:rPr>
              <w:t>7</w:t>
            </w:r>
          </w:p>
        </w:tc>
        <w:tc>
          <w:tcPr>
            <w:tcW w:w="1064" w:type="dxa"/>
            <w:vMerge w:val="continue"/>
            <w:tcMar>
              <w:top w:w="15" w:type="dxa"/>
              <w:left w:w="15" w:type="dxa"/>
              <w:right w:w="15" w:type="dxa"/>
            </w:tcMar>
            <w:vAlign w:val="center"/>
          </w:tcPr>
          <w:p>
            <w:pPr>
              <w:widowControl w:val="0"/>
              <w:snapToGrid w:val="0"/>
              <w:jc w:val="center"/>
              <w:rPr>
                <w:rFonts w:ascii="宋体" w:hAnsi="宋体" w:eastAsia="宋体" w:cs="宋体"/>
                <w:kern w:val="2"/>
                <w:sz w:val="20"/>
                <w:szCs w:val="20"/>
              </w:rPr>
            </w:pPr>
          </w:p>
        </w:tc>
        <w:tc>
          <w:tcPr>
            <w:tcW w:w="1103" w:type="dxa"/>
            <w:vMerge w:val="continue"/>
            <w:tcMar>
              <w:top w:w="15" w:type="dxa"/>
              <w:left w:w="15" w:type="dxa"/>
              <w:right w:w="15" w:type="dxa"/>
            </w:tcMar>
            <w:vAlign w:val="center"/>
          </w:tcPr>
          <w:p>
            <w:pPr>
              <w:widowControl w:val="0"/>
              <w:snapToGrid w:val="0"/>
              <w:jc w:val="center"/>
              <w:rPr>
                <w:rFonts w:ascii="宋体" w:hAnsi="宋体" w:eastAsia="宋体" w:cs="宋体"/>
                <w:kern w:val="2"/>
                <w:sz w:val="20"/>
                <w:szCs w:val="20"/>
              </w:rPr>
            </w:pPr>
          </w:p>
        </w:tc>
        <w:tc>
          <w:tcPr>
            <w:tcW w:w="1707" w:type="dxa"/>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护脚（脚槽或镇脚）</w:t>
            </w:r>
          </w:p>
        </w:tc>
        <w:tc>
          <w:tcPr>
            <w:tcW w:w="2410" w:type="dxa"/>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水流冲刷、漩涡、人为破坏</w:t>
            </w:r>
          </w:p>
        </w:tc>
        <w:tc>
          <w:tcPr>
            <w:tcW w:w="2165" w:type="dxa"/>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变形、失稳、坍塌、     崩岸、滑坡</w:t>
            </w:r>
          </w:p>
        </w:tc>
        <w:tc>
          <w:tcPr>
            <w:tcW w:w="889" w:type="dxa"/>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LS法</w:t>
            </w:r>
          </w:p>
        </w:tc>
        <w:tc>
          <w:tcPr>
            <w:tcW w:w="904" w:type="dxa"/>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ascii="宋体" w:hAnsi="宋体" w:eastAsia="宋体" w:cs="宋体"/>
                <w:sz w:val="20"/>
                <w:szCs w:val="20"/>
                <w:lang w:bidi="ar"/>
              </w:rPr>
              <w:t>5</w:t>
            </w:r>
            <w:r>
              <w:rPr>
                <w:rFonts w:hint="eastAsia" w:ascii="宋体" w:hAnsi="宋体" w:eastAsia="宋体" w:cs="宋体"/>
                <w:sz w:val="20"/>
                <w:szCs w:val="20"/>
                <w:lang w:bidi="ar"/>
              </w:rPr>
              <w:t>～</w:t>
            </w:r>
            <w:r>
              <w:rPr>
                <w:rFonts w:ascii="宋体" w:hAnsi="宋体" w:eastAsia="宋体" w:cs="宋体"/>
                <w:sz w:val="20"/>
                <w:szCs w:val="20"/>
                <w:lang w:bidi="ar"/>
              </w:rPr>
              <w:t>6</w:t>
            </w:r>
            <w:r>
              <w:rPr>
                <w:rFonts w:hint="eastAsia" w:ascii="宋体" w:hAnsi="宋体" w:eastAsia="宋体" w:cs="宋体"/>
                <w:sz w:val="20"/>
                <w:szCs w:val="20"/>
                <w:lang w:bidi="ar"/>
              </w:rPr>
              <w:t>0</w:t>
            </w:r>
          </w:p>
        </w:tc>
        <w:tc>
          <w:tcPr>
            <w:tcW w:w="715" w:type="dxa"/>
            <w:tcMar>
              <w:top w:w="15" w:type="dxa"/>
              <w:left w:w="15" w:type="dxa"/>
              <w:right w:w="15" w:type="dxa"/>
            </w:tcMar>
            <w:vAlign w:val="center"/>
          </w:tcPr>
          <w:p>
            <w:pPr>
              <w:widowControl w:val="0"/>
              <w:snapToGrid w:val="0"/>
              <w:jc w:val="center"/>
              <w:rPr>
                <w:rFonts w:ascii="宋体" w:hAnsi="宋体" w:eastAsia="宋体" w:cs="宋体"/>
                <w:kern w:val="2"/>
                <w:sz w:val="20"/>
                <w:szCs w:val="20"/>
              </w:rPr>
            </w:pPr>
            <w:r>
              <w:rPr>
                <w:rFonts w:hint="eastAsia" w:ascii="宋体" w:hAnsi="宋体" w:eastAsia="宋体" w:cs="宋体"/>
                <w:kern w:val="2"/>
                <w:sz w:val="20"/>
                <w:szCs w:val="20"/>
              </w:rPr>
              <w:t>/</w:t>
            </w:r>
          </w:p>
        </w:tc>
        <w:tc>
          <w:tcPr>
            <w:tcW w:w="775" w:type="dxa"/>
            <w:noWrap/>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ascii="宋体" w:hAnsi="宋体" w:eastAsia="宋体" w:cs="宋体"/>
                <w:kern w:val="2"/>
                <w:sz w:val="20"/>
                <w:szCs w:val="20"/>
                <w:lang w:bidi="ar"/>
              </w:rPr>
              <w:t>3～15</w:t>
            </w:r>
          </w:p>
        </w:tc>
        <w:tc>
          <w:tcPr>
            <w:tcW w:w="1014" w:type="dxa"/>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15～</w:t>
            </w:r>
            <w:r>
              <w:rPr>
                <w:rFonts w:ascii="宋体" w:hAnsi="宋体" w:eastAsia="宋体" w:cs="宋体"/>
                <w:sz w:val="20"/>
                <w:szCs w:val="20"/>
                <w:lang w:bidi="ar"/>
              </w:rPr>
              <w:t>90</w:t>
            </w:r>
            <w:r>
              <w:rPr>
                <w:rFonts w:hint="eastAsia" w:ascii="宋体" w:hAnsi="宋体" w:eastAsia="宋体" w:cs="宋体"/>
                <w:sz w:val="20"/>
                <w:szCs w:val="20"/>
                <w:lang w:bidi="ar"/>
              </w:rPr>
              <w:t>0</w:t>
            </w:r>
          </w:p>
        </w:tc>
        <w:tc>
          <w:tcPr>
            <w:tcW w:w="894" w:type="dxa"/>
            <w:noWrap/>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低～重大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683" w:type="dxa"/>
            <w:noWrap/>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ascii="宋体" w:hAnsi="宋体" w:eastAsia="宋体" w:cs="宋体"/>
                <w:sz w:val="20"/>
                <w:szCs w:val="20"/>
                <w:lang w:bidi="ar"/>
              </w:rPr>
              <w:t>8</w:t>
            </w:r>
          </w:p>
        </w:tc>
        <w:tc>
          <w:tcPr>
            <w:tcW w:w="1064" w:type="dxa"/>
            <w:vMerge w:val="continue"/>
            <w:tcMar>
              <w:top w:w="15" w:type="dxa"/>
              <w:left w:w="15" w:type="dxa"/>
              <w:right w:w="15" w:type="dxa"/>
            </w:tcMar>
            <w:vAlign w:val="center"/>
          </w:tcPr>
          <w:p>
            <w:pPr>
              <w:widowControl w:val="0"/>
              <w:snapToGrid w:val="0"/>
              <w:jc w:val="center"/>
              <w:rPr>
                <w:rFonts w:ascii="宋体" w:hAnsi="宋体" w:eastAsia="宋体" w:cs="宋体"/>
                <w:kern w:val="2"/>
                <w:sz w:val="20"/>
                <w:szCs w:val="20"/>
              </w:rPr>
            </w:pPr>
          </w:p>
        </w:tc>
        <w:tc>
          <w:tcPr>
            <w:tcW w:w="1103" w:type="dxa"/>
            <w:vMerge w:val="restart"/>
            <w:tcMar>
              <w:top w:w="15" w:type="dxa"/>
              <w:left w:w="15" w:type="dxa"/>
              <w:right w:w="15" w:type="dxa"/>
            </w:tcMar>
            <w:vAlign w:val="center"/>
          </w:tcPr>
          <w:p>
            <w:pPr>
              <w:snapToGrid w:val="0"/>
              <w:jc w:val="center"/>
              <w:textAlignment w:val="center"/>
              <w:rPr>
                <w:rFonts w:ascii="宋体" w:hAnsi="宋体" w:eastAsia="宋体" w:cs="宋体"/>
                <w:sz w:val="20"/>
                <w:szCs w:val="20"/>
                <w:lang w:bidi="ar"/>
              </w:rPr>
            </w:pPr>
            <w:r>
              <w:rPr>
                <w:rFonts w:ascii="宋体" w:hAnsi="宋体" w:eastAsia="宋体" w:cs="宋体"/>
                <w:sz w:val="20"/>
                <w:szCs w:val="20"/>
                <w:lang w:bidi="ar"/>
              </w:rPr>
              <w:t>防渗及</w:t>
            </w:r>
            <w:r>
              <w:rPr>
                <w:rFonts w:hint="eastAsia" w:ascii="宋体" w:hAnsi="宋体" w:eastAsia="宋体" w:cs="宋体"/>
                <w:sz w:val="20"/>
                <w:szCs w:val="20"/>
                <w:lang w:bidi="ar"/>
              </w:rPr>
              <w:t xml:space="preserve">   </w:t>
            </w:r>
            <w:r>
              <w:rPr>
                <w:rFonts w:ascii="宋体" w:hAnsi="宋体" w:eastAsia="宋体" w:cs="宋体"/>
                <w:sz w:val="20"/>
                <w:szCs w:val="20"/>
                <w:lang w:bidi="ar"/>
              </w:rPr>
              <w:t>排水设施</w:t>
            </w:r>
          </w:p>
        </w:tc>
        <w:tc>
          <w:tcPr>
            <w:tcW w:w="1707" w:type="dxa"/>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防渗设施</w:t>
            </w:r>
          </w:p>
        </w:tc>
        <w:tc>
          <w:tcPr>
            <w:tcW w:w="2410" w:type="dxa"/>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防渗失效、浸润线抬升</w:t>
            </w:r>
          </w:p>
        </w:tc>
        <w:tc>
          <w:tcPr>
            <w:tcW w:w="2165" w:type="dxa"/>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管涌、流土、散浸、滑坡</w:t>
            </w:r>
          </w:p>
        </w:tc>
        <w:tc>
          <w:tcPr>
            <w:tcW w:w="889" w:type="dxa"/>
            <w:noWrap/>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LS法</w:t>
            </w:r>
          </w:p>
        </w:tc>
        <w:tc>
          <w:tcPr>
            <w:tcW w:w="904" w:type="dxa"/>
            <w:noWrap/>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ascii="宋体" w:hAnsi="宋体" w:eastAsia="宋体" w:cs="宋体"/>
                <w:sz w:val="20"/>
                <w:szCs w:val="20"/>
                <w:lang w:bidi="ar"/>
              </w:rPr>
              <w:t>5</w:t>
            </w:r>
            <w:r>
              <w:rPr>
                <w:rFonts w:hint="eastAsia" w:ascii="宋体" w:hAnsi="宋体" w:eastAsia="宋体" w:cs="宋体"/>
                <w:sz w:val="20"/>
                <w:szCs w:val="20"/>
                <w:lang w:bidi="ar"/>
              </w:rPr>
              <w:t>～</w:t>
            </w:r>
            <w:r>
              <w:rPr>
                <w:rFonts w:ascii="宋体" w:hAnsi="宋体" w:eastAsia="宋体" w:cs="宋体"/>
                <w:sz w:val="20"/>
                <w:szCs w:val="20"/>
                <w:lang w:bidi="ar"/>
              </w:rPr>
              <w:t>6</w:t>
            </w:r>
            <w:r>
              <w:rPr>
                <w:rFonts w:hint="eastAsia" w:ascii="宋体" w:hAnsi="宋体" w:eastAsia="宋体" w:cs="宋体"/>
                <w:sz w:val="20"/>
                <w:szCs w:val="20"/>
                <w:lang w:bidi="ar"/>
              </w:rPr>
              <w:t>0</w:t>
            </w:r>
          </w:p>
        </w:tc>
        <w:tc>
          <w:tcPr>
            <w:tcW w:w="715" w:type="dxa"/>
            <w:tcMar>
              <w:top w:w="15" w:type="dxa"/>
              <w:left w:w="15" w:type="dxa"/>
              <w:right w:w="15" w:type="dxa"/>
            </w:tcMar>
            <w:vAlign w:val="center"/>
          </w:tcPr>
          <w:p>
            <w:pPr>
              <w:widowControl w:val="0"/>
              <w:snapToGrid w:val="0"/>
              <w:jc w:val="center"/>
              <w:rPr>
                <w:rFonts w:ascii="宋体" w:hAnsi="宋体" w:eastAsia="宋体" w:cs="宋体"/>
                <w:kern w:val="2"/>
                <w:sz w:val="20"/>
                <w:szCs w:val="20"/>
              </w:rPr>
            </w:pPr>
            <w:r>
              <w:rPr>
                <w:rFonts w:hint="eastAsia" w:ascii="宋体" w:hAnsi="宋体" w:eastAsia="宋体" w:cs="宋体"/>
                <w:kern w:val="2"/>
                <w:sz w:val="20"/>
                <w:szCs w:val="20"/>
              </w:rPr>
              <w:t>/</w:t>
            </w:r>
          </w:p>
        </w:tc>
        <w:tc>
          <w:tcPr>
            <w:tcW w:w="775" w:type="dxa"/>
            <w:noWrap/>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ascii="宋体" w:hAnsi="宋体" w:eastAsia="宋体" w:cs="宋体"/>
                <w:kern w:val="2"/>
                <w:sz w:val="20"/>
                <w:szCs w:val="20"/>
                <w:lang w:bidi="ar"/>
              </w:rPr>
              <w:t>3～15</w:t>
            </w:r>
          </w:p>
        </w:tc>
        <w:tc>
          <w:tcPr>
            <w:tcW w:w="1014" w:type="dxa"/>
            <w:noWrap/>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15～</w:t>
            </w:r>
            <w:r>
              <w:rPr>
                <w:rFonts w:ascii="宋体" w:hAnsi="宋体" w:eastAsia="宋体" w:cs="宋体"/>
                <w:sz w:val="20"/>
                <w:szCs w:val="20"/>
                <w:lang w:bidi="ar"/>
              </w:rPr>
              <w:t>90</w:t>
            </w:r>
            <w:r>
              <w:rPr>
                <w:rFonts w:hint="eastAsia" w:ascii="宋体" w:hAnsi="宋体" w:eastAsia="宋体" w:cs="宋体"/>
                <w:sz w:val="20"/>
                <w:szCs w:val="20"/>
                <w:lang w:bidi="ar"/>
              </w:rPr>
              <w:t>0</w:t>
            </w:r>
          </w:p>
        </w:tc>
        <w:tc>
          <w:tcPr>
            <w:tcW w:w="894" w:type="dxa"/>
            <w:noWrap/>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低～重大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683" w:type="dxa"/>
            <w:noWrap/>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ascii="宋体" w:hAnsi="宋体" w:eastAsia="宋体" w:cs="宋体"/>
                <w:sz w:val="20"/>
                <w:szCs w:val="20"/>
                <w:lang w:bidi="ar"/>
              </w:rPr>
              <w:t>9</w:t>
            </w:r>
          </w:p>
        </w:tc>
        <w:tc>
          <w:tcPr>
            <w:tcW w:w="1064" w:type="dxa"/>
            <w:vMerge w:val="continue"/>
            <w:tcMar>
              <w:top w:w="15" w:type="dxa"/>
              <w:left w:w="15" w:type="dxa"/>
              <w:right w:w="15" w:type="dxa"/>
            </w:tcMar>
            <w:vAlign w:val="center"/>
          </w:tcPr>
          <w:p>
            <w:pPr>
              <w:widowControl w:val="0"/>
              <w:snapToGrid w:val="0"/>
              <w:jc w:val="center"/>
              <w:rPr>
                <w:rFonts w:ascii="宋体" w:hAnsi="宋体" w:eastAsia="宋体" w:cs="宋体"/>
                <w:kern w:val="2"/>
                <w:sz w:val="20"/>
                <w:szCs w:val="20"/>
              </w:rPr>
            </w:pPr>
          </w:p>
        </w:tc>
        <w:tc>
          <w:tcPr>
            <w:tcW w:w="1103" w:type="dxa"/>
            <w:vMerge w:val="continue"/>
            <w:tcMar>
              <w:top w:w="15" w:type="dxa"/>
              <w:left w:w="15" w:type="dxa"/>
              <w:right w:w="15" w:type="dxa"/>
            </w:tcMar>
            <w:vAlign w:val="center"/>
          </w:tcPr>
          <w:p>
            <w:pPr>
              <w:snapToGrid w:val="0"/>
              <w:textAlignment w:val="center"/>
              <w:rPr>
                <w:rFonts w:ascii="宋体" w:hAnsi="宋体" w:eastAsia="宋体" w:cs="宋体"/>
                <w:sz w:val="20"/>
                <w:szCs w:val="20"/>
                <w:lang w:bidi="ar"/>
              </w:rPr>
            </w:pPr>
          </w:p>
        </w:tc>
        <w:tc>
          <w:tcPr>
            <w:tcW w:w="1707" w:type="dxa"/>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排水设施</w:t>
            </w:r>
          </w:p>
        </w:tc>
        <w:tc>
          <w:tcPr>
            <w:tcW w:w="2410" w:type="dxa"/>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排水设施失效、          浸润线抬升、淤积</w:t>
            </w:r>
          </w:p>
        </w:tc>
        <w:tc>
          <w:tcPr>
            <w:tcW w:w="2165" w:type="dxa"/>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滑坡、失稳</w:t>
            </w:r>
          </w:p>
        </w:tc>
        <w:tc>
          <w:tcPr>
            <w:tcW w:w="889" w:type="dxa"/>
            <w:noWrap/>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LS法</w:t>
            </w:r>
          </w:p>
        </w:tc>
        <w:tc>
          <w:tcPr>
            <w:tcW w:w="904" w:type="dxa"/>
            <w:noWrap/>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5～30</w:t>
            </w:r>
          </w:p>
        </w:tc>
        <w:tc>
          <w:tcPr>
            <w:tcW w:w="715" w:type="dxa"/>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kern w:val="2"/>
                <w:sz w:val="20"/>
                <w:szCs w:val="20"/>
              </w:rPr>
              <w:t>/</w:t>
            </w:r>
          </w:p>
        </w:tc>
        <w:tc>
          <w:tcPr>
            <w:tcW w:w="775" w:type="dxa"/>
            <w:noWrap/>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3～</w:t>
            </w:r>
            <w:r>
              <w:rPr>
                <w:rFonts w:ascii="宋体" w:hAnsi="宋体" w:eastAsia="宋体" w:cs="宋体"/>
                <w:sz w:val="20"/>
                <w:szCs w:val="20"/>
                <w:lang w:bidi="ar"/>
              </w:rPr>
              <w:t>15</w:t>
            </w:r>
          </w:p>
        </w:tc>
        <w:tc>
          <w:tcPr>
            <w:tcW w:w="1014" w:type="dxa"/>
            <w:noWrap/>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15～</w:t>
            </w:r>
            <w:r>
              <w:rPr>
                <w:rFonts w:ascii="宋体" w:hAnsi="宋体" w:eastAsia="宋体" w:cs="宋体"/>
                <w:sz w:val="20"/>
                <w:szCs w:val="20"/>
                <w:lang w:bidi="ar"/>
              </w:rPr>
              <w:t>45</w:t>
            </w:r>
            <w:r>
              <w:rPr>
                <w:rFonts w:hint="eastAsia" w:ascii="宋体" w:hAnsi="宋体" w:eastAsia="宋体" w:cs="宋体"/>
                <w:sz w:val="20"/>
                <w:szCs w:val="20"/>
                <w:lang w:bidi="ar"/>
              </w:rPr>
              <w:t>0</w:t>
            </w:r>
          </w:p>
        </w:tc>
        <w:tc>
          <w:tcPr>
            <w:tcW w:w="894" w:type="dxa"/>
            <w:noWrap/>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低～重大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683" w:type="dxa"/>
            <w:noWrap/>
            <w:tcMar>
              <w:top w:w="15" w:type="dxa"/>
              <w:left w:w="15" w:type="dxa"/>
              <w:right w:w="15" w:type="dxa"/>
            </w:tcMar>
            <w:vAlign w:val="center"/>
          </w:tcPr>
          <w:p>
            <w:pPr>
              <w:snapToGrid w:val="0"/>
              <w:jc w:val="center"/>
              <w:textAlignment w:val="center"/>
              <w:rPr>
                <w:rFonts w:ascii="宋体" w:hAnsi="宋体" w:eastAsia="宋体" w:cs="宋体"/>
                <w:sz w:val="20"/>
                <w:szCs w:val="20"/>
                <w:lang w:bidi="ar"/>
              </w:rPr>
            </w:pPr>
            <w:r>
              <w:rPr>
                <w:rFonts w:ascii="宋体" w:hAnsi="宋体" w:eastAsia="宋体" w:cs="宋体"/>
                <w:sz w:val="20"/>
                <w:szCs w:val="20"/>
                <w:lang w:bidi="ar"/>
              </w:rPr>
              <w:t>10</w:t>
            </w:r>
          </w:p>
        </w:tc>
        <w:tc>
          <w:tcPr>
            <w:tcW w:w="1064" w:type="dxa"/>
            <w:vMerge w:val="continue"/>
            <w:tcMar>
              <w:top w:w="15" w:type="dxa"/>
              <w:left w:w="15" w:type="dxa"/>
              <w:right w:w="15" w:type="dxa"/>
            </w:tcMar>
            <w:vAlign w:val="center"/>
          </w:tcPr>
          <w:p>
            <w:pPr>
              <w:widowControl w:val="0"/>
              <w:snapToGrid w:val="0"/>
              <w:jc w:val="center"/>
              <w:rPr>
                <w:rFonts w:ascii="宋体" w:hAnsi="宋体" w:eastAsia="宋体" w:cs="宋体"/>
                <w:kern w:val="2"/>
                <w:sz w:val="20"/>
                <w:szCs w:val="20"/>
              </w:rPr>
            </w:pPr>
          </w:p>
        </w:tc>
        <w:tc>
          <w:tcPr>
            <w:tcW w:w="1103" w:type="dxa"/>
            <w:tcMar>
              <w:top w:w="15" w:type="dxa"/>
              <w:left w:w="15" w:type="dxa"/>
              <w:right w:w="15" w:type="dxa"/>
            </w:tcMar>
            <w:vAlign w:val="center"/>
          </w:tcPr>
          <w:p>
            <w:pPr>
              <w:snapToGrid w:val="0"/>
              <w:textAlignment w:val="center"/>
              <w:rPr>
                <w:rFonts w:ascii="宋体" w:hAnsi="宋体" w:eastAsia="宋体" w:cs="宋体"/>
                <w:sz w:val="20"/>
                <w:szCs w:val="20"/>
                <w:lang w:bidi="ar"/>
              </w:rPr>
            </w:pPr>
            <w:r>
              <w:rPr>
                <w:rFonts w:hint="eastAsia" w:ascii="宋体" w:hAnsi="宋体" w:eastAsia="宋体" w:cs="宋体"/>
                <w:sz w:val="20"/>
                <w:szCs w:val="20"/>
                <w:lang w:bidi="ar"/>
              </w:rPr>
              <w:t>穿（跨、临）堤建筑物与堤防接合部</w:t>
            </w:r>
          </w:p>
        </w:tc>
        <w:tc>
          <w:tcPr>
            <w:tcW w:w="1707" w:type="dxa"/>
            <w:tcMar>
              <w:top w:w="15" w:type="dxa"/>
              <w:left w:w="15" w:type="dxa"/>
              <w:right w:w="15" w:type="dxa"/>
            </w:tcMar>
            <w:vAlign w:val="center"/>
          </w:tcPr>
          <w:p>
            <w:pPr>
              <w:snapToGrid w:val="0"/>
              <w:jc w:val="center"/>
              <w:textAlignment w:val="center"/>
              <w:rPr>
                <w:rFonts w:ascii="宋体" w:hAnsi="宋体" w:eastAsia="宋体" w:cs="宋体"/>
                <w:sz w:val="20"/>
                <w:szCs w:val="20"/>
                <w:lang w:bidi="ar"/>
              </w:rPr>
            </w:pPr>
            <w:r>
              <w:rPr>
                <w:rFonts w:hint="eastAsia" w:ascii="宋体" w:hAnsi="宋体" w:eastAsia="宋体" w:cs="宋体"/>
                <w:sz w:val="20"/>
                <w:szCs w:val="20"/>
                <w:lang w:bidi="ar"/>
              </w:rPr>
              <w:t>跨堤、临堤建筑物与堤防接合部</w:t>
            </w:r>
          </w:p>
        </w:tc>
        <w:tc>
          <w:tcPr>
            <w:tcW w:w="2410" w:type="dxa"/>
            <w:tcMar>
              <w:top w:w="15" w:type="dxa"/>
              <w:left w:w="15" w:type="dxa"/>
              <w:right w:w="15" w:type="dxa"/>
            </w:tcMar>
            <w:vAlign w:val="center"/>
          </w:tcPr>
          <w:p>
            <w:pPr>
              <w:snapToGrid w:val="0"/>
              <w:jc w:val="center"/>
              <w:textAlignment w:val="center"/>
              <w:rPr>
                <w:rFonts w:ascii="宋体" w:hAnsi="宋体" w:eastAsia="宋体" w:cs="宋体"/>
                <w:sz w:val="20"/>
                <w:szCs w:val="20"/>
                <w:lang w:bidi="ar"/>
              </w:rPr>
            </w:pPr>
            <w:r>
              <w:rPr>
                <w:rFonts w:hint="eastAsia" w:ascii="宋体" w:hAnsi="宋体" w:eastAsia="宋体" w:cs="宋体"/>
                <w:sz w:val="20"/>
                <w:szCs w:val="20"/>
                <w:lang w:bidi="ar"/>
              </w:rPr>
              <w:t>垮堤建筑物基础承受    荷载过大；水流冲刷、淘刷</w:t>
            </w:r>
          </w:p>
        </w:tc>
        <w:tc>
          <w:tcPr>
            <w:tcW w:w="2165" w:type="dxa"/>
            <w:tcMar>
              <w:top w:w="15" w:type="dxa"/>
              <w:left w:w="15" w:type="dxa"/>
              <w:right w:w="15" w:type="dxa"/>
            </w:tcMar>
            <w:vAlign w:val="center"/>
          </w:tcPr>
          <w:p>
            <w:pPr>
              <w:snapToGrid w:val="0"/>
              <w:jc w:val="center"/>
              <w:textAlignment w:val="center"/>
              <w:rPr>
                <w:rFonts w:ascii="宋体" w:hAnsi="宋体" w:eastAsia="宋体" w:cs="宋体"/>
                <w:sz w:val="20"/>
                <w:szCs w:val="20"/>
                <w:lang w:bidi="ar"/>
              </w:rPr>
            </w:pPr>
            <w:r>
              <w:rPr>
                <w:rFonts w:hint="eastAsia" w:ascii="宋体" w:hAnsi="宋体" w:eastAsia="宋体" w:cs="宋体"/>
                <w:sz w:val="20"/>
                <w:szCs w:val="20"/>
              </w:rPr>
              <w:t>塌陷、开裂；</w:t>
            </w:r>
            <w:r>
              <w:rPr>
                <w:rFonts w:hint="eastAsia" w:ascii="宋体" w:hAnsi="宋体" w:eastAsia="宋体" w:cs="宋体"/>
                <w:sz w:val="20"/>
                <w:szCs w:val="20"/>
                <w:lang w:bidi="ar"/>
              </w:rPr>
              <w:t>滑坡、     崩岸、失稳</w:t>
            </w:r>
          </w:p>
        </w:tc>
        <w:tc>
          <w:tcPr>
            <w:tcW w:w="889" w:type="dxa"/>
            <w:noWrap/>
            <w:tcMar>
              <w:top w:w="15" w:type="dxa"/>
              <w:left w:w="15" w:type="dxa"/>
              <w:right w:w="15" w:type="dxa"/>
            </w:tcMar>
            <w:vAlign w:val="center"/>
          </w:tcPr>
          <w:p>
            <w:pPr>
              <w:snapToGrid w:val="0"/>
              <w:jc w:val="center"/>
              <w:textAlignment w:val="center"/>
              <w:rPr>
                <w:rFonts w:ascii="宋体" w:hAnsi="宋体" w:eastAsia="宋体" w:cs="宋体"/>
                <w:sz w:val="20"/>
                <w:szCs w:val="20"/>
                <w:lang w:bidi="ar"/>
              </w:rPr>
            </w:pPr>
            <w:r>
              <w:rPr>
                <w:rFonts w:hint="eastAsia" w:ascii="宋体" w:hAnsi="宋体" w:eastAsia="宋体" w:cs="宋体"/>
                <w:sz w:val="20"/>
                <w:szCs w:val="20"/>
                <w:lang w:bidi="ar"/>
              </w:rPr>
              <w:t>LS法</w:t>
            </w:r>
          </w:p>
        </w:tc>
        <w:tc>
          <w:tcPr>
            <w:tcW w:w="904" w:type="dxa"/>
            <w:noWrap/>
            <w:tcMar>
              <w:top w:w="15" w:type="dxa"/>
              <w:left w:w="15" w:type="dxa"/>
              <w:right w:w="15" w:type="dxa"/>
            </w:tcMar>
            <w:vAlign w:val="center"/>
          </w:tcPr>
          <w:p>
            <w:pPr>
              <w:snapToGrid w:val="0"/>
              <w:jc w:val="center"/>
              <w:textAlignment w:val="center"/>
              <w:rPr>
                <w:rFonts w:ascii="宋体" w:hAnsi="宋体" w:eastAsia="宋体" w:cs="宋体"/>
                <w:sz w:val="20"/>
                <w:szCs w:val="20"/>
                <w:lang w:bidi="ar"/>
              </w:rPr>
            </w:pPr>
            <w:r>
              <w:rPr>
                <w:rFonts w:hint="eastAsia" w:ascii="宋体" w:hAnsi="宋体" w:eastAsia="宋体" w:cs="宋体"/>
                <w:sz w:val="20"/>
                <w:szCs w:val="20"/>
                <w:lang w:bidi="ar"/>
              </w:rPr>
              <w:t>5～30</w:t>
            </w:r>
          </w:p>
        </w:tc>
        <w:tc>
          <w:tcPr>
            <w:tcW w:w="715" w:type="dxa"/>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kern w:val="2"/>
                <w:sz w:val="20"/>
                <w:szCs w:val="20"/>
              </w:rPr>
              <w:t>/</w:t>
            </w:r>
          </w:p>
        </w:tc>
        <w:tc>
          <w:tcPr>
            <w:tcW w:w="775" w:type="dxa"/>
            <w:noWrap/>
            <w:tcMar>
              <w:top w:w="15" w:type="dxa"/>
              <w:left w:w="15" w:type="dxa"/>
              <w:right w:w="15" w:type="dxa"/>
            </w:tcMar>
            <w:vAlign w:val="center"/>
          </w:tcPr>
          <w:p>
            <w:pPr>
              <w:snapToGrid w:val="0"/>
              <w:jc w:val="center"/>
              <w:textAlignment w:val="center"/>
              <w:rPr>
                <w:rFonts w:ascii="宋体" w:hAnsi="宋体" w:eastAsia="宋体" w:cs="宋体"/>
                <w:sz w:val="20"/>
                <w:szCs w:val="20"/>
                <w:lang w:bidi="ar"/>
              </w:rPr>
            </w:pPr>
            <w:r>
              <w:rPr>
                <w:rFonts w:hint="eastAsia" w:ascii="宋体" w:hAnsi="宋体" w:eastAsia="宋体" w:cs="宋体"/>
                <w:sz w:val="20"/>
                <w:szCs w:val="20"/>
                <w:lang w:bidi="ar"/>
              </w:rPr>
              <w:t>3～</w:t>
            </w:r>
            <w:r>
              <w:rPr>
                <w:rFonts w:ascii="宋体" w:hAnsi="宋体" w:eastAsia="宋体" w:cs="宋体"/>
                <w:sz w:val="20"/>
                <w:szCs w:val="20"/>
                <w:lang w:bidi="ar"/>
              </w:rPr>
              <w:t>15</w:t>
            </w:r>
          </w:p>
        </w:tc>
        <w:tc>
          <w:tcPr>
            <w:tcW w:w="1014" w:type="dxa"/>
            <w:noWrap/>
            <w:tcMar>
              <w:top w:w="15" w:type="dxa"/>
              <w:left w:w="15" w:type="dxa"/>
              <w:right w:w="15" w:type="dxa"/>
            </w:tcMar>
            <w:vAlign w:val="center"/>
          </w:tcPr>
          <w:p>
            <w:pPr>
              <w:snapToGrid w:val="0"/>
              <w:jc w:val="center"/>
              <w:textAlignment w:val="center"/>
              <w:rPr>
                <w:rFonts w:ascii="宋体" w:hAnsi="宋体" w:eastAsia="宋体" w:cs="宋体"/>
                <w:sz w:val="20"/>
                <w:szCs w:val="20"/>
                <w:lang w:bidi="ar"/>
              </w:rPr>
            </w:pPr>
            <w:r>
              <w:rPr>
                <w:rFonts w:hint="eastAsia" w:ascii="宋体" w:hAnsi="宋体" w:eastAsia="宋体" w:cs="宋体"/>
                <w:sz w:val="20"/>
                <w:szCs w:val="20"/>
                <w:lang w:bidi="ar"/>
              </w:rPr>
              <w:t>15～</w:t>
            </w:r>
            <w:r>
              <w:rPr>
                <w:rFonts w:ascii="宋体" w:hAnsi="宋体" w:eastAsia="宋体" w:cs="宋体"/>
                <w:sz w:val="20"/>
                <w:szCs w:val="20"/>
                <w:lang w:bidi="ar"/>
              </w:rPr>
              <w:t>45</w:t>
            </w:r>
            <w:r>
              <w:rPr>
                <w:rFonts w:hint="eastAsia" w:ascii="宋体" w:hAnsi="宋体" w:eastAsia="宋体" w:cs="宋体"/>
                <w:sz w:val="20"/>
                <w:szCs w:val="20"/>
                <w:lang w:bidi="ar"/>
              </w:rPr>
              <w:t>0</w:t>
            </w:r>
          </w:p>
        </w:tc>
        <w:tc>
          <w:tcPr>
            <w:tcW w:w="894" w:type="dxa"/>
            <w:noWrap/>
            <w:tcMar>
              <w:top w:w="15" w:type="dxa"/>
              <w:left w:w="15" w:type="dxa"/>
              <w:right w:w="15" w:type="dxa"/>
            </w:tcMar>
            <w:vAlign w:val="center"/>
          </w:tcPr>
          <w:p>
            <w:pPr>
              <w:snapToGrid w:val="0"/>
              <w:jc w:val="center"/>
              <w:textAlignment w:val="center"/>
              <w:rPr>
                <w:rFonts w:ascii="宋体" w:hAnsi="宋体" w:eastAsia="宋体" w:cs="宋体"/>
                <w:sz w:val="20"/>
                <w:szCs w:val="20"/>
                <w:lang w:bidi="ar"/>
              </w:rPr>
            </w:pPr>
            <w:r>
              <w:rPr>
                <w:rFonts w:hint="eastAsia" w:ascii="宋体" w:hAnsi="宋体" w:eastAsia="宋体" w:cs="宋体"/>
                <w:sz w:val="20"/>
                <w:szCs w:val="20"/>
                <w:lang w:bidi="ar"/>
              </w:rPr>
              <w:t>低～重大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683" w:type="dxa"/>
            <w:tcBorders>
              <w:top w:val="single" w:color="auto" w:sz="4" w:space="0"/>
            </w:tcBorders>
            <w:noWrap/>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1</w:t>
            </w:r>
            <w:r>
              <w:rPr>
                <w:rFonts w:ascii="宋体" w:hAnsi="宋体" w:eastAsia="宋体" w:cs="宋体"/>
                <w:sz w:val="20"/>
                <w:szCs w:val="20"/>
                <w:lang w:bidi="ar"/>
              </w:rPr>
              <w:t>1</w:t>
            </w:r>
          </w:p>
        </w:tc>
        <w:tc>
          <w:tcPr>
            <w:tcW w:w="1064" w:type="dxa"/>
            <w:vMerge w:val="restart"/>
            <w:tcBorders>
              <w:top w:val="single" w:color="auto" w:sz="4" w:space="0"/>
            </w:tcBorders>
            <w:tcMar>
              <w:top w:w="15" w:type="dxa"/>
              <w:left w:w="15" w:type="dxa"/>
              <w:right w:w="15" w:type="dxa"/>
            </w:tcMar>
            <w:vAlign w:val="center"/>
          </w:tcPr>
          <w:p>
            <w:pPr>
              <w:widowControl w:val="0"/>
              <w:snapToGrid w:val="0"/>
              <w:jc w:val="center"/>
              <w:rPr>
                <w:rFonts w:ascii="宋体" w:hAnsi="宋体" w:eastAsia="宋体" w:cs="宋体"/>
                <w:kern w:val="2"/>
                <w:sz w:val="20"/>
                <w:szCs w:val="20"/>
              </w:rPr>
            </w:pPr>
            <w:r>
              <w:rPr>
                <w:rFonts w:ascii="宋体" w:hAnsi="宋体" w:eastAsia="宋体" w:cs="宋体"/>
                <w:sz w:val="20"/>
                <w:szCs w:val="20"/>
                <w:lang w:bidi="ar"/>
              </w:rPr>
              <w:t>设备设施类</w:t>
            </w:r>
          </w:p>
        </w:tc>
        <w:tc>
          <w:tcPr>
            <w:tcW w:w="1103" w:type="dxa"/>
            <w:tcBorders>
              <w:top w:val="single" w:color="auto" w:sz="4" w:space="0"/>
            </w:tcBorders>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ascii="宋体" w:hAnsi="宋体" w:eastAsia="宋体" w:cs="宋体"/>
                <w:sz w:val="20"/>
                <w:szCs w:val="20"/>
                <w:lang w:bidi="ar"/>
              </w:rPr>
              <w:t>防汛抢险</w:t>
            </w:r>
            <w:r>
              <w:rPr>
                <w:rFonts w:hint="eastAsia" w:ascii="宋体" w:hAnsi="宋体" w:eastAsia="宋体" w:cs="宋体"/>
                <w:sz w:val="20"/>
                <w:szCs w:val="20"/>
                <w:lang w:bidi="ar"/>
              </w:rPr>
              <w:t xml:space="preserve">  </w:t>
            </w:r>
            <w:r>
              <w:rPr>
                <w:rFonts w:ascii="宋体" w:hAnsi="宋体" w:eastAsia="宋体" w:cs="宋体"/>
                <w:sz w:val="20"/>
                <w:szCs w:val="20"/>
                <w:lang w:bidi="ar"/>
              </w:rPr>
              <w:t>设施</w:t>
            </w:r>
          </w:p>
        </w:tc>
        <w:tc>
          <w:tcPr>
            <w:tcW w:w="1707" w:type="dxa"/>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防汛抢险照明设施</w:t>
            </w:r>
          </w:p>
        </w:tc>
        <w:tc>
          <w:tcPr>
            <w:tcW w:w="2410" w:type="dxa"/>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rPr>
              <w:t>设施损坏</w:t>
            </w:r>
          </w:p>
        </w:tc>
        <w:tc>
          <w:tcPr>
            <w:tcW w:w="2165" w:type="dxa"/>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rPr>
              <w:t>影响夜间防汛抢险</w:t>
            </w:r>
          </w:p>
        </w:tc>
        <w:tc>
          <w:tcPr>
            <w:tcW w:w="889" w:type="dxa"/>
            <w:noWrap/>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LS法</w:t>
            </w:r>
          </w:p>
        </w:tc>
        <w:tc>
          <w:tcPr>
            <w:tcW w:w="904" w:type="dxa"/>
            <w:noWrap/>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5～</w:t>
            </w:r>
            <w:r>
              <w:rPr>
                <w:rFonts w:ascii="宋体" w:hAnsi="宋体" w:eastAsia="宋体" w:cs="宋体"/>
                <w:sz w:val="20"/>
                <w:szCs w:val="20"/>
                <w:lang w:bidi="ar"/>
              </w:rPr>
              <w:t>1</w:t>
            </w:r>
            <w:r>
              <w:rPr>
                <w:rFonts w:hint="eastAsia" w:ascii="宋体" w:hAnsi="宋体" w:eastAsia="宋体" w:cs="宋体"/>
                <w:sz w:val="20"/>
                <w:szCs w:val="20"/>
                <w:lang w:bidi="ar"/>
              </w:rPr>
              <w:t>0</w:t>
            </w:r>
          </w:p>
        </w:tc>
        <w:tc>
          <w:tcPr>
            <w:tcW w:w="715" w:type="dxa"/>
            <w:tcMar>
              <w:top w:w="15" w:type="dxa"/>
              <w:left w:w="15" w:type="dxa"/>
              <w:right w:w="15" w:type="dxa"/>
            </w:tcMar>
            <w:vAlign w:val="center"/>
          </w:tcPr>
          <w:p>
            <w:pPr>
              <w:widowControl w:val="0"/>
              <w:snapToGrid w:val="0"/>
              <w:jc w:val="center"/>
              <w:rPr>
                <w:rFonts w:ascii="宋体" w:hAnsi="宋体" w:eastAsia="宋体" w:cs="宋体"/>
                <w:kern w:val="2"/>
                <w:sz w:val="20"/>
                <w:szCs w:val="20"/>
              </w:rPr>
            </w:pPr>
            <w:r>
              <w:rPr>
                <w:rFonts w:hint="eastAsia" w:ascii="宋体" w:hAnsi="宋体" w:eastAsia="宋体" w:cs="宋体"/>
                <w:kern w:val="2"/>
                <w:sz w:val="20"/>
                <w:szCs w:val="20"/>
              </w:rPr>
              <w:t>/</w:t>
            </w:r>
          </w:p>
        </w:tc>
        <w:tc>
          <w:tcPr>
            <w:tcW w:w="775" w:type="dxa"/>
            <w:noWrap/>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3～</w:t>
            </w:r>
            <w:r>
              <w:rPr>
                <w:rFonts w:ascii="宋体" w:hAnsi="宋体" w:eastAsia="宋体" w:cs="宋体"/>
                <w:sz w:val="20"/>
                <w:szCs w:val="20"/>
                <w:lang w:bidi="ar"/>
              </w:rPr>
              <w:t>15</w:t>
            </w:r>
          </w:p>
        </w:tc>
        <w:tc>
          <w:tcPr>
            <w:tcW w:w="1014" w:type="dxa"/>
            <w:noWrap/>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15～</w:t>
            </w:r>
            <w:r>
              <w:rPr>
                <w:rFonts w:ascii="宋体" w:hAnsi="宋体" w:eastAsia="宋体" w:cs="宋体"/>
                <w:sz w:val="20"/>
                <w:szCs w:val="20"/>
                <w:lang w:bidi="ar"/>
              </w:rPr>
              <w:t>15</w:t>
            </w:r>
            <w:r>
              <w:rPr>
                <w:rFonts w:hint="eastAsia" w:ascii="宋体" w:hAnsi="宋体" w:eastAsia="宋体" w:cs="宋体"/>
                <w:sz w:val="20"/>
                <w:szCs w:val="20"/>
                <w:lang w:bidi="ar"/>
              </w:rPr>
              <w:t>0</w:t>
            </w:r>
          </w:p>
        </w:tc>
        <w:tc>
          <w:tcPr>
            <w:tcW w:w="894" w:type="dxa"/>
            <w:noWrap/>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低～一般</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683" w:type="dxa"/>
            <w:shd w:val="clear" w:color="auto" w:fill="auto"/>
            <w:noWrap/>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1</w:t>
            </w:r>
            <w:r>
              <w:rPr>
                <w:rFonts w:ascii="宋体" w:hAnsi="宋体" w:eastAsia="宋体" w:cs="宋体"/>
                <w:sz w:val="20"/>
                <w:szCs w:val="20"/>
                <w:lang w:bidi="ar"/>
              </w:rPr>
              <w:t>2</w:t>
            </w:r>
          </w:p>
        </w:tc>
        <w:tc>
          <w:tcPr>
            <w:tcW w:w="1064" w:type="dxa"/>
            <w:vMerge w:val="continue"/>
            <w:shd w:val="clear" w:color="auto" w:fill="auto"/>
            <w:tcMar>
              <w:top w:w="15" w:type="dxa"/>
              <w:left w:w="15" w:type="dxa"/>
              <w:right w:w="15" w:type="dxa"/>
            </w:tcMar>
            <w:vAlign w:val="center"/>
          </w:tcPr>
          <w:p>
            <w:pPr>
              <w:widowControl w:val="0"/>
              <w:snapToGrid w:val="0"/>
              <w:jc w:val="center"/>
              <w:rPr>
                <w:rFonts w:ascii="宋体" w:hAnsi="宋体" w:eastAsia="宋体" w:cs="宋体"/>
                <w:kern w:val="2"/>
                <w:sz w:val="20"/>
                <w:szCs w:val="20"/>
              </w:rPr>
            </w:pPr>
          </w:p>
        </w:tc>
        <w:tc>
          <w:tcPr>
            <w:tcW w:w="1103" w:type="dxa"/>
            <w:vMerge w:val="restart"/>
            <w:shd w:val="clear" w:color="auto" w:fill="auto"/>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ascii="宋体" w:hAnsi="宋体" w:eastAsia="宋体" w:cs="宋体"/>
                <w:sz w:val="20"/>
                <w:szCs w:val="20"/>
                <w:lang w:bidi="ar"/>
              </w:rPr>
              <w:t>生物防护</w:t>
            </w:r>
            <w:r>
              <w:rPr>
                <w:rFonts w:hint="eastAsia" w:ascii="宋体" w:hAnsi="宋体" w:eastAsia="宋体" w:cs="宋体"/>
                <w:sz w:val="20"/>
                <w:szCs w:val="20"/>
                <w:lang w:bidi="ar"/>
              </w:rPr>
              <w:t xml:space="preserve"> </w:t>
            </w:r>
            <w:r>
              <w:rPr>
                <w:rFonts w:ascii="宋体" w:hAnsi="宋体" w:eastAsia="宋体" w:cs="宋体"/>
                <w:sz w:val="20"/>
                <w:szCs w:val="20"/>
                <w:lang w:bidi="ar"/>
              </w:rPr>
              <w:t>工程</w:t>
            </w:r>
          </w:p>
        </w:tc>
        <w:tc>
          <w:tcPr>
            <w:tcW w:w="1707" w:type="dxa"/>
            <w:shd w:val="clear" w:color="auto" w:fill="auto"/>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防浪林、防护林</w:t>
            </w:r>
          </w:p>
        </w:tc>
        <w:tc>
          <w:tcPr>
            <w:tcW w:w="2410" w:type="dxa"/>
            <w:shd w:val="clear" w:color="auto" w:fill="auto"/>
            <w:tcMar>
              <w:top w:w="15" w:type="dxa"/>
              <w:left w:w="15" w:type="dxa"/>
              <w:right w:w="15" w:type="dxa"/>
            </w:tcMar>
            <w:vAlign w:val="center"/>
          </w:tcPr>
          <w:p>
            <w:pPr>
              <w:snapToGrid w:val="0"/>
              <w:jc w:val="center"/>
              <w:textAlignment w:val="center"/>
              <w:rPr>
                <w:rFonts w:ascii="宋体" w:hAnsi="宋体" w:eastAsia="宋体" w:cs="宋体"/>
                <w:sz w:val="20"/>
                <w:szCs w:val="20"/>
                <w:lang w:bidi="ar"/>
              </w:rPr>
            </w:pPr>
            <w:r>
              <w:rPr>
                <w:rFonts w:hint="eastAsia" w:ascii="宋体" w:hAnsi="宋体" w:eastAsia="宋体" w:cs="宋体"/>
                <w:sz w:val="20"/>
                <w:szCs w:val="20"/>
                <w:lang w:bidi="ar"/>
              </w:rPr>
              <w:t>树木枯萎、人为破坏、</w:t>
            </w:r>
          </w:p>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病虫害</w:t>
            </w:r>
          </w:p>
        </w:tc>
        <w:tc>
          <w:tcPr>
            <w:tcW w:w="2165" w:type="dxa"/>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冲刷、堤顶越浪</w:t>
            </w:r>
          </w:p>
        </w:tc>
        <w:tc>
          <w:tcPr>
            <w:tcW w:w="889" w:type="dxa"/>
            <w:noWrap/>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LS法</w:t>
            </w:r>
          </w:p>
        </w:tc>
        <w:tc>
          <w:tcPr>
            <w:tcW w:w="904" w:type="dxa"/>
            <w:noWrap/>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5～10</w:t>
            </w:r>
          </w:p>
        </w:tc>
        <w:tc>
          <w:tcPr>
            <w:tcW w:w="715" w:type="dxa"/>
            <w:tcMar>
              <w:top w:w="15" w:type="dxa"/>
              <w:left w:w="15" w:type="dxa"/>
              <w:right w:w="15" w:type="dxa"/>
            </w:tcMar>
            <w:vAlign w:val="center"/>
          </w:tcPr>
          <w:p>
            <w:pPr>
              <w:widowControl w:val="0"/>
              <w:snapToGrid w:val="0"/>
              <w:jc w:val="center"/>
              <w:rPr>
                <w:rFonts w:ascii="宋体" w:hAnsi="宋体" w:eastAsia="宋体" w:cs="宋体"/>
                <w:kern w:val="2"/>
                <w:sz w:val="20"/>
                <w:szCs w:val="20"/>
              </w:rPr>
            </w:pPr>
            <w:r>
              <w:rPr>
                <w:rFonts w:hint="eastAsia" w:ascii="宋体" w:hAnsi="宋体" w:eastAsia="宋体" w:cs="宋体"/>
                <w:kern w:val="2"/>
                <w:sz w:val="20"/>
                <w:szCs w:val="20"/>
              </w:rPr>
              <w:t>/</w:t>
            </w:r>
          </w:p>
        </w:tc>
        <w:tc>
          <w:tcPr>
            <w:tcW w:w="775" w:type="dxa"/>
            <w:noWrap/>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3～15</w:t>
            </w:r>
          </w:p>
        </w:tc>
        <w:tc>
          <w:tcPr>
            <w:tcW w:w="1014" w:type="dxa"/>
            <w:noWrap/>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15～150</w:t>
            </w:r>
          </w:p>
        </w:tc>
        <w:tc>
          <w:tcPr>
            <w:tcW w:w="894" w:type="dxa"/>
            <w:noWrap/>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低～一般</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683" w:type="dxa"/>
            <w:noWrap/>
            <w:tcMar>
              <w:top w:w="15" w:type="dxa"/>
              <w:left w:w="15" w:type="dxa"/>
              <w:right w:w="15" w:type="dxa"/>
            </w:tcMar>
            <w:vAlign w:val="center"/>
          </w:tcPr>
          <w:p>
            <w:pPr>
              <w:snapToGrid w:val="0"/>
              <w:jc w:val="center"/>
              <w:rPr>
                <w:rFonts w:ascii="宋体" w:hAnsi="宋体" w:eastAsia="宋体" w:cs="宋体"/>
                <w:kern w:val="2"/>
                <w:sz w:val="20"/>
                <w:szCs w:val="20"/>
              </w:rPr>
            </w:pPr>
            <w:r>
              <w:rPr>
                <w:rFonts w:hint="eastAsia" w:ascii="宋体" w:hAnsi="宋体" w:eastAsia="宋体" w:cs="宋体"/>
                <w:sz w:val="20"/>
                <w:szCs w:val="20"/>
                <w:lang w:bidi="ar"/>
              </w:rPr>
              <w:t>1</w:t>
            </w:r>
            <w:r>
              <w:rPr>
                <w:rFonts w:ascii="宋体" w:hAnsi="宋体" w:eastAsia="宋体" w:cs="宋体"/>
                <w:sz w:val="20"/>
                <w:szCs w:val="20"/>
                <w:lang w:bidi="ar"/>
              </w:rPr>
              <w:t>3</w:t>
            </w:r>
          </w:p>
        </w:tc>
        <w:tc>
          <w:tcPr>
            <w:tcW w:w="1064" w:type="dxa"/>
            <w:vMerge w:val="continue"/>
            <w:tcMar>
              <w:top w:w="15" w:type="dxa"/>
              <w:left w:w="15" w:type="dxa"/>
              <w:right w:w="15" w:type="dxa"/>
            </w:tcMar>
            <w:vAlign w:val="center"/>
          </w:tcPr>
          <w:p>
            <w:pPr>
              <w:widowControl w:val="0"/>
              <w:snapToGrid w:val="0"/>
              <w:jc w:val="center"/>
              <w:rPr>
                <w:rFonts w:ascii="宋体" w:hAnsi="宋体" w:eastAsia="宋体" w:cs="宋体"/>
                <w:kern w:val="2"/>
                <w:sz w:val="20"/>
                <w:szCs w:val="20"/>
              </w:rPr>
            </w:pPr>
          </w:p>
        </w:tc>
        <w:tc>
          <w:tcPr>
            <w:tcW w:w="1103" w:type="dxa"/>
            <w:vMerge w:val="continue"/>
            <w:tcBorders>
              <w:bottom w:val="single" w:color="auto" w:sz="4" w:space="0"/>
            </w:tcBorders>
            <w:tcMar>
              <w:top w:w="15" w:type="dxa"/>
              <w:left w:w="15" w:type="dxa"/>
              <w:right w:w="15" w:type="dxa"/>
            </w:tcMar>
            <w:vAlign w:val="center"/>
          </w:tcPr>
          <w:p>
            <w:pPr>
              <w:widowControl w:val="0"/>
              <w:snapToGrid w:val="0"/>
              <w:jc w:val="center"/>
              <w:rPr>
                <w:rFonts w:ascii="宋体" w:hAnsi="宋体" w:eastAsia="宋体" w:cs="宋体"/>
                <w:kern w:val="2"/>
                <w:sz w:val="20"/>
                <w:szCs w:val="20"/>
              </w:rPr>
            </w:pPr>
          </w:p>
        </w:tc>
        <w:tc>
          <w:tcPr>
            <w:tcW w:w="1707" w:type="dxa"/>
            <w:tcBorders>
              <w:bottom w:val="single" w:color="auto" w:sz="4" w:space="0"/>
            </w:tcBorders>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草皮护坡</w:t>
            </w:r>
          </w:p>
        </w:tc>
        <w:tc>
          <w:tcPr>
            <w:tcW w:w="2410" w:type="dxa"/>
            <w:tcMar>
              <w:top w:w="15" w:type="dxa"/>
              <w:left w:w="15" w:type="dxa"/>
              <w:right w:w="15" w:type="dxa"/>
            </w:tcMar>
            <w:vAlign w:val="center"/>
          </w:tcPr>
          <w:p>
            <w:pPr>
              <w:snapToGrid w:val="0"/>
              <w:jc w:val="center"/>
              <w:textAlignment w:val="center"/>
              <w:rPr>
                <w:rFonts w:ascii="宋体" w:hAnsi="宋体" w:eastAsia="宋体" w:cs="宋体"/>
                <w:sz w:val="20"/>
                <w:szCs w:val="20"/>
                <w:lang w:bidi="ar"/>
              </w:rPr>
            </w:pPr>
            <w:r>
              <w:rPr>
                <w:rFonts w:hint="eastAsia" w:ascii="宋体" w:hAnsi="宋体" w:eastAsia="宋体" w:cs="宋体"/>
                <w:sz w:val="20"/>
                <w:szCs w:val="20"/>
                <w:lang w:bidi="ar"/>
              </w:rPr>
              <w:t>草皮枯萎、人为破坏、</w:t>
            </w:r>
          </w:p>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病虫害</w:t>
            </w:r>
          </w:p>
        </w:tc>
        <w:tc>
          <w:tcPr>
            <w:tcW w:w="2165" w:type="dxa"/>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冲刷、坍塌</w:t>
            </w:r>
          </w:p>
        </w:tc>
        <w:tc>
          <w:tcPr>
            <w:tcW w:w="889" w:type="dxa"/>
            <w:noWrap/>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LS法</w:t>
            </w:r>
          </w:p>
        </w:tc>
        <w:tc>
          <w:tcPr>
            <w:tcW w:w="904" w:type="dxa"/>
            <w:noWrap/>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5～10</w:t>
            </w:r>
          </w:p>
        </w:tc>
        <w:tc>
          <w:tcPr>
            <w:tcW w:w="715" w:type="dxa"/>
            <w:tcMar>
              <w:top w:w="15" w:type="dxa"/>
              <w:left w:w="15" w:type="dxa"/>
              <w:right w:w="15" w:type="dxa"/>
            </w:tcMar>
            <w:vAlign w:val="center"/>
          </w:tcPr>
          <w:p>
            <w:pPr>
              <w:widowControl w:val="0"/>
              <w:snapToGrid w:val="0"/>
              <w:jc w:val="center"/>
              <w:rPr>
                <w:rFonts w:ascii="宋体" w:hAnsi="宋体" w:eastAsia="宋体" w:cs="宋体"/>
                <w:kern w:val="2"/>
                <w:sz w:val="20"/>
                <w:szCs w:val="20"/>
              </w:rPr>
            </w:pPr>
            <w:r>
              <w:rPr>
                <w:rFonts w:hint="eastAsia" w:ascii="宋体" w:hAnsi="宋体" w:eastAsia="宋体" w:cs="宋体"/>
                <w:kern w:val="2"/>
                <w:sz w:val="20"/>
                <w:szCs w:val="20"/>
              </w:rPr>
              <w:t>/</w:t>
            </w:r>
          </w:p>
        </w:tc>
        <w:tc>
          <w:tcPr>
            <w:tcW w:w="775" w:type="dxa"/>
            <w:noWrap/>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3～15</w:t>
            </w:r>
          </w:p>
        </w:tc>
        <w:tc>
          <w:tcPr>
            <w:tcW w:w="1014" w:type="dxa"/>
            <w:noWrap/>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15～150</w:t>
            </w:r>
          </w:p>
        </w:tc>
        <w:tc>
          <w:tcPr>
            <w:tcW w:w="894" w:type="dxa"/>
            <w:noWrap/>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低～一般</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683" w:type="dxa"/>
            <w:noWrap/>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ascii="宋体" w:hAnsi="宋体" w:eastAsia="宋体" w:cs="宋体"/>
                <w:sz w:val="20"/>
                <w:szCs w:val="20"/>
                <w:lang w:bidi="ar"/>
              </w:rPr>
              <w:t>14</w:t>
            </w:r>
          </w:p>
        </w:tc>
        <w:tc>
          <w:tcPr>
            <w:tcW w:w="1064" w:type="dxa"/>
            <w:vMerge w:val="continue"/>
            <w:tcMar>
              <w:top w:w="15" w:type="dxa"/>
              <w:left w:w="15" w:type="dxa"/>
              <w:right w:w="15" w:type="dxa"/>
            </w:tcMar>
            <w:vAlign w:val="center"/>
          </w:tcPr>
          <w:p>
            <w:pPr>
              <w:widowControl w:val="0"/>
              <w:snapToGrid w:val="0"/>
              <w:jc w:val="center"/>
              <w:rPr>
                <w:rFonts w:ascii="宋体" w:hAnsi="宋体" w:eastAsia="宋体" w:cs="宋体"/>
                <w:kern w:val="2"/>
                <w:sz w:val="20"/>
                <w:szCs w:val="20"/>
              </w:rPr>
            </w:pPr>
          </w:p>
        </w:tc>
        <w:tc>
          <w:tcPr>
            <w:tcW w:w="1103" w:type="dxa"/>
            <w:vMerge w:val="restart"/>
            <w:tcBorders>
              <w:top w:val="single" w:color="auto" w:sz="4" w:space="0"/>
            </w:tcBorders>
            <w:tcMar>
              <w:top w:w="15" w:type="dxa"/>
              <w:left w:w="15" w:type="dxa"/>
              <w:right w:w="15" w:type="dxa"/>
            </w:tcMar>
            <w:vAlign w:val="center"/>
          </w:tcPr>
          <w:p>
            <w:pPr>
              <w:widowControl w:val="0"/>
              <w:snapToGrid w:val="0"/>
              <w:jc w:val="center"/>
              <w:rPr>
                <w:rFonts w:ascii="宋体" w:hAnsi="宋体" w:eastAsia="宋体" w:cs="宋体"/>
                <w:kern w:val="2"/>
                <w:sz w:val="20"/>
                <w:szCs w:val="20"/>
              </w:rPr>
            </w:pPr>
            <w:r>
              <w:rPr>
                <w:rFonts w:ascii="宋体" w:hAnsi="宋体" w:eastAsia="宋体" w:cs="宋体"/>
                <w:sz w:val="20"/>
                <w:szCs w:val="20"/>
                <w:lang w:bidi="ar"/>
              </w:rPr>
              <w:t>管理设施</w:t>
            </w:r>
          </w:p>
        </w:tc>
        <w:tc>
          <w:tcPr>
            <w:tcW w:w="1707" w:type="dxa"/>
            <w:tcBorders>
              <w:top w:val="single" w:color="auto" w:sz="4" w:space="0"/>
            </w:tcBorders>
            <w:tcMar>
              <w:top w:w="15" w:type="dxa"/>
              <w:left w:w="15" w:type="dxa"/>
              <w:right w:w="15" w:type="dxa"/>
            </w:tcMar>
            <w:vAlign w:val="center"/>
          </w:tcPr>
          <w:p>
            <w:pPr>
              <w:snapToGrid w:val="0"/>
              <w:jc w:val="center"/>
              <w:rPr>
                <w:rFonts w:ascii="宋体" w:hAnsi="宋体" w:eastAsia="宋体" w:cs="宋体"/>
                <w:kern w:val="2"/>
                <w:sz w:val="20"/>
                <w:szCs w:val="20"/>
              </w:rPr>
            </w:pPr>
            <w:r>
              <w:rPr>
                <w:rFonts w:hint="eastAsia" w:ascii="宋体" w:hAnsi="宋体" w:eastAsia="宋体" w:cs="宋体"/>
                <w:sz w:val="20"/>
                <w:szCs w:val="20"/>
              </w:rPr>
              <w:t>观测设施</w:t>
            </w:r>
          </w:p>
        </w:tc>
        <w:tc>
          <w:tcPr>
            <w:tcW w:w="2410" w:type="dxa"/>
            <w:tcMar>
              <w:top w:w="15" w:type="dxa"/>
              <w:left w:w="15" w:type="dxa"/>
              <w:right w:w="15" w:type="dxa"/>
            </w:tcMar>
            <w:vAlign w:val="center"/>
          </w:tcPr>
          <w:p>
            <w:pPr>
              <w:snapToGrid w:val="0"/>
              <w:jc w:val="center"/>
              <w:rPr>
                <w:rFonts w:ascii="宋体" w:hAnsi="宋体" w:eastAsia="宋体" w:cs="宋体"/>
                <w:kern w:val="2"/>
                <w:sz w:val="20"/>
                <w:szCs w:val="20"/>
              </w:rPr>
            </w:pPr>
            <w:r>
              <w:rPr>
                <w:rFonts w:hint="eastAsia" w:ascii="宋体" w:hAnsi="宋体" w:eastAsia="宋体" w:cs="宋体"/>
                <w:sz w:val="20"/>
                <w:szCs w:val="20"/>
              </w:rPr>
              <w:t>损坏</w:t>
            </w:r>
          </w:p>
        </w:tc>
        <w:tc>
          <w:tcPr>
            <w:tcW w:w="2165" w:type="dxa"/>
            <w:tcMar>
              <w:top w:w="15" w:type="dxa"/>
              <w:left w:w="15" w:type="dxa"/>
              <w:right w:w="15" w:type="dxa"/>
            </w:tcMar>
            <w:vAlign w:val="center"/>
          </w:tcPr>
          <w:p>
            <w:pPr>
              <w:snapToGrid w:val="0"/>
              <w:jc w:val="center"/>
              <w:rPr>
                <w:rFonts w:ascii="宋体" w:hAnsi="宋体" w:eastAsia="宋体" w:cs="宋体"/>
                <w:kern w:val="2"/>
                <w:sz w:val="20"/>
                <w:szCs w:val="20"/>
              </w:rPr>
            </w:pPr>
            <w:r>
              <w:rPr>
                <w:rFonts w:hint="eastAsia" w:ascii="宋体" w:hAnsi="宋体" w:eastAsia="宋体" w:cs="宋体"/>
                <w:sz w:val="20"/>
                <w:szCs w:val="20"/>
              </w:rPr>
              <w:t>影响工程调度运行</w:t>
            </w:r>
          </w:p>
        </w:tc>
        <w:tc>
          <w:tcPr>
            <w:tcW w:w="889" w:type="dxa"/>
            <w:noWrap/>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LS法</w:t>
            </w:r>
          </w:p>
        </w:tc>
        <w:tc>
          <w:tcPr>
            <w:tcW w:w="904" w:type="dxa"/>
            <w:noWrap/>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5～10</w:t>
            </w:r>
          </w:p>
        </w:tc>
        <w:tc>
          <w:tcPr>
            <w:tcW w:w="715" w:type="dxa"/>
            <w:tcMar>
              <w:top w:w="15" w:type="dxa"/>
              <w:left w:w="15" w:type="dxa"/>
              <w:right w:w="15" w:type="dxa"/>
            </w:tcMar>
            <w:vAlign w:val="center"/>
          </w:tcPr>
          <w:p>
            <w:pPr>
              <w:widowControl w:val="0"/>
              <w:snapToGrid w:val="0"/>
              <w:jc w:val="center"/>
              <w:rPr>
                <w:rFonts w:ascii="宋体" w:hAnsi="宋体" w:eastAsia="宋体" w:cs="宋体"/>
                <w:kern w:val="2"/>
                <w:sz w:val="20"/>
                <w:szCs w:val="20"/>
              </w:rPr>
            </w:pPr>
            <w:r>
              <w:rPr>
                <w:rFonts w:hint="eastAsia" w:ascii="宋体" w:hAnsi="宋体" w:eastAsia="宋体" w:cs="宋体"/>
                <w:kern w:val="2"/>
                <w:sz w:val="20"/>
                <w:szCs w:val="20"/>
              </w:rPr>
              <w:t>/</w:t>
            </w:r>
          </w:p>
        </w:tc>
        <w:tc>
          <w:tcPr>
            <w:tcW w:w="775" w:type="dxa"/>
            <w:noWrap/>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3～15</w:t>
            </w:r>
          </w:p>
        </w:tc>
        <w:tc>
          <w:tcPr>
            <w:tcW w:w="1014" w:type="dxa"/>
            <w:noWrap/>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15～150</w:t>
            </w:r>
          </w:p>
        </w:tc>
        <w:tc>
          <w:tcPr>
            <w:tcW w:w="894" w:type="dxa"/>
            <w:noWrap/>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低～一般</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683" w:type="dxa"/>
            <w:noWrap/>
            <w:tcMar>
              <w:top w:w="15" w:type="dxa"/>
              <w:left w:w="15" w:type="dxa"/>
              <w:right w:w="15" w:type="dxa"/>
            </w:tcMar>
            <w:vAlign w:val="center"/>
          </w:tcPr>
          <w:p>
            <w:pPr>
              <w:snapToGrid w:val="0"/>
              <w:jc w:val="center"/>
              <w:textAlignment w:val="center"/>
              <w:rPr>
                <w:rFonts w:ascii="宋体" w:hAnsi="宋体" w:eastAsia="宋体" w:cs="宋体"/>
                <w:sz w:val="20"/>
                <w:szCs w:val="20"/>
                <w:lang w:bidi="ar"/>
              </w:rPr>
            </w:pPr>
            <w:r>
              <w:rPr>
                <w:rFonts w:ascii="宋体" w:hAnsi="宋体" w:eastAsia="宋体" w:cs="宋体"/>
                <w:sz w:val="20"/>
                <w:szCs w:val="20"/>
                <w:lang w:bidi="ar"/>
              </w:rPr>
              <w:t>15</w:t>
            </w:r>
          </w:p>
        </w:tc>
        <w:tc>
          <w:tcPr>
            <w:tcW w:w="1064" w:type="dxa"/>
            <w:vMerge w:val="continue"/>
            <w:tcMar>
              <w:top w:w="15" w:type="dxa"/>
              <w:left w:w="15" w:type="dxa"/>
              <w:right w:w="15" w:type="dxa"/>
            </w:tcMar>
            <w:vAlign w:val="center"/>
          </w:tcPr>
          <w:p>
            <w:pPr>
              <w:widowControl w:val="0"/>
              <w:snapToGrid w:val="0"/>
              <w:jc w:val="center"/>
              <w:rPr>
                <w:rFonts w:ascii="宋体" w:hAnsi="宋体" w:eastAsia="宋体" w:cs="宋体"/>
                <w:kern w:val="2"/>
                <w:sz w:val="20"/>
                <w:szCs w:val="20"/>
              </w:rPr>
            </w:pPr>
          </w:p>
        </w:tc>
        <w:tc>
          <w:tcPr>
            <w:tcW w:w="1103" w:type="dxa"/>
            <w:vMerge w:val="continue"/>
            <w:tcMar>
              <w:top w:w="15" w:type="dxa"/>
              <w:left w:w="15" w:type="dxa"/>
              <w:right w:w="15" w:type="dxa"/>
            </w:tcMar>
            <w:vAlign w:val="center"/>
          </w:tcPr>
          <w:p>
            <w:pPr>
              <w:widowControl w:val="0"/>
              <w:snapToGrid w:val="0"/>
              <w:jc w:val="center"/>
              <w:rPr>
                <w:rFonts w:ascii="宋体" w:hAnsi="宋体" w:eastAsia="宋体" w:cs="宋体"/>
                <w:sz w:val="20"/>
                <w:szCs w:val="20"/>
                <w:lang w:bidi="ar"/>
              </w:rPr>
            </w:pPr>
          </w:p>
        </w:tc>
        <w:tc>
          <w:tcPr>
            <w:tcW w:w="1707" w:type="dxa"/>
            <w:tcBorders>
              <w:top w:val="single" w:color="auto" w:sz="4" w:space="0"/>
            </w:tcBorders>
            <w:tcMar>
              <w:top w:w="15" w:type="dxa"/>
              <w:left w:w="15" w:type="dxa"/>
              <w:right w:w="15" w:type="dxa"/>
            </w:tcMar>
            <w:vAlign w:val="center"/>
          </w:tcPr>
          <w:p>
            <w:pPr>
              <w:snapToGrid w:val="0"/>
              <w:jc w:val="center"/>
              <w:rPr>
                <w:rFonts w:ascii="宋体" w:hAnsi="宋体" w:eastAsia="宋体" w:cs="宋体"/>
                <w:sz w:val="20"/>
                <w:szCs w:val="20"/>
              </w:rPr>
            </w:pPr>
            <w:r>
              <w:rPr>
                <w:rFonts w:hint="eastAsia" w:ascii="宋体" w:hAnsi="宋体" w:eastAsia="宋体" w:cs="宋体"/>
                <w:sz w:val="20"/>
                <w:szCs w:val="20"/>
              </w:rPr>
              <w:t>安全监测系统</w:t>
            </w:r>
          </w:p>
        </w:tc>
        <w:tc>
          <w:tcPr>
            <w:tcW w:w="2410" w:type="dxa"/>
            <w:tcMar>
              <w:top w:w="15" w:type="dxa"/>
              <w:left w:w="15" w:type="dxa"/>
              <w:right w:w="15" w:type="dxa"/>
            </w:tcMar>
            <w:vAlign w:val="center"/>
          </w:tcPr>
          <w:p>
            <w:pPr>
              <w:snapToGrid w:val="0"/>
              <w:jc w:val="center"/>
              <w:rPr>
                <w:rFonts w:ascii="宋体" w:hAnsi="宋体" w:eastAsia="宋体" w:cs="宋体"/>
                <w:sz w:val="20"/>
                <w:szCs w:val="20"/>
              </w:rPr>
            </w:pPr>
            <w:r>
              <w:rPr>
                <w:rFonts w:hint="eastAsia" w:ascii="宋体" w:hAnsi="宋体" w:eastAsia="宋体" w:cs="宋体"/>
                <w:sz w:val="20"/>
                <w:szCs w:val="20"/>
              </w:rPr>
              <w:t>功能失效</w:t>
            </w:r>
          </w:p>
        </w:tc>
        <w:tc>
          <w:tcPr>
            <w:tcW w:w="2165" w:type="dxa"/>
            <w:tcMar>
              <w:top w:w="15" w:type="dxa"/>
              <w:left w:w="15" w:type="dxa"/>
              <w:right w:w="15" w:type="dxa"/>
            </w:tcMar>
            <w:vAlign w:val="center"/>
          </w:tcPr>
          <w:p>
            <w:pPr>
              <w:snapToGrid w:val="0"/>
              <w:jc w:val="center"/>
              <w:rPr>
                <w:rFonts w:ascii="宋体" w:hAnsi="宋体" w:eastAsia="宋体" w:cs="宋体"/>
                <w:sz w:val="20"/>
                <w:szCs w:val="20"/>
              </w:rPr>
            </w:pPr>
            <w:r>
              <w:rPr>
                <w:rFonts w:hint="eastAsia" w:ascii="宋体" w:hAnsi="宋体" w:eastAsia="宋体" w:cs="宋体"/>
                <w:sz w:val="20"/>
                <w:szCs w:val="20"/>
              </w:rPr>
              <w:t>不能及时发现工程    隐患或险情</w:t>
            </w:r>
          </w:p>
        </w:tc>
        <w:tc>
          <w:tcPr>
            <w:tcW w:w="889" w:type="dxa"/>
            <w:noWrap/>
            <w:tcMar>
              <w:top w:w="15" w:type="dxa"/>
              <w:left w:w="15" w:type="dxa"/>
              <w:right w:w="15" w:type="dxa"/>
            </w:tcMar>
            <w:vAlign w:val="center"/>
          </w:tcPr>
          <w:p>
            <w:pPr>
              <w:snapToGrid w:val="0"/>
              <w:jc w:val="center"/>
              <w:textAlignment w:val="center"/>
              <w:rPr>
                <w:rFonts w:ascii="宋体" w:hAnsi="宋体" w:eastAsia="宋体" w:cs="宋体"/>
                <w:sz w:val="20"/>
                <w:szCs w:val="20"/>
                <w:lang w:bidi="ar"/>
              </w:rPr>
            </w:pPr>
            <w:r>
              <w:rPr>
                <w:rFonts w:hint="eastAsia" w:ascii="宋体" w:hAnsi="宋体" w:eastAsia="宋体" w:cs="宋体"/>
                <w:sz w:val="20"/>
                <w:szCs w:val="20"/>
                <w:lang w:bidi="ar"/>
              </w:rPr>
              <w:t>LS法</w:t>
            </w:r>
          </w:p>
        </w:tc>
        <w:tc>
          <w:tcPr>
            <w:tcW w:w="904" w:type="dxa"/>
            <w:noWrap/>
            <w:tcMar>
              <w:top w:w="15" w:type="dxa"/>
              <w:left w:w="15" w:type="dxa"/>
              <w:right w:w="15" w:type="dxa"/>
            </w:tcMar>
            <w:vAlign w:val="center"/>
          </w:tcPr>
          <w:p>
            <w:pPr>
              <w:snapToGrid w:val="0"/>
              <w:jc w:val="center"/>
              <w:textAlignment w:val="center"/>
              <w:rPr>
                <w:rFonts w:ascii="宋体" w:hAnsi="宋体" w:eastAsia="宋体" w:cs="宋体"/>
                <w:sz w:val="20"/>
                <w:szCs w:val="20"/>
                <w:lang w:bidi="ar"/>
              </w:rPr>
            </w:pPr>
            <w:r>
              <w:rPr>
                <w:rFonts w:hint="eastAsia" w:ascii="宋体" w:hAnsi="宋体" w:eastAsia="宋体" w:cs="宋体"/>
                <w:sz w:val="20"/>
                <w:szCs w:val="20"/>
                <w:lang w:bidi="ar"/>
              </w:rPr>
              <w:t>5～30</w:t>
            </w:r>
          </w:p>
        </w:tc>
        <w:tc>
          <w:tcPr>
            <w:tcW w:w="715" w:type="dxa"/>
            <w:tcMar>
              <w:top w:w="15" w:type="dxa"/>
              <w:left w:w="15" w:type="dxa"/>
              <w:right w:w="15" w:type="dxa"/>
            </w:tcMar>
            <w:vAlign w:val="center"/>
          </w:tcPr>
          <w:p>
            <w:pPr>
              <w:widowControl w:val="0"/>
              <w:snapToGrid w:val="0"/>
              <w:jc w:val="center"/>
              <w:rPr>
                <w:rFonts w:ascii="宋体" w:hAnsi="宋体" w:eastAsia="宋体" w:cs="宋体"/>
                <w:kern w:val="2"/>
                <w:sz w:val="20"/>
                <w:szCs w:val="20"/>
              </w:rPr>
            </w:pPr>
            <w:r>
              <w:rPr>
                <w:rFonts w:hint="eastAsia" w:ascii="宋体" w:hAnsi="宋体" w:eastAsia="宋体" w:cs="宋体"/>
                <w:kern w:val="2"/>
                <w:sz w:val="20"/>
                <w:szCs w:val="20"/>
              </w:rPr>
              <w:t>/</w:t>
            </w:r>
          </w:p>
        </w:tc>
        <w:tc>
          <w:tcPr>
            <w:tcW w:w="775" w:type="dxa"/>
            <w:noWrap/>
            <w:tcMar>
              <w:top w:w="15" w:type="dxa"/>
              <w:left w:w="15" w:type="dxa"/>
              <w:right w:w="15" w:type="dxa"/>
            </w:tcMar>
            <w:vAlign w:val="center"/>
          </w:tcPr>
          <w:p>
            <w:pPr>
              <w:snapToGrid w:val="0"/>
              <w:jc w:val="center"/>
              <w:textAlignment w:val="center"/>
              <w:rPr>
                <w:rFonts w:ascii="宋体" w:hAnsi="宋体" w:eastAsia="宋体" w:cs="宋体"/>
                <w:sz w:val="20"/>
                <w:szCs w:val="20"/>
                <w:lang w:bidi="ar"/>
              </w:rPr>
            </w:pPr>
            <w:r>
              <w:rPr>
                <w:rFonts w:hint="eastAsia" w:ascii="宋体" w:hAnsi="宋体" w:eastAsia="宋体" w:cs="宋体"/>
                <w:sz w:val="20"/>
                <w:szCs w:val="20"/>
                <w:lang w:bidi="ar"/>
              </w:rPr>
              <w:t>3～</w:t>
            </w:r>
            <w:r>
              <w:rPr>
                <w:rFonts w:ascii="宋体" w:hAnsi="宋体" w:eastAsia="宋体" w:cs="宋体"/>
                <w:sz w:val="20"/>
                <w:szCs w:val="20"/>
                <w:lang w:bidi="ar"/>
              </w:rPr>
              <w:t>15</w:t>
            </w:r>
          </w:p>
        </w:tc>
        <w:tc>
          <w:tcPr>
            <w:tcW w:w="1014" w:type="dxa"/>
            <w:noWrap/>
            <w:tcMar>
              <w:top w:w="15" w:type="dxa"/>
              <w:left w:w="15" w:type="dxa"/>
              <w:right w:w="15" w:type="dxa"/>
            </w:tcMar>
            <w:vAlign w:val="center"/>
          </w:tcPr>
          <w:p>
            <w:pPr>
              <w:snapToGrid w:val="0"/>
              <w:jc w:val="center"/>
              <w:textAlignment w:val="center"/>
              <w:rPr>
                <w:rFonts w:ascii="宋体" w:hAnsi="宋体" w:eastAsia="宋体" w:cs="宋体"/>
                <w:sz w:val="20"/>
                <w:szCs w:val="20"/>
                <w:lang w:bidi="ar"/>
              </w:rPr>
            </w:pPr>
            <w:r>
              <w:rPr>
                <w:rFonts w:hint="eastAsia" w:ascii="宋体" w:hAnsi="宋体" w:eastAsia="宋体" w:cs="宋体"/>
                <w:sz w:val="20"/>
                <w:szCs w:val="20"/>
                <w:lang w:bidi="ar"/>
              </w:rPr>
              <w:t>15～</w:t>
            </w:r>
            <w:r>
              <w:rPr>
                <w:rFonts w:ascii="宋体" w:hAnsi="宋体" w:eastAsia="宋体" w:cs="宋体"/>
                <w:sz w:val="20"/>
                <w:szCs w:val="20"/>
                <w:lang w:bidi="ar"/>
              </w:rPr>
              <w:t>45</w:t>
            </w:r>
            <w:r>
              <w:rPr>
                <w:rFonts w:hint="eastAsia" w:ascii="宋体" w:hAnsi="宋体" w:eastAsia="宋体" w:cs="宋体"/>
                <w:sz w:val="20"/>
                <w:szCs w:val="20"/>
                <w:lang w:bidi="ar"/>
              </w:rPr>
              <w:t>0</w:t>
            </w:r>
          </w:p>
        </w:tc>
        <w:tc>
          <w:tcPr>
            <w:tcW w:w="894" w:type="dxa"/>
            <w:noWrap/>
            <w:tcMar>
              <w:top w:w="15" w:type="dxa"/>
              <w:left w:w="15" w:type="dxa"/>
              <w:right w:w="15" w:type="dxa"/>
            </w:tcMar>
            <w:vAlign w:val="center"/>
          </w:tcPr>
          <w:p>
            <w:pPr>
              <w:snapToGrid w:val="0"/>
              <w:jc w:val="center"/>
              <w:textAlignment w:val="center"/>
              <w:rPr>
                <w:rFonts w:ascii="宋体" w:hAnsi="宋体" w:eastAsia="宋体" w:cs="宋体"/>
                <w:sz w:val="20"/>
                <w:szCs w:val="20"/>
                <w:lang w:bidi="ar"/>
              </w:rPr>
            </w:pPr>
            <w:r>
              <w:rPr>
                <w:rFonts w:hint="eastAsia" w:ascii="宋体" w:hAnsi="宋体" w:eastAsia="宋体" w:cs="宋体"/>
                <w:sz w:val="20"/>
                <w:szCs w:val="20"/>
                <w:lang w:bidi="ar"/>
              </w:rPr>
              <w:t>低～重大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683" w:type="dxa"/>
            <w:noWrap/>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ascii="宋体" w:hAnsi="宋体" w:eastAsia="宋体" w:cs="宋体"/>
                <w:sz w:val="20"/>
                <w:szCs w:val="20"/>
                <w:lang w:bidi="ar"/>
              </w:rPr>
              <w:t>16</w:t>
            </w:r>
          </w:p>
        </w:tc>
        <w:tc>
          <w:tcPr>
            <w:tcW w:w="1064" w:type="dxa"/>
            <w:vMerge w:val="continue"/>
            <w:tcMar>
              <w:top w:w="15" w:type="dxa"/>
              <w:left w:w="15" w:type="dxa"/>
              <w:right w:w="15" w:type="dxa"/>
            </w:tcMar>
            <w:vAlign w:val="center"/>
          </w:tcPr>
          <w:p>
            <w:pPr>
              <w:widowControl w:val="0"/>
              <w:snapToGrid w:val="0"/>
              <w:jc w:val="center"/>
              <w:rPr>
                <w:rFonts w:ascii="宋体" w:hAnsi="宋体" w:eastAsia="宋体" w:cs="宋体"/>
                <w:kern w:val="2"/>
                <w:sz w:val="20"/>
                <w:szCs w:val="20"/>
              </w:rPr>
            </w:pPr>
          </w:p>
        </w:tc>
        <w:tc>
          <w:tcPr>
            <w:tcW w:w="1103" w:type="dxa"/>
            <w:vMerge w:val="continue"/>
            <w:tcMar>
              <w:top w:w="15" w:type="dxa"/>
              <w:left w:w="15" w:type="dxa"/>
              <w:right w:w="15" w:type="dxa"/>
            </w:tcMar>
            <w:vAlign w:val="center"/>
          </w:tcPr>
          <w:p>
            <w:pPr>
              <w:widowControl w:val="0"/>
              <w:snapToGrid w:val="0"/>
              <w:jc w:val="center"/>
              <w:rPr>
                <w:rFonts w:ascii="宋体" w:hAnsi="宋体" w:eastAsia="宋体" w:cs="宋体"/>
                <w:kern w:val="2"/>
                <w:sz w:val="20"/>
                <w:szCs w:val="20"/>
              </w:rPr>
            </w:pPr>
          </w:p>
        </w:tc>
        <w:tc>
          <w:tcPr>
            <w:tcW w:w="1707" w:type="dxa"/>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警示标志</w:t>
            </w:r>
          </w:p>
        </w:tc>
        <w:tc>
          <w:tcPr>
            <w:tcW w:w="2410" w:type="dxa"/>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损坏</w:t>
            </w:r>
          </w:p>
        </w:tc>
        <w:tc>
          <w:tcPr>
            <w:tcW w:w="2165" w:type="dxa"/>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影响工程安全运行、   人员安全</w:t>
            </w:r>
          </w:p>
        </w:tc>
        <w:tc>
          <w:tcPr>
            <w:tcW w:w="889" w:type="dxa"/>
            <w:noWrap/>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LS法</w:t>
            </w:r>
          </w:p>
        </w:tc>
        <w:tc>
          <w:tcPr>
            <w:tcW w:w="904" w:type="dxa"/>
            <w:noWrap/>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5～</w:t>
            </w:r>
            <w:r>
              <w:rPr>
                <w:rFonts w:ascii="宋体" w:hAnsi="宋体" w:eastAsia="宋体" w:cs="宋体"/>
                <w:sz w:val="20"/>
                <w:szCs w:val="20"/>
                <w:lang w:bidi="ar"/>
              </w:rPr>
              <w:t>1</w:t>
            </w:r>
            <w:r>
              <w:rPr>
                <w:rFonts w:hint="eastAsia" w:ascii="宋体" w:hAnsi="宋体" w:eastAsia="宋体" w:cs="宋体"/>
                <w:sz w:val="20"/>
                <w:szCs w:val="20"/>
                <w:lang w:bidi="ar"/>
              </w:rPr>
              <w:t>0</w:t>
            </w:r>
          </w:p>
        </w:tc>
        <w:tc>
          <w:tcPr>
            <w:tcW w:w="715" w:type="dxa"/>
            <w:tcMar>
              <w:top w:w="15" w:type="dxa"/>
              <w:left w:w="15" w:type="dxa"/>
              <w:right w:w="15" w:type="dxa"/>
            </w:tcMar>
            <w:vAlign w:val="center"/>
          </w:tcPr>
          <w:p>
            <w:pPr>
              <w:widowControl w:val="0"/>
              <w:snapToGrid w:val="0"/>
              <w:jc w:val="center"/>
              <w:rPr>
                <w:rFonts w:ascii="宋体" w:hAnsi="宋体" w:eastAsia="宋体" w:cs="宋体"/>
                <w:kern w:val="2"/>
                <w:sz w:val="20"/>
                <w:szCs w:val="20"/>
              </w:rPr>
            </w:pPr>
            <w:r>
              <w:rPr>
                <w:rFonts w:hint="eastAsia" w:ascii="宋体" w:hAnsi="宋体" w:eastAsia="宋体" w:cs="宋体"/>
                <w:kern w:val="2"/>
                <w:sz w:val="20"/>
                <w:szCs w:val="20"/>
              </w:rPr>
              <w:t>/</w:t>
            </w:r>
          </w:p>
        </w:tc>
        <w:tc>
          <w:tcPr>
            <w:tcW w:w="775" w:type="dxa"/>
            <w:noWrap/>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3～</w:t>
            </w:r>
            <w:r>
              <w:rPr>
                <w:rFonts w:ascii="宋体" w:hAnsi="宋体" w:eastAsia="宋体" w:cs="宋体"/>
                <w:sz w:val="20"/>
                <w:szCs w:val="20"/>
                <w:lang w:bidi="ar"/>
              </w:rPr>
              <w:t>15</w:t>
            </w:r>
          </w:p>
        </w:tc>
        <w:tc>
          <w:tcPr>
            <w:tcW w:w="1014" w:type="dxa"/>
            <w:noWrap/>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15～</w:t>
            </w:r>
            <w:r>
              <w:rPr>
                <w:rFonts w:ascii="宋体" w:hAnsi="宋体" w:eastAsia="宋体" w:cs="宋体"/>
                <w:sz w:val="20"/>
                <w:szCs w:val="20"/>
                <w:lang w:bidi="ar"/>
              </w:rPr>
              <w:t>15</w:t>
            </w:r>
            <w:r>
              <w:rPr>
                <w:rFonts w:hint="eastAsia" w:ascii="宋体" w:hAnsi="宋体" w:eastAsia="宋体" w:cs="宋体"/>
                <w:sz w:val="20"/>
                <w:szCs w:val="20"/>
                <w:lang w:bidi="ar"/>
              </w:rPr>
              <w:t>0</w:t>
            </w:r>
          </w:p>
        </w:tc>
        <w:tc>
          <w:tcPr>
            <w:tcW w:w="894" w:type="dxa"/>
            <w:noWrap/>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低～一般</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683" w:type="dxa"/>
            <w:noWrap/>
            <w:tcMar>
              <w:top w:w="15" w:type="dxa"/>
              <w:left w:w="15" w:type="dxa"/>
              <w:right w:w="15" w:type="dxa"/>
            </w:tcMar>
            <w:vAlign w:val="center"/>
          </w:tcPr>
          <w:p>
            <w:pPr>
              <w:snapToGrid w:val="0"/>
              <w:jc w:val="center"/>
              <w:textAlignment w:val="center"/>
              <w:rPr>
                <w:rFonts w:ascii="宋体" w:hAnsi="宋体" w:eastAsia="宋体" w:cs="宋体"/>
                <w:sz w:val="20"/>
                <w:szCs w:val="20"/>
                <w:lang w:bidi="ar"/>
              </w:rPr>
            </w:pPr>
            <w:r>
              <w:rPr>
                <w:rFonts w:ascii="宋体" w:hAnsi="宋体" w:eastAsia="宋体" w:cs="宋体"/>
                <w:sz w:val="20"/>
                <w:szCs w:val="20"/>
                <w:lang w:bidi="ar"/>
              </w:rPr>
              <w:t>17</w:t>
            </w:r>
          </w:p>
        </w:tc>
        <w:tc>
          <w:tcPr>
            <w:tcW w:w="1064" w:type="dxa"/>
            <w:vMerge w:val="continue"/>
            <w:tcMar>
              <w:top w:w="15" w:type="dxa"/>
              <w:left w:w="15" w:type="dxa"/>
              <w:right w:w="15" w:type="dxa"/>
            </w:tcMar>
            <w:vAlign w:val="center"/>
          </w:tcPr>
          <w:p>
            <w:pPr>
              <w:widowControl w:val="0"/>
              <w:snapToGrid w:val="0"/>
              <w:jc w:val="center"/>
              <w:rPr>
                <w:rFonts w:ascii="宋体" w:hAnsi="宋体" w:eastAsia="宋体" w:cs="宋体"/>
                <w:kern w:val="2"/>
                <w:sz w:val="20"/>
                <w:szCs w:val="20"/>
              </w:rPr>
            </w:pPr>
          </w:p>
        </w:tc>
        <w:tc>
          <w:tcPr>
            <w:tcW w:w="1103" w:type="dxa"/>
            <w:vMerge w:val="continue"/>
            <w:tcMar>
              <w:top w:w="15" w:type="dxa"/>
              <w:left w:w="15" w:type="dxa"/>
              <w:right w:w="15" w:type="dxa"/>
            </w:tcMar>
            <w:vAlign w:val="center"/>
          </w:tcPr>
          <w:p>
            <w:pPr>
              <w:widowControl w:val="0"/>
              <w:snapToGrid w:val="0"/>
              <w:jc w:val="center"/>
              <w:rPr>
                <w:rFonts w:ascii="宋体" w:hAnsi="宋体" w:eastAsia="宋体" w:cs="宋体"/>
                <w:kern w:val="2"/>
                <w:sz w:val="20"/>
                <w:szCs w:val="20"/>
              </w:rPr>
            </w:pPr>
          </w:p>
        </w:tc>
        <w:tc>
          <w:tcPr>
            <w:tcW w:w="1707" w:type="dxa"/>
            <w:tcMar>
              <w:top w:w="15" w:type="dxa"/>
              <w:left w:w="15" w:type="dxa"/>
              <w:right w:w="15" w:type="dxa"/>
            </w:tcMar>
            <w:vAlign w:val="center"/>
          </w:tcPr>
          <w:p>
            <w:pPr>
              <w:snapToGrid w:val="0"/>
              <w:jc w:val="center"/>
              <w:textAlignment w:val="center"/>
              <w:rPr>
                <w:rFonts w:ascii="宋体" w:hAnsi="宋体" w:eastAsia="宋体" w:cs="宋体"/>
                <w:sz w:val="20"/>
                <w:szCs w:val="20"/>
                <w:lang w:bidi="ar"/>
              </w:rPr>
            </w:pPr>
            <w:r>
              <w:rPr>
                <w:rFonts w:hint="eastAsia" w:ascii="宋体" w:hAnsi="宋体" w:eastAsia="宋体" w:cs="宋体"/>
                <w:sz w:val="20"/>
                <w:szCs w:val="20"/>
                <w:lang w:bidi="ar"/>
              </w:rPr>
              <w:t>通信及</w:t>
            </w:r>
            <w:r>
              <w:rPr>
                <w:rFonts w:hint="eastAsia" w:ascii="宋体" w:hAnsi="宋体" w:eastAsia="宋体" w:cs="宋体"/>
                <w:sz w:val="20"/>
                <w:szCs w:val="20"/>
              </w:rPr>
              <w:t>预警设施</w:t>
            </w:r>
          </w:p>
        </w:tc>
        <w:tc>
          <w:tcPr>
            <w:tcW w:w="2410" w:type="dxa"/>
            <w:tcMar>
              <w:top w:w="15" w:type="dxa"/>
              <w:left w:w="15" w:type="dxa"/>
              <w:right w:w="15" w:type="dxa"/>
            </w:tcMar>
            <w:vAlign w:val="center"/>
          </w:tcPr>
          <w:p>
            <w:pPr>
              <w:snapToGrid w:val="0"/>
              <w:jc w:val="center"/>
              <w:textAlignment w:val="center"/>
              <w:rPr>
                <w:rFonts w:ascii="宋体" w:hAnsi="宋体" w:eastAsia="宋体" w:cs="宋体"/>
                <w:sz w:val="20"/>
                <w:szCs w:val="20"/>
                <w:lang w:bidi="ar"/>
              </w:rPr>
            </w:pPr>
            <w:r>
              <w:rPr>
                <w:rFonts w:hint="eastAsia" w:ascii="宋体" w:hAnsi="宋体" w:eastAsia="宋体" w:cs="宋体"/>
                <w:sz w:val="20"/>
                <w:szCs w:val="20"/>
                <w:lang w:bidi="ar"/>
              </w:rPr>
              <w:t>设施损坏、丢失</w:t>
            </w:r>
          </w:p>
        </w:tc>
        <w:tc>
          <w:tcPr>
            <w:tcW w:w="2165" w:type="dxa"/>
            <w:tcMar>
              <w:top w:w="15" w:type="dxa"/>
              <w:left w:w="15" w:type="dxa"/>
              <w:right w:w="15" w:type="dxa"/>
            </w:tcMar>
            <w:vAlign w:val="center"/>
          </w:tcPr>
          <w:p>
            <w:pPr>
              <w:snapToGrid w:val="0"/>
              <w:jc w:val="center"/>
              <w:textAlignment w:val="center"/>
              <w:rPr>
                <w:rFonts w:ascii="宋体" w:hAnsi="宋体" w:eastAsia="宋体" w:cs="宋体"/>
                <w:sz w:val="20"/>
                <w:szCs w:val="20"/>
                <w:lang w:bidi="ar"/>
              </w:rPr>
            </w:pPr>
            <w:r>
              <w:rPr>
                <w:rFonts w:hint="eastAsia" w:ascii="宋体" w:hAnsi="宋体" w:eastAsia="宋体" w:cs="宋体"/>
                <w:sz w:val="20"/>
                <w:szCs w:val="20"/>
                <w:lang w:bidi="ar"/>
              </w:rPr>
              <w:t>影响工程防汛抢险</w:t>
            </w:r>
          </w:p>
        </w:tc>
        <w:tc>
          <w:tcPr>
            <w:tcW w:w="889" w:type="dxa"/>
            <w:noWrap/>
            <w:tcMar>
              <w:top w:w="15" w:type="dxa"/>
              <w:left w:w="15" w:type="dxa"/>
              <w:right w:w="15" w:type="dxa"/>
            </w:tcMar>
            <w:vAlign w:val="center"/>
          </w:tcPr>
          <w:p>
            <w:pPr>
              <w:snapToGrid w:val="0"/>
              <w:jc w:val="center"/>
              <w:textAlignment w:val="center"/>
              <w:rPr>
                <w:rFonts w:ascii="宋体" w:hAnsi="宋体" w:eastAsia="宋体" w:cs="宋体"/>
                <w:sz w:val="20"/>
                <w:szCs w:val="20"/>
                <w:lang w:bidi="ar"/>
              </w:rPr>
            </w:pPr>
            <w:r>
              <w:rPr>
                <w:rFonts w:hint="eastAsia" w:ascii="宋体" w:hAnsi="宋体" w:eastAsia="宋体" w:cs="宋体"/>
                <w:sz w:val="20"/>
                <w:szCs w:val="20"/>
                <w:lang w:bidi="ar"/>
              </w:rPr>
              <w:t>LS法</w:t>
            </w:r>
          </w:p>
        </w:tc>
        <w:tc>
          <w:tcPr>
            <w:tcW w:w="904" w:type="dxa"/>
            <w:noWrap/>
            <w:tcMar>
              <w:top w:w="15" w:type="dxa"/>
              <w:left w:w="15" w:type="dxa"/>
              <w:right w:w="15" w:type="dxa"/>
            </w:tcMar>
            <w:vAlign w:val="center"/>
          </w:tcPr>
          <w:p>
            <w:pPr>
              <w:snapToGrid w:val="0"/>
              <w:jc w:val="center"/>
              <w:textAlignment w:val="center"/>
              <w:rPr>
                <w:rFonts w:ascii="宋体" w:hAnsi="宋体" w:eastAsia="宋体" w:cs="宋体"/>
                <w:sz w:val="20"/>
                <w:szCs w:val="20"/>
                <w:lang w:bidi="ar"/>
              </w:rPr>
            </w:pPr>
            <w:r>
              <w:rPr>
                <w:rFonts w:hint="eastAsia" w:ascii="宋体" w:hAnsi="宋体" w:eastAsia="宋体" w:cs="宋体"/>
                <w:sz w:val="20"/>
                <w:szCs w:val="20"/>
                <w:lang w:bidi="ar"/>
              </w:rPr>
              <w:t>5～30</w:t>
            </w:r>
          </w:p>
        </w:tc>
        <w:tc>
          <w:tcPr>
            <w:tcW w:w="715" w:type="dxa"/>
            <w:tcMar>
              <w:top w:w="15" w:type="dxa"/>
              <w:left w:w="15" w:type="dxa"/>
              <w:right w:w="15" w:type="dxa"/>
            </w:tcMar>
            <w:vAlign w:val="center"/>
          </w:tcPr>
          <w:p>
            <w:pPr>
              <w:widowControl w:val="0"/>
              <w:snapToGrid w:val="0"/>
              <w:jc w:val="center"/>
              <w:rPr>
                <w:rFonts w:ascii="宋体" w:hAnsi="宋体" w:eastAsia="宋体" w:cs="宋体"/>
                <w:kern w:val="2"/>
                <w:sz w:val="20"/>
                <w:szCs w:val="20"/>
              </w:rPr>
            </w:pPr>
            <w:r>
              <w:rPr>
                <w:rFonts w:hint="eastAsia" w:ascii="宋体" w:hAnsi="宋体" w:eastAsia="宋体" w:cs="宋体"/>
                <w:kern w:val="2"/>
                <w:sz w:val="20"/>
                <w:szCs w:val="20"/>
              </w:rPr>
              <w:t>/</w:t>
            </w:r>
          </w:p>
        </w:tc>
        <w:tc>
          <w:tcPr>
            <w:tcW w:w="775" w:type="dxa"/>
            <w:noWrap/>
            <w:tcMar>
              <w:top w:w="15" w:type="dxa"/>
              <w:left w:w="15" w:type="dxa"/>
              <w:right w:w="15" w:type="dxa"/>
            </w:tcMar>
            <w:vAlign w:val="center"/>
          </w:tcPr>
          <w:p>
            <w:pPr>
              <w:snapToGrid w:val="0"/>
              <w:jc w:val="center"/>
              <w:textAlignment w:val="center"/>
              <w:rPr>
                <w:rFonts w:ascii="宋体" w:hAnsi="宋体" w:eastAsia="宋体" w:cs="宋体"/>
                <w:sz w:val="20"/>
                <w:szCs w:val="20"/>
                <w:lang w:bidi="ar"/>
              </w:rPr>
            </w:pPr>
            <w:r>
              <w:rPr>
                <w:rFonts w:hint="eastAsia" w:ascii="宋体" w:hAnsi="宋体" w:eastAsia="宋体" w:cs="宋体"/>
                <w:sz w:val="20"/>
                <w:szCs w:val="20"/>
                <w:lang w:bidi="ar"/>
              </w:rPr>
              <w:t>3～</w:t>
            </w:r>
            <w:r>
              <w:rPr>
                <w:rFonts w:ascii="宋体" w:hAnsi="宋体" w:eastAsia="宋体" w:cs="宋体"/>
                <w:sz w:val="20"/>
                <w:szCs w:val="20"/>
                <w:lang w:bidi="ar"/>
              </w:rPr>
              <w:t>15</w:t>
            </w:r>
          </w:p>
        </w:tc>
        <w:tc>
          <w:tcPr>
            <w:tcW w:w="1014" w:type="dxa"/>
            <w:noWrap/>
            <w:tcMar>
              <w:top w:w="15" w:type="dxa"/>
              <w:left w:w="15" w:type="dxa"/>
              <w:right w:w="15" w:type="dxa"/>
            </w:tcMar>
            <w:vAlign w:val="center"/>
          </w:tcPr>
          <w:p>
            <w:pPr>
              <w:snapToGrid w:val="0"/>
              <w:jc w:val="center"/>
              <w:textAlignment w:val="center"/>
              <w:rPr>
                <w:rFonts w:ascii="宋体" w:hAnsi="宋体" w:eastAsia="宋体" w:cs="宋体"/>
                <w:sz w:val="20"/>
                <w:szCs w:val="20"/>
                <w:lang w:bidi="ar"/>
              </w:rPr>
            </w:pPr>
            <w:r>
              <w:rPr>
                <w:rFonts w:hint="eastAsia" w:ascii="宋体" w:hAnsi="宋体" w:eastAsia="宋体" w:cs="宋体"/>
                <w:sz w:val="20"/>
                <w:szCs w:val="20"/>
                <w:lang w:bidi="ar"/>
              </w:rPr>
              <w:t>15～</w:t>
            </w:r>
            <w:r>
              <w:rPr>
                <w:rFonts w:ascii="宋体" w:hAnsi="宋体" w:eastAsia="宋体" w:cs="宋体"/>
                <w:sz w:val="20"/>
                <w:szCs w:val="20"/>
                <w:lang w:bidi="ar"/>
              </w:rPr>
              <w:t>45</w:t>
            </w:r>
            <w:r>
              <w:rPr>
                <w:rFonts w:hint="eastAsia" w:ascii="宋体" w:hAnsi="宋体" w:eastAsia="宋体" w:cs="宋体"/>
                <w:sz w:val="20"/>
                <w:szCs w:val="20"/>
                <w:lang w:bidi="ar"/>
              </w:rPr>
              <w:t>0</w:t>
            </w:r>
          </w:p>
        </w:tc>
        <w:tc>
          <w:tcPr>
            <w:tcW w:w="894" w:type="dxa"/>
            <w:noWrap/>
            <w:tcMar>
              <w:top w:w="15" w:type="dxa"/>
              <w:left w:w="15" w:type="dxa"/>
              <w:right w:w="15" w:type="dxa"/>
            </w:tcMar>
            <w:vAlign w:val="center"/>
          </w:tcPr>
          <w:p>
            <w:pPr>
              <w:snapToGrid w:val="0"/>
              <w:jc w:val="center"/>
              <w:textAlignment w:val="center"/>
              <w:rPr>
                <w:rFonts w:ascii="宋体" w:hAnsi="宋体" w:eastAsia="宋体" w:cs="宋体"/>
                <w:sz w:val="20"/>
                <w:szCs w:val="20"/>
                <w:lang w:bidi="ar"/>
              </w:rPr>
            </w:pPr>
            <w:r>
              <w:rPr>
                <w:rFonts w:hint="eastAsia" w:ascii="宋体" w:hAnsi="宋体" w:eastAsia="宋体" w:cs="宋体"/>
                <w:sz w:val="20"/>
                <w:szCs w:val="20"/>
                <w:lang w:bidi="ar"/>
              </w:rPr>
              <w:t>低～重大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683" w:type="dxa"/>
            <w:noWrap/>
            <w:tcMar>
              <w:top w:w="15" w:type="dxa"/>
              <w:left w:w="15" w:type="dxa"/>
              <w:right w:w="15" w:type="dxa"/>
            </w:tcMar>
            <w:vAlign w:val="center"/>
          </w:tcPr>
          <w:p>
            <w:pPr>
              <w:snapToGrid w:val="0"/>
              <w:jc w:val="center"/>
              <w:textAlignment w:val="center"/>
              <w:rPr>
                <w:rFonts w:ascii="宋体" w:hAnsi="宋体" w:eastAsia="宋体" w:cs="宋体"/>
                <w:sz w:val="20"/>
                <w:szCs w:val="20"/>
                <w:lang w:bidi="ar"/>
              </w:rPr>
            </w:pPr>
            <w:r>
              <w:rPr>
                <w:rFonts w:ascii="宋体" w:hAnsi="宋体" w:eastAsia="宋体" w:cs="宋体"/>
                <w:sz w:val="20"/>
                <w:szCs w:val="20"/>
                <w:lang w:bidi="ar"/>
              </w:rPr>
              <w:t>18</w:t>
            </w:r>
          </w:p>
        </w:tc>
        <w:tc>
          <w:tcPr>
            <w:tcW w:w="1064" w:type="dxa"/>
            <w:vMerge w:val="continue"/>
            <w:tcMar>
              <w:top w:w="15" w:type="dxa"/>
              <w:left w:w="15" w:type="dxa"/>
              <w:right w:w="15" w:type="dxa"/>
            </w:tcMar>
            <w:vAlign w:val="center"/>
          </w:tcPr>
          <w:p>
            <w:pPr>
              <w:widowControl w:val="0"/>
              <w:snapToGrid w:val="0"/>
              <w:jc w:val="center"/>
              <w:rPr>
                <w:rFonts w:ascii="宋体" w:hAnsi="宋体" w:eastAsia="宋体" w:cs="宋体"/>
                <w:kern w:val="2"/>
                <w:sz w:val="20"/>
                <w:szCs w:val="20"/>
              </w:rPr>
            </w:pPr>
          </w:p>
        </w:tc>
        <w:tc>
          <w:tcPr>
            <w:tcW w:w="1103" w:type="dxa"/>
            <w:vMerge w:val="continue"/>
            <w:tcMar>
              <w:top w:w="15" w:type="dxa"/>
              <w:left w:w="15" w:type="dxa"/>
              <w:right w:w="15" w:type="dxa"/>
            </w:tcMar>
            <w:vAlign w:val="center"/>
          </w:tcPr>
          <w:p>
            <w:pPr>
              <w:widowControl w:val="0"/>
              <w:snapToGrid w:val="0"/>
              <w:jc w:val="center"/>
              <w:rPr>
                <w:rFonts w:ascii="宋体" w:hAnsi="宋体" w:eastAsia="宋体" w:cs="宋体"/>
                <w:kern w:val="2"/>
                <w:sz w:val="20"/>
                <w:szCs w:val="20"/>
              </w:rPr>
            </w:pPr>
          </w:p>
        </w:tc>
        <w:tc>
          <w:tcPr>
            <w:tcW w:w="1707" w:type="dxa"/>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视频监控系统   及</w:t>
            </w:r>
            <w:r>
              <w:rPr>
                <w:rFonts w:hint="eastAsia" w:ascii="宋体" w:hAnsi="宋体" w:eastAsia="宋体" w:cs="宋体"/>
                <w:sz w:val="20"/>
                <w:szCs w:val="20"/>
              </w:rPr>
              <w:t>网络设施</w:t>
            </w:r>
          </w:p>
        </w:tc>
        <w:tc>
          <w:tcPr>
            <w:tcW w:w="2410" w:type="dxa"/>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功能失效、丢失</w:t>
            </w:r>
          </w:p>
        </w:tc>
        <w:tc>
          <w:tcPr>
            <w:tcW w:w="2165" w:type="dxa"/>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不能及时发现工程    隐患或险情</w:t>
            </w:r>
          </w:p>
        </w:tc>
        <w:tc>
          <w:tcPr>
            <w:tcW w:w="889" w:type="dxa"/>
            <w:noWrap/>
            <w:tcMar>
              <w:top w:w="15" w:type="dxa"/>
              <w:left w:w="15" w:type="dxa"/>
              <w:right w:w="15" w:type="dxa"/>
            </w:tcMar>
            <w:vAlign w:val="center"/>
          </w:tcPr>
          <w:p>
            <w:pPr>
              <w:snapToGrid w:val="0"/>
              <w:jc w:val="center"/>
              <w:textAlignment w:val="center"/>
              <w:rPr>
                <w:rFonts w:ascii="宋体" w:hAnsi="宋体" w:eastAsia="宋体" w:cs="宋体"/>
                <w:sz w:val="20"/>
                <w:szCs w:val="20"/>
                <w:lang w:bidi="ar"/>
              </w:rPr>
            </w:pPr>
            <w:r>
              <w:rPr>
                <w:rFonts w:hint="eastAsia" w:ascii="宋体" w:hAnsi="宋体" w:eastAsia="宋体" w:cs="宋体"/>
                <w:sz w:val="20"/>
                <w:szCs w:val="20"/>
                <w:lang w:bidi="ar"/>
              </w:rPr>
              <w:t>LS法</w:t>
            </w:r>
          </w:p>
        </w:tc>
        <w:tc>
          <w:tcPr>
            <w:tcW w:w="904" w:type="dxa"/>
            <w:noWrap/>
            <w:tcMar>
              <w:top w:w="15" w:type="dxa"/>
              <w:left w:w="15" w:type="dxa"/>
              <w:right w:w="15" w:type="dxa"/>
            </w:tcMar>
            <w:vAlign w:val="center"/>
          </w:tcPr>
          <w:p>
            <w:pPr>
              <w:snapToGrid w:val="0"/>
              <w:jc w:val="center"/>
              <w:textAlignment w:val="center"/>
              <w:rPr>
                <w:rFonts w:ascii="宋体" w:hAnsi="宋体" w:eastAsia="宋体" w:cs="宋体"/>
                <w:sz w:val="20"/>
                <w:szCs w:val="20"/>
                <w:lang w:bidi="ar"/>
              </w:rPr>
            </w:pPr>
            <w:r>
              <w:rPr>
                <w:rFonts w:hint="eastAsia" w:ascii="宋体" w:hAnsi="宋体" w:eastAsia="宋体" w:cs="宋体"/>
                <w:sz w:val="20"/>
                <w:szCs w:val="20"/>
                <w:lang w:bidi="ar"/>
              </w:rPr>
              <w:t>5～</w:t>
            </w:r>
            <w:r>
              <w:rPr>
                <w:rFonts w:ascii="宋体" w:hAnsi="宋体" w:eastAsia="宋体" w:cs="宋体"/>
                <w:sz w:val="20"/>
                <w:szCs w:val="20"/>
                <w:lang w:bidi="ar"/>
              </w:rPr>
              <w:t>1</w:t>
            </w:r>
            <w:r>
              <w:rPr>
                <w:rFonts w:hint="eastAsia" w:ascii="宋体" w:hAnsi="宋体" w:eastAsia="宋体" w:cs="宋体"/>
                <w:sz w:val="20"/>
                <w:szCs w:val="20"/>
                <w:lang w:bidi="ar"/>
              </w:rPr>
              <w:t>0</w:t>
            </w:r>
          </w:p>
        </w:tc>
        <w:tc>
          <w:tcPr>
            <w:tcW w:w="715" w:type="dxa"/>
            <w:tcMar>
              <w:top w:w="15" w:type="dxa"/>
              <w:left w:w="15" w:type="dxa"/>
              <w:right w:w="15" w:type="dxa"/>
            </w:tcMar>
            <w:vAlign w:val="center"/>
          </w:tcPr>
          <w:p>
            <w:pPr>
              <w:widowControl w:val="0"/>
              <w:snapToGrid w:val="0"/>
              <w:jc w:val="center"/>
              <w:rPr>
                <w:rFonts w:ascii="宋体" w:hAnsi="宋体" w:eastAsia="宋体" w:cs="宋体"/>
                <w:kern w:val="2"/>
                <w:sz w:val="20"/>
                <w:szCs w:val="20"/>
              </w:rPr>
            </w:pPr>
            <w:r>
              <w:rPr>
                <w:rFonts w:hint="eastAsia" w:ascii="宋体" w:hAnsi="宋体" w:eastAsia="宋体" w:cs="宋体"/>
                <w:kern w:val="2"/>
                <w:sz w:val="20"/>
                <w:szCs w:val="20"/>
              </w:rPr>
              <w:t>/</w:t>
            </w:r>
          </w:p>
        </w:tc>
        <w:tc>
          <w:tcPr>
            <w:tcW w:w="775" w:type="dxa"/>
            <w:noWrap/>
            <w:tcMar>
              <w:top w:w="15" w:type="dxa"/>
              <w:left w:w="15" w:type="dxa"/>
              <w:right w:w="15" w:type="dxa"/>
            </w:tcMar>
            <w:vAlign w:val="center"/>
          </w:tcPr>
          <w:p>
            <w:pPr>
              <w:snapToGrid w:val="0"/>
              <w:jc w:val="center"/>
              <w:textAlignment w:val="center"/>
              <w:rPr>
                <w:rFonts w:ascii="宋体" w:hAnsi="宋体" w:eastAsia="宋体" w:cs="宋体"/>
                <w:sz w:val="20"/>
                <w:szCs w:val="20"/>
                <w:lang w:bidi="ar"/>
              </w:rPr>
            </w:pPr>
            <w:r>
              <w:rPr>
                <w:rFonts w:hint="eastAsia" w:ascii="宋体" w:hAnsi="宋体" w:eastAsia="宋体" w:cs="宋体"/>
                <w:sz w:val="20"/>
                <w:szCs w:val="20"/>
                <w:lang w:bidi="ar"/>
              </w:rPr>
              <w:t>3～</w:t>
            </w:r>
            <w:r>
              <w:rPr>
                <w:rFonts w:ascii="宋体" w:hAnsi="宋体" w:eastAsia="宋体" w:cs="宋体"/>
                <w:sz w:val="20"/>
                <w:szCs w:val="20"/>
                <w:lang w:bidi="ar"/>
              </w:rPr>
              <w:t>15</w:t>
            </w:r>
          </w:p>
        </w:tc>
        <w:tc>
          <w:tcPr>
            <w:tcW w:w="1014" w:type="dxa"/>
            <w:noWrap/>
            <w:tcMar>
              <w:top w:w="15" w:type="dxa"/>
              <w:left w:w="15" w:type="dxa"/>
              <w:right w:w="15" w:type="dxa"/>
            </w:tcMar>
            <w:vAlign w:val="center"/>
          </w:tcPr>
          <w:p>
            <w:pPr>
              <w:snapToGrid w:val="0"/>
              <w:jc w:val="center"/>
              <w:textAlignment w:val="center"/>
              <w:rPr>
                <w:rFonts w:ascii="宋体" w:hAnsi="宋体" w:eastAsia="宋体" w:cs="宋体"/>
                <w:sz w:val="20"/>
                <w:szCs w:val="20"/>
                <w:lang w:bidi="ar"/>
              </w:rPr>
            </w:pPr>
            <w:r>
              <w:rPr>
                <w:rFonts w:hint="eastAsia" w:ascii="宋体" w:hAnsi="宋体" w:eastAsia="宋体" w:cs="宋体"/>
                <w:sz w:val="20"/>
                <w:szCs w:val="20"/>
                <w:lang w:bidi="ar"/>
              </w:rPr>
              <w:t>15～</w:t>
            </w:r>
            <w:r>
              <w:rPr>
                <w:rFonts w:ascii="宋体" w:hAnsi="宋体" w:eastAsia="宋体" w:cs="宋体"/>
                <w:sz w:val="20"/>
                <w:szCs w:val="20"/>
                <w:lang w:bidi="ar"/>
              </w:rPr>
              <w:t>15</w:t>
            </w:r>
            <w:r>
              <w:rPr>
                <w:rFonts w:hint="eastAsia" w:ascii="宋体" w:hAnsi="宋体" w:eastAsia="宋体" w:cs="宋体"/>
                <w:sz w:val="20"/>
                <w:szCs w:val="20"/>
                <w:lang w:bidi="ar"/>
              </w:rPr>
              <w:t>0</w:t>
            </w:r>
          </w:p>
        </w:tc>
        <w:tc>
          <w:tcPr>
            <w:tcW w:w="894" w:type="dxa"/>
            <w:noWrap/>
            <w:tcMar>
              <w:top w:w="15" w:type="dxa"/>
              <w:left w:w="15" w:type="dxa"/>
              <w:right w:w="15" w:type="dxa"/>
            </w:tcMar>
            <w:vAlign w:val="center"/>
          </w:tcPr>
          <w:p>
            <w:pPr>
              <w:snapToGrid w:val="0"/>
              <w:jc w:val="center"/>
              <w:textAlignment w:val="center"/>
              <w:rPr>
                <w:rFonts w:ascii="宋体" w:hAnsi="宋体" w:eastAsia="宋体" w:cs="宋体"/>
                <w:sz w:val="20"/>
                <w:szCs w:val="20"/>
                <w:lang w:bidi="ar"/>
              </w:rPr>
            </w:pPr>
            <w:r>
              <w:rPr>
                <w:rFonts w:hint="eastAsia" w:ascii="宋体" w:hAnsi="宋体" w:eastAsia="宋体" w:cs="宋体"/>
                <w:sz w:val="20"/>
                <w:szCs w:val="20"/>
                <w:lang w:bidi="ar"/>
              </w:rPr>
              <w:t>低～一般</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683" w:type="dxa"/>
            <w:noWrap/>
            <w:tcMar>
              <w:top w:w="15" w:type="dxa"/>
              <w:left w:w="15" w:type="dxa"/>
              <w:right w:w="15" w:type="dxa"/>
            </w:tcMar>
            <w:vAlign w:val="center"/>
          </w:tcPr>
          <w:p>
            <w:pPr>
              <w:snapToGrid w:val="0"/>
              <w:jc w:val="center"/>
              <w:textAlignment w:val="center"/>
              <w:rPr>
                <w:rFonts w:ascii="宋体" w:hAnsi="宋体" w:eastAsia="宋体" w:cs="宋体"/>
                <w:sz w:val="20"/>
                <w:szCs w:val="20"/>
                <w:lang w:bidi="ar"/>
              </w:rPr>
            </w:pPr>
            <w:r>
              <w:rPr>
                <w:rFonts w:ascii="宋体" w:hAnsi="宋体" w:eastAsia="宋体" w:cs="宋体"/>
                <w:sz w:val="20"/>
                <w:szCs w:val="20"/>
                <w:lang w:bidi="ar"/>
              </w:rPr>
              <w:t>19</w:t>
            </w:r>
          </w:p>
        </w:tc>
        <w:tc>
          <w:tcPr>
            <w:tcW w:w="1064" w:type="dxa"/>
            <w:vMerge w:val="continue"/>
            <w:tcMar>
              <w:top w:w="15" w:type="dxa"/>
              <w:left w:w="15" w:type="dxa"/>
              <w:right w:w="15" w:type="dxa"/>
            </w:tcMar>
            <w:vAlign w:val="center"/>
          </w:tcPr>
          <w:p>
            <w:pPr>
              <w:widowControl w:val="0"/>
              <w:snapToGrid w:val="0"/>
              <w:jc w:val="center"/>
              <w:rPr>
                <w:rFonts w:ascii="宋体" w:hAnsi="宋体" w:eastAsia="宋体" w:cs="宋体"/>
                <w:kern w:val="2"/>
                <w:sz w:val="20"/>
                <w:szCs w:val="20"/>
              </w:rPr>
            </w:pPr>
          </w:p>
        </w:tc>
        <w:tc>
          <w:tcPr>
            <w:tcW w:w="1103" w:type="dxa"/>
            <w:vMerge w:val="continue"/>
            <w:tcMar>
              <w:top w:w="15" w:type="dxa"/>
              <w:left w:w="15" w:type="dxa"/>
              <w:right w:w="15" w:type="dxa"/>
            </w:tcMar>
            <w:vAlign w:val="center"/>
          </w:tcPr>
          <w:p>
            <w:pPr>
              <w:widowControl w:val="0"/>
              <w:snapToGrid w:val="0"/>
              <w:jc w:val="center"/>
              <w:rPr>
                <w:rFonts w:ascii="宋体" w:hAnsi="宋体" w:eastAsia="宋体" w:cs="宋体"/>
                <w:kern w:val="2"/>
                <w:sz w:val="20"/>
                <w:szCs w:val="20"/>
              </w:rPr>
            </w:pPr>
          </w:p>
        </w:tc>
        <w:tc>
          <w:tcPr>
            <w:tcW w:w="1707" w:type="dxa"/>
            <w:tcMar>
              <w:top w:w="15" w:type="dxa"/>
              <w:left w:w="15" w:type="dxa"/>
              <w:right w:w="15" w:type="dxa"/>
            </w:tcMar>
            <w:vAlign w:val="center"/>
          </w:tcPr>
          <w:p>
            <w:pPr>
              <w:snapToGrid w:val="0"/>
              <w:jc w:val="center"/>
              <w:textAlignment w:val="center"/>
              <w:rPr>
                <w:rFonts w:ascii="宋体" w:hAnsi="宋体" w:eastAsia="宋体" w:cs="宋体"/>
                <w:sz w:val="20"/>
                <w:szCs w:val="20"/>
                <w:lang w:bidi="ar"/>
              </w:rPr>
            </w:pPr>
            <w:r>
              <w:rPr>
                <w:rFonts w:hint="eastAsia" w:ascii="宋体" w:hAnsi="宋体" w:eastAsia="宋体" w:cs="宋体"/>
                <w:sz w:val="20"/>
                <w:szCs w:val="20"/>
                <w:lang w:bidi="ar"/>
              </w:rPr>
              <w:t>防汛上堤道路</w:t>
            </w:r>
          </w:p>
        </w:tc>
        <w:tc>
          <w:tcPr>
            <w:tcW w:w="2410" w:type="dxa"/>
            <w:tcMar>
              <w:top w:w="15" w:type="dxa"/>
              <w:left w:w="15" w:type="dxa"/>
              <w:right w:w="15" w:type="dxa"/>
            </w:tcMar>
            <w:vAlign w:val="center"/>
          </w:tcPr>
          <w:p>
            <w:pPr>
              <w:snapToGrid w:val="0"/>
              <w:jc w:val="center"/>
              <w:textAlignment w:val="center"/>
              <w:rPr>
                <w:rFonts w:ascii="宋体" w:hAnsi="宋体" w:eastAsia="宋体" w:cs="宋体"/>
                <w:sz w:val="20"/>
                <w:szCs w:val="20"/>
                <w:lang w:bidi="ar"/>
              </w:rPr>
            </w:pPr>
            <w:r>
              <w:rPr>
                <w:rFonts w:hint="eastAsia" w:ascii="宋体" w:hAnsi="宋体" w:eastAsia="宋体" w:cs="宋体"/>
                <w:sz w:val="20"/>
                <w:szCs w:val="20"/>
              </w:rPr>
              <w:t>道路损坏</w:t>
            </w:r>
          </w:p>
        </w:tc>
        <w:tc>
          <w:tcPr>
            <w:tcW w:w="2165" w:type="dxa"/>
            <w:tcMar>
              <w:top w:w="15" w:type="dxa"/>
              <w:left w:w="15" w:type="dxa"/>
              <w:right w:w="15" w:type="dxa"/>
            </w:tcMar>
            <w:vAlign w:val="center"/>
          </w:tcPr>
          <w:p>
            <w:pPr>
              <w:snapToGrid w:val="0"/>
              <w:jc w:val="center"/>
              <w:textAlignment w:val="center"/>
              <w:rPr>
                <w:rFonts w:ascii="宋体" w:hAnsi="宋体" w:eastAsia="宋体" w:cs="宋体"/>
                <w:sz w:val="20"/>
                <w:szCs w:val="20"/>
                <w:lang w:bidi="ar"/>
              </w:rPr>
            </w:pPr>
            <w:r>
              <w:rPr>
                <w:rFonts w:hint="eastAsia" w:ascii="宋体" w:hAnsi="宋体" w:eastAsia="宋体" w:cs="宋体"/>
                <w:sz w:val="20"/>
                <w:szCs w:val="20"/>
                <w:lang w:bidi="ar"/>
              </w:rPr>
              <w:t>影响防汛人员、物资   等运送</w:t>
            </w:r>
          </w:p>
        </w:tc>
        <w:tc>
          <w:tcPr>
            <w:tcW w:w="889" w:type="dxa"/>
            <w:noWrap/>
            <w:tcMar>
              <w:top w:w="15" w:type="dxa"/>
              <w:left w:w="15" w:type="dxa"/>
              <w:right w:w="15" w:type="dxa"/>
            </w:tcMar>
            <w:vAlign w:val="center"/>
          </w:tcPr>
          <w:p>
            <w:pPr>
              <w:snapToGrid w:val="0"/>
              <w:jc w:val="center"/>
              <w:textAlignment w:val="center"/>
              <w:rPr>
                <w:rFonts w:ascii="宋体" w:hAnsi="宋体" w:eastAsia="宋体" w:cs="宋体"/>
                <w:sz w:val="20"/>
                <w:szCs w:val="20"/>
                <w:lang w:bidi="ar"/>
              </w:rPr>
            </w:pPr>
            <w:r>
              <w:rPr>
                <w:rFonts w:hint="eastAsia" w:ascii="宋体" w:hAnsi="宋体" w:eastAsia="宋体" w:cs="宋体"/>
                <w:sz w:val="20"/>
                <w:szCs w:val="20"/>
                <w:lang w:bidi="ar"/>
              </w:rPr>
              <w:t>LS法</w:t>
            </w:r>
          </w:p>
        </w:tc>
        <w:tc>
          <w:tcPr>
            <w:tcW w:w="904" w:type="dxa"/>
            <w:noWrap/>
            <w:tcMar>
              <w:top w:w="15" w:type="dxa"/>
              <w:left w:w="15" w:type="dxa"/>
              <w:right w:w="15" w:type="dxa"/>
            </w:tcMar>
            <w:vAlign w:val="center"/>
          </w:tcPr>
          <w:p>
            <w:pPr>
              <w:snapToGrid w:val="0"/>
              <w:jc w:val="center"/>
              <w:textAlignment w:val="center"/>
              <w:rPr>
                <w:rFonts w:ascii="宋体" w:hAnsi="宋体" w:eastAsia="宋体" w:cs="宋体"/>
                <w:sz w:val="20"/>
                <w:szCs w:val="20"/>
                <w:lang w:bidi="ar"/>
              </w:rPr>
            </w:pPr>
            <w:r>
              <w:rPr>
                <w:rFonts w:hint="eastAsia" w:ascii="宋体" w:hAnsi="宋体" w:eastAsia="宋体" w:cs="宋体"/>
                <w:sz w:val="20"/>
                <w:szCs w:val="20"/>
                <w:lang w:bidi="ar"/>
              </w:rPr>
              <w:t>5～10</w:t>
            </w:r>
          </w:p>
        </w:tc>
        <w:tc>
          <w:tcPr>
            <w:tcW w:w="715" w:type="dxa"/>
            <w:tcMar>
              <w:top w:w="15" w:type="dxa"/>
              <w:left w:w="15" w:type="dxa"/>
              <w:right w:w="15" w:type="dxa"/>
            </w:tcMar>
            <w:vAlign w:val="center"/>
          </w:tcPr>
          <w:p>
            <w:pPr>
              <w:widowControl w:val="0"/>
              <w:snapToGrid w:val="0"/>
              <w:jc w:val="center"/>
              <w:rPr>
                <w:rFonts w:ascii="宋体" w:hAnsi="宋体" w:eastAsia="宋体" w:cs="宋体"/>
                <w:kern w:val="2"/>
                <w:sz w:val="20"/>
                <w:szCs w:val="20"/>
              </w:rPr>
            </w:pPr>
            <w:r>
              <w:rPr>
                <w:rFonts w:hint="eastAsia" w:ascii="宋体" w:hAnsi="宋体" w:eastAsia="宋体" w:cs="宋体"/>
                <w:kern w:val="2"/>
                <w:sz w:val="20"/>
                <w:szCs w:val="20"/>
              </w:rPr>
              <w:t>/</w:t>
            </w:r>
          </w:p>
        </w:tc>
        <w:tc>
          <w:tcPr>
            <w:tcW w:w="775" w:type="dxa"/>
            <w:noWrap/>
            <w:tcMar>
              <w:top w:w="15" w:type="dxa"/>
              <w:left w:w="15" w:type="dxa"/>
              <w:right w:w="15" w:type="dxa"/>
            </w:tcMar>
            <w:vAlign w:val="center"/>
          </w:tcPr>
          <w:p>
            <w:pPr>
              <w:snapToGrid w:val="0"/>
              <w:jc w:val="center"/>
              <w:textAlignment w:val="center"/>
              <w:rPr>
                <w:rFonts w:ascii="宋体" w:hAnsi="宋体" w:eastAsia="宋体" w:cs="宋体"/>
                <w:sz w:val="20"/>
                <w:szCs w:val="20"/>
                <w:lang w:bidi="ar"/>
              </w:rPr>
            </w:pPr>
            <w:r>
              <w:rPr>
                <w:rFonts w:hint="eastAsia" w:ascii="宋体" w:hAnsi="宋体" w:eastAsia="宋体" w:cs="宋体"/>
                <w:sz w:val="20"/>
                <w:szCs w:val="20"/>
                <w:lang w:bidi="ar"/>
              </w:rPr>
              <w:t>3～15</w:t>
            </w:r>
          </w:p>
        </w:tc>
        <w:tc>
          <w:tcPr>
            <w:tcW w:w="1014" w:type="dxa"/>
            <w:noWrap/>
            <w:tcMar>
              <w:top w:w="15" w:type="dxa"/>
              <w:left w:w="15" w:type="dxa"/>
              <w:right w:w="15" w:type="dxa"/>
            </w:tcMar>
            <w:vAlign w:val="center"/>
          </w:tcPr>
          <w:p>
            <w:pPr>
              <w:snapToGrid w:val="0"/>
              <w:jc w:val="center"/>
              <w:textAlignment w:val="center"/>
              <w:rPr>
                <w:rFonts w:ascii="宋体" w:hAnsi="宋体" w:eastAsia="宋体" w:cs="宋体"/>
                <w:sz w:val="20"/>
                <w:szCs w:val="20"/>
                <w:lang w:bidi="ar"/>
              </w:rPr>
            </w:pPr>
            <w:r>
              <w:rPr>
                <w:rFonts w:hint="eastAsia" w:ascii="宋体" w:hAnsi="宋体" w:eastAsia="宋体" w:cs="宋体"/>
                <w:sz w:val="20"/>
                <w:szCs w:val="20"/>
                <w:lang w:bidi="ar"/>
              </w:rPr>
              <w:t>15～150</w:t>
            </w:r>
          </w:p>
        </w:tc>
        <w:tc>
          <w:tcPr>
            <w:tcW w:w="894" w:type="dxa"/>
            <w:noWrap/>
            <w:tcMar>
              <w:top w:w="15" w:type="dxa"/>
              <w:left w:w="15" w:type="dxa"/>
              <w:right w:w="15" w:type="dxa"/>
            </w:tcMar>
            <w:vAlign w:val="center"/>
          </w:tcPr>
          <w:p>
            <w:pPr>
              <w:snapToGrid w:val="0"/>
              <w:jc w:val="center"/>
              <w:textAlignment w:val="center"/>
              <w:rPr>
                <w:rFonts w:ascii="宋体" w:hAnsi="宋体" w:eastAsia="宋体" w:cs="宋体"/>
                <w:sz w:val="20"/>
                <w:szCs w:val="20"/>
                <w:lang w:bidi="ar"/>
              </w:rPr>
            </w:pPr>
            <w:r>
              <w:rPr>
                <w:rFonts w:hint="eastAsia" w:ascii="宋体" w:hAnsi="宋体" w:eastAsia="宋体" w:cs="宋体"/>
                <w:sz w:val="20"/>
                <w:szCs w:val="20"/>
                <w:lang w:bidi="ar"/>
              </w:rPr>
              <w:t>低～一般</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683" w:type="dxa"/>
            <w:noWrap/>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2</w:t>
            </w:r>
            <w:r>
              <w:rPr>
                <w:rFonts w:ascii="宋体" w:hAnsi="宋体" w:eastAsia="宋体" w:cs="宋体"/>
                <w:sz w:val="20"/>
                <w:szCs w:val="20"/>
                <w:lang w:bidi="ar"/>
              </w:rPr>
              <w:t>0</w:t>
            </w:r>
          </w:p>
        </w:tc>
        <w:tc>
          <w:tcPr>
            <w:tcW w:w="1064" w:type="dxa"/>
            <w:vMerge w:val="restart"/>
            <w:noWrap/>
            <w:tcMar>
              <w:top w:w="15" w:type="dxa"/>
              <w:left w:w="15" w:type="dxa"/>
              <w:right w:w="15" w:type="dxa"/>
            </w:tcMar>
            <w:vAlign w:val="center"/>
          </w:tcPr>
          <w:p>
            <w:pPr>
              <w:snapToGrid w:val="0"/>
              <w:jc w:val="center"/>
              <w:textAlignment w:val="center"/>
              <w:rPr>
                <w:rFonts w:ascii="Calibri" w:hAnsi="Calibri" w:eastAsia="宋体" w:cs="Calibri"/>
                <w:kern w:val="2"/>
                <w:sz w:val="20"/>
                <w:szCs w:val="20"/>
                <w:lang w:bidi="ar"/>
              </w:rPr>
            </w:pPr>
            <w:r>
              <w:rPr>
                <w:rFonts w:hint="eastAsia" w:ascii="宋体" w:hAnsi="宋体" w:eastAsia="宋体" w:cs="宋体"/>
                <w:sz w:val="20"/>
                <w:szCs w:val="20"/>
                <w:lang w:bidi="ar"/>
              </w:rPr>
              <w:t>作业活动类</w:t>
            </w:r>
          </w:p>
        </w:tc>
        <w:tc>
          <w:tcPr>
            <w:tcW w:w="1103" w:type="dxa"/>
            <w:vMerge w:val="restart"/>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作业活动</w:t>
            </w:r>
          </w:p>
        </w:tc>
        <w:tc>
          <w:tcPr>
            <w:tcW w:w="1707" w:type="dxa"/>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机械作业</w:t>
            </w:r>
          </w:p>
        </w:tc>
        <w:tc>
          <w:tcPr>
            <w:tcW w:w="2410" w:type="dxa"/>
            <w:vMerge w:val="restart"/>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违章指挥、违章操作、    违反劳动纪律、未正确   使用防护用品</w:t>
            </w:r>
          </w:p>
        </w:tc>
        <w:tc>
          <w:tcPr>
            <w:tcW w:w="2165" w:type="dxa"/>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机械伤害</w:t>
            </w:r>
          </w:p>
        </w:tc>
        <w:tc>
          <w:tcPr>
            <w:tcW w:w="889" w:type="dxa"/>
            <w:noWrap/>
            <w:tcMar>
              <w:top w:w="15" w:type="dxa"/>
              <w:left w:w="15" w:type="dxa"/>
              <w:right w:w="15" w:type="dxa"/>
            </w:tcMar>
            <w:vAlign w:val="center"/>
          </w:tcPr>
          <w:p>
            <w:pPr>
              <w:snapToGrid w:val="0"/>
              <w:jc w:val="center"/>
              <w:rPr>
                <w:rFonts w:ascii="宋体" w:hAnsi="宋体" w:eastAsia="宋体" w:cs="宋体"/>
                <w:kern w:val="2"/>
                <w:sz w:val="20"/>
                <w:szCs w:val="20"/>
              </w:rPr>
            </w:pPr>
            <w:r>
              <w:rPr>
                <w:rFonts w:hint="eastAsia" w:ascii="宋体" w:hAnsi="宋体" w:eastAsia="宋体" w:cs="宋体"/>
                <w:sz w:val="20"/>
                <w:szCs w:val="20"/>
              </w:rPr>
              <w:t>LEC法</w:t>
            </w:r>
          </w:p>
        </w:tc>
        <w:tc>
          <w:tcPr>
            <w:tcW w:w="904" w:type="dxa"/>
            <w:noWrap/>
            <w:tcMar>
              <w:top w:w="15" w:type="dxa"/>
              <w:left w:w="15" w:type="dxa"/>
              <w:right w:w="15" w:type="dxa"/>
            </w:tcMar>
            <w:vAlign w:val="center"/>
          </w:tcPr>
          <w:p>
            <w:pPr>
              <w:snapToGrid w:val="0"/>
              <w:jc w:val="center"/>
              <w:rPr>
                <w:rFonts w:ascii="宋体" w:hAnsi="宋体" w:eastAsia="宋体" w:cs="宋体"/>
                <w:kern w:val="2"/>
                <w:sz w:val="20"/>
                <w:szCs w:val="20"/>
              </w:rPr>
            </w:pPr>
            <w:r>
              <w:rPr>
                <w:rFonts w:hint="eastAsia" w:ascii="宋体" w:hAnsi="宋体" w:eastAsia="宋体" w:cs="宋体"/>
                <w:sz w:val="20"/>
                <w:szCs w:val="20"/>
              </w:rPr>
              <w:t>0.5～3</w:t>
            </w:r>
          </w:p>
        </w:tc>
        <w:tc>
          <w:tcPr>
            <w:tcW w:w="715" w:type="dxa"/>
            <w:tcMar>
              <w:top w:w="15" w:type="dxa"/>
              <w:left w:w="15" w:type="dxa"/>
              <w:right w:w="15" w:type="dxa"/>
            </w:tcMar>
            <w:vAlign w:val="center"/>
          </w:tcPr>
          <w:p>
            <w:pPr>
              <w:snapToGrid w:val="0"/>
              <w:jc w:val="center"/>
              <w:rPr>
                <w:rFonts w:ascii="宋体" w:hAnsi="宋体" w:eastAsia="宋体" w:cs="宋体"/>
                <w:kern w:val="2"/>
                <w:sz w:val="20"/>
                <w:szCs w:val="20"/>
              </w:rPr>
            </w:pPr>
            <w:r>
              <w:rPr>
                <w:rFonts w:hint="eastAsia" w:ascii="宋体" w:hAnsi="宋体" w:eastAsia="宋体" w:cs="宋体"/>
                <w:sz w:val="20"/>
                <w:szCs w:val="20"/>
              </w:rPr>
              <w:t>2～6</w:t>
            </w:r>
          </w:p>
        </w:tc>
        <w:tc>
          <w:tcPr>
            <w:tcW w:w="775" w:type="dxa"/>
            <w:noWrap/>
            <w:tcMar>
              <w:top w:w="15" w:type="dxa"/>
              <w:left w:w="15" w:type="dxa"/>
              <w:right w:w="15" w:type="dxa"/>
            </w:tcMar>
            <w:vAlign w:val="center"/>
          </w:tcPr>
          <w:p>
            <w:pPr>
              <w:snapToGrid w:val="0"/>
              <w:jc w:val="center"/>
              <w:rPr>
                <w:rFonts w:ascii="宋体" w:hAnsi="宋体" w:eastAsia="宋体" w:cs="宋体"/>
                <w:kern w:val="2"/>
                <w:sz w:val="20"/>
                <w:szCs w:val="20"/>
              </w:rPr>
            </w:pPr>
            <w:r>
              <w:rPr>
                <w:rFonts w:hint="eastAsia" w:ascii="宋体" w:hAnsi="宋体" w:eastAsia="宋体" w:cs="宋体"/>
                <w:sz w:val="20"/>
                <w:szCs w:val="20"/>
              </w:rPr>
              <w:t>3～7</w:t>
            </w:r>
          </w:p>
        </w:tc>
        <w:tc>
          <w:tcPr>
            <w:tcW w:w="1014" w:type="dxa"/>
            <w:noWrap/>
            <w:tcMar>
              <w:top w:w="15" w:type="dxa"/>
              <w:left w:w="15" w:type="dxa"/>
              <w:right w:w="15" w:type="dxa"/>
            </w:tcMar>
            <w:vAlign w:val="center"/>
          </w:tcPr>
          <w:p>
            <w:pPr>
              <w:snapToGrid w:val="0"/>
              <w:jc w:val="center"/>
              <w:rPr>
                <w:rFonts w:ascii="宋体" w:hAnsi="宋体" w:eastAsia="宋体" w:cs="宋体"/>
                <w:kern w:val="2"/>
                <w:sz w:val="20"/>
                <w:szCs w:val="20"/>
              </w:rPr>
            </w:pPr>
            <w:r>
              <w:rPr>
                <w:rFonts w:hint="eastAsia" w:ascii="宋体" w:hAnsi="宋体" w:eastAsia="宋体" w:cs="宋体"/>
                <w:sz w:val="20"/>
                <w:szCs w:val="20"/>
              </w:rPr>
              <w:t>3～126</w:t>
            </w:r>
          </w:p>
        </w:tc>
        <w:tc>
          <w:tcPr>
            <w:tcW w:w="894" w:type="dxa"/>
            <w:tcMar>
              <w:top w:w="15" w:type="dxa"/>
              <w:left w:w="15" w:type="dxa"/>
              <w:right w:w="15" w:type="dxa"/>
            </w:tcMar>
            <w:vAlign w:val="center"/>
          </w:tcPr>
          <w:p>
            <w:pPr>
              <w:snapToGrid w:val="0"/>
              <w:jc w:val="center"/>
              <w:rPr>
                <w:rFonts w:ascii="宋体" w:hAnsi="宋体" w:eastAsia="宋体" w:cs="宋体"/>
                <w:kern w:val="2"/>
                <w:sz w:val="20"/>
                <w:szCs w:val="20"/>
              </w:rPr>
            </w:pPr>
            <w:r>
              <w:rPr>
                <w:rFonts w:hint="eastAsia" w:ascii="宋体" w:hAnsi="宋体" w:eastAsia="宋体" w:cs="宋体"/>
                <w:sz w:val="20"/>
                <w:szCs w:val="20"/>
              </w:rPr>
              <w:t>低～一般</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683" w:type="dxa"/>
            <w:noWrap/>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2</w:t>
            </w:r>
            <w:r>
              <w:rPr>
                <w:rFonts w:ascii="宋体" w:hAnsi="宋体" w:eastAsia="宋体" w:cs="宋体"/>
                <w:sz w:val="20"/>
                <w:szCs w:val="20"/>
                <w:lang w:bidi="ar"/>
              </w:rPr>
              <w:t>1</w:t>
            </w:r>
          </w:p>
        </w:tc>
        <w:tc>
          <w:tcPr>
            <w:tcW w:w="1064" w:type="dxa"/>
            <w:vMerge w:val="continue"/>
            <w:noWrap/>
            <w:tcMar>
              <w:top w:w="15" w:type="dxa"/>
              <w:left w:w="15" w:type="dxa"/>
              <w:right w:w="15" w:type="dxa"/>
            </w:tcMar>
            <w:vAlign w:val="center"/>
          </w:tcPr>
          <w:p>
            <w:pPr>
              <w:widowControl w:val="0"/>
              <w:snapToGrid w:val="0"/>
              <w:jc w:val="center"/>
              <w:rPr>
                <w:rFonts w:ascii="宋体" w:hAnsi="宋体" w:eastAsia="宋体" w:cs="宋体"/>
                <w:kern w:val="2"/>
                <w:sz w:val="20"/>
                <w:szCs w:val="20"/>
              </w:rPr>
            </w:pPr>
          </w:p>
        </w:tc>
        <w:tc>
          <w:tcPr>
            <w:tcW w:w="1103" w:type="dxa"/>
            <w:vMerge w:val="continue"/>
            <w:tcMar>
              <w:top w:w="15" w:type="dxa"/>
              <w:left w:w="15" w:type="dxa"/>
              <w:right w:w="15" w:type="dxa"/>
            </w:tcMar>
            <w:vAlign w:val="center"/>
          </w:tcPr>
          <w:p>
            <w:pPr>
              <w:widowControl w:val="0"/>
              <w:snapToGrid w:val="0"/>
              <w:jc w:val="center"/>
              <w:textAlignment w:val="center"/>
              <w:rPr>
                <w:rFonts w:ascii="宋体" w:hAnsi="宋体" w:eastAsia="宋体" w:cs="宋体"/>
                <w:kern w:val="2"/>
                <w:sz w:val="20"/>
                <w:szCs w:val="20"/>
              </w:rPr>
            </w:pPr>
          </w:p>
        </w:tc>
        <w:tc>
          <w:tcPr>
            <w:tcW w:w="1707" w:type="dxa"/>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起重、搬运作业</w:t>
            </w:r>
          </w:p>
        </w:tc>
        <w:tc>
          <w:tcPr>
            <w:tcW w:w="2410" w:type="dxa"/>
            <w:vMerge w:val="continue"/>
            <w:tcMar>
              <w:top w:w="15" w:type="dxa"/>
              <w:left w:w="15" w:type="dxa"/>
              <w:right w:w="15" w:type="dxa"/>
            </w:tcMar>
            <w:vAlign w:val="center"/>
          </w:tcPr>
          <w:p>
            <w:pPr>
              <w:widowControl w:val="0"/>
              <w:snapToGrid w:val="0"/>
              <w:jc w:val="center"/>
              <w:rPr>
                <w:rFonts w:ascii="宋体" w:hAnsi="宋体" w:eastAsia="宋体" w:cs="宋体"/>
                <w:kern w:val="2"/>
                <w:sz w:val="20"/>
                <w:szCs w:val="20"/>
              </w:rPr>
            </w:pPr>
          </w:p>
        </w:tc>
        <w:tc>
          <w:tcPr>
            <w:tcW w:w="2165" w:type="dxa"/>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起重伤害、物体打击</w:t>
            </w:r>
          </w:p>
        </w:tc>
        <w:tc>
          <w:tcPr>
            <w:tcW w:w="889" w:type="dxa"/>
            <w:noWrap/>
            <w:tcMar>
              <w:top w:w="15" w:type="dxa"/>
              <w:left w:w="15" w:type="dxa"/>
              <w:right w:w="15" w:type="dxa"/>
            </w:tcMar>
            <w:vAlign w:val="center"/>
          </w:tcPr>
          <w:p>
            <w:pPr>
              <w:snapToGrid w:val="0"/>
              <w:jc w:val="center"/>
              <w:rPr>
                <w:rFonts w:ascii="宋体" w:hAnsi="宋体" w:eastAsia="宋体" w:cs="宋体"/>
                <w:kern w:val="2"/>
                <w:sz w:val="20"/>
                <w:szCs w:val="20"/>
              </w:rPr>
            </w:pPr>
            <w:r>
              <w:rPr>
                <w:rFonts w:hint="eastAsia" w:ascii="宋体" w:hAnsi="宋体" w:eastAsia="宋体" w:cs="宋体"/>
                <w:sz w:val="20"/>
                <w:szCs w:val="20"/>
              </w:rPr>
              <w:t>LEC法</w:t>
            </w:r>
          </w:p>
        </w:tc>
        <w:tc>
          <w:tcPr>
            <w:tcW w:w="904" w:type="dxa"/>
            <w:noWrap/>
            <w:tcMar>
              <w:top w:w="15" w:type="dxa"/>
              <w:left w:w="15" w:type="dxa"/>
              <w:right w:w="15" w:type="dxa"/>
            </w:tcMar>
            <w:vAlign w:val="center"/>
          </w:tcPr>
          <w:p>
            <w:pPr>
              <w:snapToGrid w:val="0"/>
              <w:jc w:val="center"/>
              <w:rPr>
                <w:rFonts w:ascii="宋体" w:hAnsi="宋体" w:eastAsia="宋体" w:cs="宋体"/>
                <w:kern w:val="2"/>
                <w:sz w:val="20"/>
                <w:szCs w:val="20"/>
              </w:rPr>
            </w:pPr>
            <w:r>
              <w:rPr>
                <w:rFonts w:hint="eastAsia" w:ascii="宋体" w:hAnsi="宋体" w:eastAsia="宋体" w:cs="宋体"/>
                <w:sz w:val="20"/>
                <w:szCs w:val="20"/>
              </w:rPr>
              <w:t>0.5～3</w:t>
            </w:r>
          </w:p>
        </w:tc>
        <w:tc>
          <w:tcPr>
            <w:tcW w:w="715" w:type="dxa"/>
            <w:tcMar>
              <w:top w:w="15" w:type="dxa"/>
              <w:left w:w="15" w:type="dxa"/>
              <w:right w:w="15" w:type="dxa"/>
            </w:tcMar>
            <w:vAlign w:val="center"/>
          </w:tcPr>
          <w:p>
            <w:pPr>
              <w:snapToGrid w:val="0"/>
              <w:jc w:val="center"/>
              <w:rPr>
                <w:rFonts w:ascii="宋体" w:hAnsi="宋体" w:eastAsia="宋体" w:cs="宋体"/>
                <w:kern w:val="2"/>
                <w:sz w:val="20"/>
                <w:szCs w:val="20"/>
              </w:rPr>
            </w:pPr>
            <w:r>
              <w:rPr>
                <w:rFonts w:hint="eastAsia" w:ascii="宋体" w:hAnsi="宋体" w:eastAsia="宋体" w:cs="宋体"/>
                <w:sz w:val="20"/>
                <w:szCs w:val="20"/>
              </w:rPr>
              <w:t>2～6</w:t>
            </w:r>
          </w:p>
        </w:tc>
        <w:tc>
          <w:tcPr>
            <w:tcW w:w="775" w:type="dxa"/>
            <w:noWrap/>
            <w:tcMar>
              <w:top w:w="15" w:type="dxa"/>
              <w:left w:w="15" w:type="dxa"/>
              <w:right w:w="15" w:type="dxa"/>
            </w:tcMar>
            <w:vAlign w:val="center"/>
          </w:tcPr>
          <w:p>
            <w:pPr>
              <w:snapToGrid w:val="0"/>
              <w:jc w:val="center"/>
              <w:rPr>
                <w:rFonts w:ascii="宋体" w:hAnsi="宋体" w:eastAsia="宋体" w:cs="宋体"/>
                <w:kern w:val="2"/>
                <w:sz w:val="20"/>
                <w:szCs w:val="20"/>
              </w:rPr>
            </w:pPr>
            <w:r>
              <w:rPr>
                <w:rFonts w:hint="eastAsia" w:ascii="宋体" w:hAnsi="宋体" w:eastAsia="宋体" w:cs="宋体"/>
                <w:sz w:val="20"/>
                <w:szCs w:val="20"/>
              </w:rPr>
              <w:t>3～7</w:t>
            </w:r>
          </w:p>
        </w:tc>
        <w:tc>
          <w:tcPr>
            <w:tcW w:w="1014" w:type="dxa"/>
            <w:noWrap/>
            <w:tcMar>
              <w:top w:w="15" w:type="dxa"/>
              <w:left w:w="15" w:type="dxa"/>
              <w:right w:w="15" w:type="dxa"/>
            </w:tcMar>
            <w:vAlign w:val="center"/>
          </w:tcPr>
          <w:p>
            <w:pPr>
              <w:snapToGrid w:val="0"/>
              <w:jc w:val="center"/>
              <w:rPr>
                <w:rFonts w:ascii="宋体" w:hAnsi="宋体" w:eastAsia="宋体" w:cs="宋体"/>
                <w:kern w:val="2"/>
                <w:sz w:val="20"/>
                <w:szCs w:val="20"/>
              </w:rPr>
            </w:pPr>
            <w:r>
              <w:rPr>
                <w:rFonts w:hint="eastAsia" w:ascii="宋体" w:hAnsi="宋体" w:eastAsia="宋体" w:cs="宋体"/>
                <w:sz w:val="20"/>
                <w:szCs w:val="20"/>
              </w:rPr>
              <w:t>3～126</w:t>
            </w:r>
          </w:p>
        </w:tc>
        <w:tc>
          <w:tcPr>
            <w:tcW w:w="894" w:type="dxa"/>
            <w:tcMar>
              <w:top w:w="15" w:type="dxa"/>
              <w:left w:w="15" w:type="dxa"/>
              <w:right w:w="15" w:type="dxa"/>
            </w:tcMar>
            <w:vAlign w:val="center"/>
          </w:tcPr>
          <w:p>
            <w:pPr>
              <w:snapToGrid w:val="0"/>
              <w:jc w:val="center"/>
              <w:rPr>
                <w:rFonts w:ascii="宋体" w:hAnsi="宋体" w:eastAsia="宋体" w:cs="宋体"/>
                <w:kern w:val="2"/>
                <w:sz w:val="20"/>
                <w:szCs w:val="20"/>
              </w:rPr>
            </w:pPr>
            <w:r>
              <w:rPr>
                <w:rFonts w:hint="eastAsia" w:ascii="宋体" w:hAnsi="宋体" w:eastAsia="宋体" w:cs="宋体"/>
                <w:sz w:val="20"/>
                <w:szCs w:val="20"/>
              </w:rPr>
              <w:t>低～一般</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683" w:type="dxa"/>
            <w:noWrap/>
            <w:tcMar>
              <w:top w:w="15" w:type="dxa"/>
              <w:left w:w="15" w:type="dxa"/>
              <w:right w:w="15" w:type="dxa"/>
            </w:tcMar>
            <w:vAlign w:val="center"/>
          </w:tcPr>
          <w:p>
            <w:pPr>
              <w:snapToGrid w:val="0"/>
              <w:jc w:val="center"/>
              <w:textAlignment w:val="center"/>
              <w:rPr>
                <w:rFonts w:ascii="宋体" w:hAnsi="宋体" w:eastAsia="宋体" w:cs="宋体"/>
                <w:sz w:val="20"/>
                <w:szCs w:val="20"/>
                <w:lang w:bidi="ar"/>
              </w:rPr>
            </w:pPr>
            <w:r>
              <w:rPr>
                <w:rFonts w:hint="eastAsia" w:ascii="宋体" w:hAnsi="宋体" w:eastAsia="宋体" w:cs="宋体"/>
                <w:sz w:val="20"/>
                <w:szCs w:val="20"/>
                <w:lang w:bidi="ar"/>
              </w:rPr>
              <w:t>2</w:t>
            </w:r>
            <w:r>
              <w:rPr>
                <w:rFonts w:ascii="宋体" w:hAnsi="宋体" w:eastAsia="宋体" w:cs="宋体"/>
                <w:sz w:val="20"/>
                <w:szCs w:val="20"/>
                <w:lang w:bidi="ar"/>
              </w:rPr>
              <w:t>2</w:t>
            </w:r>
          </w:p>
        </w:tc>
        <w:tc>
          <w:tcPr>
            <w:tcW w:w="1064" w:type="dxa"/>
            <w:vMerge w:val="continue"/>
            <w:noWrap/>
            <w:tcMar>
              <w:top w:w="15" w:type="dxa"/>
              <w:left w:w="15" w:type="dxa"/>
              <w:right w:w="15" w:type="dxa"/>
            </w:tcMar>
            <w:vAlign w:val="center"/>
          </w:tcPr>
          <w:p>
            <w:pPr>
              <w:widowControl w:val="0"/>
              <w:snapToGrid w:val="0"/>
              <w:jc w:val="center"/>
              <w:rPr>
                <w:rFonts w:ascii="宋体" w:hAnsi="宋体" w:eastAsia="宋体" w:cs="宋体"/>
                <w:kern w:val="2"/>
                <w:sz w:val="20"/>
                <w:szCs w:val="20"/>
              </w:rPr>
            </w:pPr>
          </w:p>
        </w:tc>
        <w:tc>
          <w:tcPr>
            <w:tcW w:w="1103" w:type="dxa"/>
            <w:vMerge w:val="continue"/>
            <w:tcMar>
              <w:top w:w="15" w:type="dxa"/>
              <w:left w:w="15" w:type="dxa"/>
              <w:right w:w="15" w:type="dxa"/>
            </w:tcMar>
            <w:vAlign w:val="center"/>
          </w:tcPr>
          <w:p>
            <w:pPr>
              <w:widowControl w:val="0"/>
              <w:snapToGrid w:val="0"/>
              <w:jc w:val="center"/>
              <w:textAlignment w:val="center"/>
              <w:rPr>
                <w:rFonts w:ascii="宋体" w:hAnsi="宋体" w:eastAsia="宋体" w:cs="宋体"/>
                <w:kern w:val="2"/>
                <w:sz w:val="20"/>
                <w:szCs w:val="20"/>
              </w:rPr>
            </w:pPr>
          </w:p>
        </w:tc>
        <w:tc>
          <w:tcPr>
            <w:tcW w:w="1707" w:type="dxa"/>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水上观测与检查 作业</w:t>
            </w:r>
          </w:p>
        </w:tc>
        <w:tc>
          <w:tcPr>
            <w:tcW w:w="2410" w:type="dxa"/>
            <w:vMerge w:val="continue"/>
            <w:tcMar>
              <w:top w:w="15" w:type="dxa"/>
              <w:left w:w="15" w:type="dxa"/>
              <w:right w:w="15" w:type="dxa"/>
            </w:tcMar>
            <w:vAlign w:val="center"/>
          </w:tcPr>
          <w:p>
            <w:pPr>
              <w:widowControl w:val="0"/>
              <w:snapToGrid w:val="0"/>
              <w:jc w:val="center"/>
              <w:rPr>
                <w:rFonts w:ascii="宋体" w:hAnsi="宋体" w:eastAsia="宋体" w:cs="宋体"/>
                <w:kern w:val="2"/>
                <w:sz w:val="20"/>
                <w:szCs w:val="20"/>
              </w:rPr>
            </w:pPr>
          </w:p>
        </w:tc>
        <w:tc>
          <w:tcPr>
            <w:tcW w:w="2165" w:type="dxa"/>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淹溺</w:t>
            </w:r>
          </w:p>
        </w:tc>
        <w:tc>
          <w:tcPr>
            <w:tcW w:w="889" w:type="dxa"/>
            <w:noWrap/>
            <w:tcMar>
              <w:top w:w="15" w:type="dxa"/>
              <w:left w:w="15" w:type="dxa"/>
              <w:right w:w="15" w:type="dxa"/>
            </w:tcMar>
            <w:vAlign w:val="center"/>
          </w:tcPr>
          <w:p>
            <w:pPr>
              <w:snapToGrid w:val="0"/>
              <w:jc w:val="center"/>
              <w:rPr>
                <w:rFonts w:ascii="宋体" w:hAnsi="宋体" w:eastAsia="宋体" w:cs="宋体"/>
                <w:sz w:val="20"/>
                <w:szCs w:val="20"/>
                <w:lang w:bidi="ar"/>
              </w:rPr>
            </w:pPr>
            <w:r>
              <w:rPr>
                <w:rFonts w:hint="eastAsia" w:ascii="宋体" w:hAnsi="宋体" w:eastAsia="宋体" w:cs="宋体"/>
                <w:sz w:val="20"/>
                <w:szCs w:val="20"/>
              </w:rPr>
              <w:t>LEC法</w:t>
            </w:r>
          </w:p>
        </w:tc>
        <w:tc>
          <w:tcPr>
            <w:tcW w:w="904" w:type="dxa"/>
            <w:noWrap/>
            <w:tcMar>
              <w:top w:w="15" w:type="dxa"/>
              <w:left w:w="15" w:type="dxa"/>
              <w:right w:w="15" w:type="dxa"/>
            </w:tcMar>
            <w:vAlign w:val="center"/>
          </w:tcPr>
          <w:p>
            <w:pPr>
              <w:snapToGrid w:val="0"/>
              <w:jc w:val="center"/>
              <w:rPr>
                <w:rFonts w:ascii="宋体" w:hAnsi="宋体" w:eastAsia="宋体" w:cs="宋体"/>
                <w:sz w:val="20"/>
                <w:szCs w:val="20"/>
                <w:lang w:bidi="ar"/>
              </w:rPr>
            </w:pPr>
            <w:r>
              <w:rPr>
                <w:rFonts w:hint="eastAsia" w:ascii="宋体" w:hAnsi="宋体" w:eastAsia="宋体" w:cs="宋体"/>
                <w:sz w:val="20"/>
                <w:szCs w:val="20"/>
              </w:rPr>
              <w:t>0.5～3</w:t>
            </w:r>
          </w:p>
        </w:tc>
        <w:tc>
          <w:tcPr>
            <w:tcW w:w="715" w:type="dxa"/>
            <w:tcMar>
              <w:top w:w="15" w:type="dxa"/>
              <w:left w:w="15" w:type="dxa"/>
              <w:right w:w="15" w:type="dxa"/>
            </w:tcMar>
            <w:vAlign w:val="center"/>
          </w:tcPr>
          <w:p>
            <w:pPr>
              <w:snapToGrid w:val="0"/>
              <w:jc w:val="center"/>
              <w:rPr>
                <w:rFonts w:ascii="宋体" w:hAnsi="宋体" w:eastAsia="宋体" w:cs="宋体"/>
                <w:sz w:val="20"/>
                <w:szCs w:val="20"/>
                <w:lang w:bidi="ar"/>
              </w:rPr>
            </w:pPr>
            <w:r>
              <w:rPr>
                <w:rFonts w:hint="eastAsia" w:ascii="宋体" w:hAnsi="宋体" w:eastAsia="宋体" w:cs="宋体"/>
                <w:sz w:val="20"/>
                <w:szCs w:val="20"/>
              </w:rPr>
              <w:t>2～6</w:t>
            </w:r>
          </w:p>
        </w:tc>
        <w:tc>
          <w:tcPr>
            <w:tcW w:w="775" w:type="dxa"/>
            <w:noWrap/>
            <w:tcMar>
              <w:top w:w="15" w:type="dxa"/>
              <w:left w:w="15" w:type="dxa"/>
              <w:right w:w="15" w:type="dxa"/>
            </w:tcMar>
            <w:vAlign w:val="center"/>
          </w:tcPr>
          <w:p>
            <w:pPr>
              <w:snapToGrid w:val="0"/>
              <w:jc w:val="center"/>
              <w:rPr>
                <w:rFonts w:ascii="宋体" w:hAnsi="宋体" w:eastAsia="宋体" w:cs="宋体"/>
                <w:sz w:val="20"/>
                <w:szCs w:val="20"/>
                <w:lang w:bidi="ar"/>
              </w:rPr>
            </w:pPr>
            <w:r>
              <w:rPr>
                <w:rFonts w:hint="eastAsia" w:ascii="宋体" w:hAnsi="宋体" w:eastAsia="宋体" w:cs="宋体"/>
                <w:sz w:val="20"/>
                <w:szCs w:val="20"/>
              </w:rPr>
              <w:t>3～7</w:t>
            </w:r>
          </w:p>
        </w:tc>
        <w:tc>
          <w:tcPr>
            <w:tcW w:w="1014" w:type="dxa"/>
            <w:noWrap/>
            <w:tcMar>
              <w:top w:w="15" w:type="dxa"/>
              <w:left w:w="15" w:type="dxa"/>
              <w:right w:w="15" w:type="dxa"/>
            </w:tcMar>
            <w:vAlign w:val="center"/>
          </w:tcPr>
          <w:p>
            <w:pPr>
              <w:snapToGrid w:val="0"/>
              <w:jc w:val="center"/>
              <w:rPr>
                <w:rFonts w:ascii="宋体" w:hAnsi="宋体" w:eastAsia="宋体" w:cs="宋体"/>
                <w:sz w:val="20"/>
                <w:szCs w:val="20"/>
                <w:lang w:bidi="ar"/>
              </w:rPr>
            </w:pPr>
            <w:r>
              <w:rPr>
                <w:rFonts w:hint="eastAsia" w:ascii="宋体" w:hAnsi="宋体" w:eastAsia="宋体" w:cs="宋体"/>
                <w:sz w:val="20"/>
                <w:szCs w:val="20"/>
              </w:rPr>
              <w:t>3～126</w:t>
            </w:r>
          </w:p>
        </w:tc>
        <w:tc>
          <w:tcPr>
            <w:tcW w:w="894" w:type="dxa"/>
            <w:tcMar>
              <w:top w:w="15" w:type="dxa"/>
              <w:left w:w="15" w:type="dxa"/>
              <w:right w:w="15" w:type="dxa"/>
            </w:tcMar>
            <w:vAlign w:val="center"/>
          </w:tcPr>
          <w:p>
            <w:pPr>
              <w:snapToGrid w:val="0"/>
              <w:jc w:val="center"/>
              <w:rPr>
                <w:rFonts w:ascii="宋体" w:hAnsi="宋体" w:eastAsia="宋体" w:cs="宋体"/>
                <w:sz w:val="20"/>
                <w:szCs w:val="20"/>
                <w:lang w:bidi="ar"/>
              </w:rPr>
            </w:pPr>
            <w:r>
              <w:rPr>
                <w:rFonts w:hint="eastAsia" w:ascii="宋体" w:hAnsi="宋体" w:eastAsia="宋体" w:cs="宋体"/>
                <w:sz w:val="20"/>
                <w:szCs w:val="20"/>
              </w:rPr>
              <w:t>低～一般</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683" w:type="dxa"/>
            <w:noWrap/>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ascii="宋体" w:hAnsi="宋体" w:eastAsia="宋体" w:cs="宋体"/>
                <w:sz w:val="20"/>
                <w:szCs w:val="20"/>
                <w:lang w:bidi="ar"/>
              </w:rPr>
              <w:t>23</w:t>
            </w:r>
          </w:p>
        </w:tc>
        <w:tc>
          <w:tcPr>
            <w:tcW w:w="1064" w:type="dxa"/>
            <w:vMerge w:val="continue"/>
            <w:noWrap/>
            <w:tcMar>
              <w:top w:w="15" w:type="dxa"/>
              <w:left w:w="15" w:type="dxa"/>
              <w:right w:w="15" w:type="dxa"/>
            </w:tcMar>
            <w:vAlign w:val="center"/>
          </w:tcPr>
          <w:p>
            <w:pPr>
              <w:widowControl w:val="0"/>
              <w:snapToGrid w:val="0"/>
              <w:jc w:val="center"/>
              <w:rPr>
                <w:rFonts w:ascii="宋体" w:hAnsi="宋体" w:eastAsia="宋体" w:cs="宋体"/>
                <w:kern w:val="2"/>
                <w:sz w:val="20"/>
                <w:szCs w:val="20"/>
              </w:rPr>
            </w:pPr>
          </w:p>
        </w:tc>
        <w:tc>
          <w:tcPr>
            <w:tcW w:w="1103" w:type="dxa"/>
            <w:vMerge w:val="continue"/>
            <w:tcMar>
              <w:top w:w="15" w:type="dxa"/>
              <w:left w:w="15" w:type="dxa"/>
              <w:right w:w="15" w:type="dxa"/>
            </w:tcMar>
            <w:vAlign w:val="center"/>
          </w:tcPr>
          <w:p>
            <w:pPr>
              <w:widowControl w:val="0"/>
              <w:snapToGrid w:val="0"/>
              <w:jc w:val="center"/>
              <w:textAlignment w:val="center"/>
              <w:rPr>
                <w:rFonts w:ascii="宋体" w:hAnsi="宋体" w:eastAsia="宋体" w:cs="宋体"/>
                <w:kern w:val="2"/>
                <w:sz w:val="20"/>
                <w:szCs w:val="20"/>
              </w:rPr>
            </w:pPr>
          </w:p>
        </w:tc>
        <w:tc>
          <w:tcPr>
            <w:tcW w:w="1707" w:type="dxa"/>
            <w:tcMar>
              <w:top w:w="15" w:type="dxa"/>
              <w:left w:w="15" w:type="dxa"/>
              <w:right w:w="15" w:type="dxa"/>
            </w:tcMar>
            <w:vAlign w:val="center"/>
          </w:tcPr>
          <w:p>
            <w:pPr>
              <w:snapToGrid w:val="0"/>
              <w:jc w:val="center"/>
              <w:rPr>
                <w:rFonts w:ascii="宋体" w:hAnsi="宋体" w:eastAsia="宋体" w:cs="宋体"/>
                <w:sz w:val="20"/>
                <w:szCs w:val="20"/>
                <w:lang w:bidi="ar"/>
              </w:rPr>
            </w:pPr>
            <w:r>
              <w:rPr>
                <w:rFonts w:hint="eastAsia" w:ascii="宋体" w:hAnsi="宋体" w:eastAsia="宋体" w:cs="宋体"/>
                <w:sz w:val="20"/>
                <w:szCs w:val="20"/>
              </w:rPr>
              <w:t>车辆行驶</w:t>
            </w:r>
          </w:p>
        </w:tc>
        <w:tc>
          <w:tcPr>
            <w:tcW w:w="2410" w:type="dxa"/>
            <w:vMerge w:val="continue"/>
            <w:tcMar>
              <w:top w:w="15" w:type="dxa"/>
              <w:left w:w="15" w:type="dxa"/>
              <w:right w:w="15" w:type="dxa"/>
            </w:tcMar>
            <w:vAlign w:val="center"/>
          </w:tcPr>
          <w:p>
            <w:pPr>
              <w:widowControl w:val="0"/>
              <w:snapToGrid w:val="0"/>
              <w:jc w:val="center"/>
              <w:rPr>
                <w:rFonts w:ascii="宋体" w:hAnsi="宋体" w:eastAsia="宋体" w:cs="宋体"/>
                <w:kern w:val="2"/>
                <w:sz w:val="20"/>
                <w:szCs w:val="20"/>
              </w:rPr>
            </w:pPr>
          </w:p>
        </w:tc>
        <w:tc>
          <w:tcPr>
            <w:tcW w:w="2165" w:type="dxa"/>
            <w:tcMar>
              <w:top w:w="15" w:type="dxa"/>
              <w:left w:w="15" w:type="dxa"/>
              <w:right w:w="15" w:type="dxa"/>
            </w:tcMar>
            <w:vAlign w:val="center"/>
          </w:tcPr>
          <w:p>
            <w:pPr>
              <w:snapToGrid w:val="0"/>
              <w:jc w:val="center"/>
              <w:rPr>
                <w:rFonts w:ascii="宋体" w:hAnsi="宋体" w:eastAsia="宋体" w:cs="宋体"/>
                <w:sz w:val="20"/>
                <w:szCs w:val="20"/>
              </w:rPr>
            </w:pPr>
            <w:r>
              <w:rPr>
                <w:rFonts w:hint="eastAsia" w:ascii="宋体" w:hAnsi="宋体" w:eastAsia="宋体" w:cs="宋体"/>
                <w:sz w:val="20"/>
                <w:szCs w:val="20"/>
              </w:rPr>
              <w:t>车辆伤害</w:t>
            </w:r>
          </w:p>
        </w:tc>
        <w:tc>
          <w:tcPr>
            <w:tcW w:w="889" w:type="dxa"/>
            <w:noWrap/>
            <w:tcMar>
              <w:top w:w="15" w:type="dxa"/>
              <w:left w:w="15" w:type="dxa"/>
              <w:right w:w="15" w:type="dxa"/>
            </w:tcMar>
            <w:vAlign w:val="center"/>
          </w:tcPr>
          <w:p>
            <w:pPr>
              <w:snapToGrid w:val="0"/>
              <w:jc w:val="center"/>
              <w:rPr>
                <w:rFonts w:ascii="宋体" w:hAnsi="宋体" w:eastAsia="宋体" w:cs="宋体"/>
                <w:kern w:val="2"/>
                <w:sz w:val="20"/>
                <w:szCs w:val="20"/>
              </w:rPr>
            </w:pPr>
            <w:r>
              <w:rPr>
                <w:rFonts w:hint="eastAsia" w:ascii="宋体" w:hAnsi="宋体" w:eastAsia="宋体" w:cs="宋体"/>
                <w:sz w:val="20"/>
                <w:szCs w:val="20"/>
              </w:rPr>
              <w:t>LEC法</w:t>
            </w:r>
          </w:p>
        </w:tc>
        <w:tc>
          <w:tcPr>
            <w:tcW w:w="904" w:type="dxa"/>
            <w:noWrap/>
            <w:tcMar>
              <w:top w:w="15" w:type="dxa"/>
              <w:left w:w="15" w:type="dxa"/>
              <w:right w:w="15" w:type="dxa"/>
            </w:tcMar>
            <w:vAlign w:val="center"/>
          </w:tcPr>
          <w:p>
            <w:pPr>
              <w:snapToGrid w:val="0"/>
              <w:jc w:val="center"/>
              <w:rPr>
                <w:rFonts w:ascii="宋体" w:hAnsi="宋体" w:eastAsia="宋体" w:cs="宋体"/>
                <w:kern w:val="2"/>
                <w:sz w:val="20"/>
                <w:szCs w:val="20"/>
              </w:rPr>
            </w:pPr>
            <w:r>
              <w:rPr>
                <w:rFonts w:hint="eastAsia" w:ascii="宋体" w:hAnsi="宋体" w:eastAsia="宋体" w:cs="宋体"/>
                <w:sz w:val="20"/>
                <w:szCs w:val="20"/>
              </w:rPr>
              <w:t>0.5～</w:t>
            </w:r>
            <w:r>
              <w:rPr>
                <w:rFonts w:ascii="宋体" w:hAnsi="宋体" w:eastAsia="宋体" w:cs="宋体"/>
                <w:sz w:val="20"/>
                <w:szCs w:val="20"/>
              </w:rPr>
              <w:t>6</w:t>
            </w:r>
          </w:p>
        </w:tc>
        <w:tc>
          <w:tcPr>
            <w:tcW w:w="715" w:type="dxa"/>
            <w:tcMar>
              <w:top w:w="15" w:type="dxa"/>
              <w:left w:w="15" w:type="dxa"/>
              <w:right w:w="15" w:type="dxa"/>
            </w:tcMar>
            <w:vAlign w:val="center"/>
          </w:tcPr>
          <w:p>
            <w:pPr>
              <w:snapToGrid w:val="0"/>
              <w:jc w:val="center"/>
              <w:rPr>
                <w:rFonts w:ascii="宋体" w:hAnsi="宋体" w:eastAsia="宋体" w:cs="宋体"/>
                <w:kern w:val="2"/>
                <w:sz w:val="20"/>
                <w:szCs w:val="20"/>
              </w:rPr>
            </w:pPr>
            <w:r>
              <w:rPr>
                <w:rFonts w:hint="eastAsia" w:ascii="宋体" w:hAnsi="宋体" w:eastAsia="宋体" w:cs="宋体"/>
                <w:sz w:val="20"/>
                <w:szCs w:val="20"/>
              </w:rPr>
              <w:t>2～6</w:t>
            </w:r>
          </w:p>
        </w:tc>
        <w:tc>
          <w:tcPr>
            <w:tcW w:w="775" w:type="dxa"/>
            <w:noWrap/>
            <w:tcMar>
              <w:top w:w="15" w:type="dxa"/>
              <w:left w:w="15" w:type="dxa"/>
              <w:right w:w="15" w:type="dxa"/>
            </w:tcMar>
            <w:vAlign w:val="center"/>
          </w:tcPr>
          <w:p>
            <w:pPr>
              <w:snapToGrid w:val="0"/>
              <w:jc w:val="center"/>
              <w:rPr>
                <w:rFonts w:ascii="宋体" w:hAnsi="宋体" w:eastAsia="宋体" w:cs="宋体"/>
                <w:kern w:val="2"/>
                <w:sz w:val="20"/>
                <w:szCs w:val="20"/>
              </w:rPr>
            </w:pPr>
            <w:r>
              <w:rPr>
                <w:rFonts w:hint="eastAsia" w:ascii="宋体" w:hAnsi="宋体" w:eastAsia="宋体" w:cs="宋体"/>
                <w:sz w:val="20"/>
                <w:szCs w:val="20"/>
              </w:rPr>
              <w:t>3～7</w:t>
            </w:r>
          </w:p>
        </w:tc>
        <w:tc>
          <w:tcPr>
            <w:tcW w:w="1014" w:type="dxa"/>
            <w:noWrap/>
            <w:tcMar>
              <w:top w:w="15" w:type="dxa"/>
              <w:left w:w="15" w:type="dxa"/>
              <w:right w:w="15" w:type="dxa"/>
            </w:tcMar>
            <w:vAlign w:val="center"/>
          </w:tcPr>
          <w:p>
            <w:pPr>
              <w:snapToGrid w:val="0"/>
              <w:jc w:val="center"/>
              <w:rPr>
                <w:rFonts w:ascii="宋体" w:hAnsi="宋体" w:eastAsia="宋体" w:cs="宋体"/>
                <w:kern w:val="2"/>
                <w:sz w:val="20"/>
                <w:szCs w:val="20"/>
              </w:rPr>
            </w:pPr>
            <w:r>
              <w:rPr>
                <w:rFonts w:hint="eastAsia" w:ascii="宋体" w:hAnsi="宋体" w:eastAsia="宋体" w:cs="宋体"/>
                <w:sz w:val="20"/>
                <w:szCs w:val="20"/>
              </w:rPr>
              <w:t>3～</w:t>
            </w:r>
            <w:r>
              <w:rPr>
                <w:rFonts w:ascii="宋体" w:hAnsi="宋体" w:eastAsia="宋体" w:cs="宋体"/>
                <w:sz w:val="20"/>
                <w:szCs w:val="20"/>
              </w:rPr>
              <w:t>252</w:t>
            </w:r>
          </w:p>
        </w:tc>
        <w:tc>
          <w:tcPr>
            <w:tcW w:w="894" w:type="dxa"/>
            <w:tcMar>
              <w:top w:w="15" w:type="dxa"/>
              <w:left w:w="15" w:type="dxa"/>
              <w:right w:w="15" w:type="dxa"/>
            </w:tcMar>
            <w:vAlign w:val="center"/>
          </w:tcPr>
          <w:p>
            <w:pPr>
              <w:snapToGrid w:val="0"/>
              <w:jc w:val="center"/>
              <w:rPr>
                <w:rFonts w:ascii="宋体" w:hAnsi="宋体" w:eastAsia="宋体" w:cs="宋体"/>
                <w:kern w:val="2"/>
                <w:sz w:val="20"/>
                <w:szCs w:val="20"/>
              </w:rPr>
            </w:pPr>
            <w:r>
              <w:rPr>
                <w:rFonts w:hint="eastAsia" w:ascii="宋体" w:hAnsi="宋体" w:eastAsia="宋体" w:cs="宋体"/>
                <w:sz w:val="20"/>
                <w:szCs w:val="20"/>
              </w:rPr>
              <w:t>低～较大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683" w:type="dxa"/>
            <w:noWrap/>
            <w:tcMar>
              <w:top w:w="15" w:type="dxa"/>
              <w:left w:w="15" w:type="dxa"/>
              <w:right w:w="15" w:type="dxa"/>
            </w:tcMar>
            <w:vAlign w:val="center"/>
          </w:tcPr>
          <w:p>
            <w:pPr>
              <w:snapToGrid w:val="0"/>
              <w:jc w:val="center"/>
              <w:textAlignment w:val="center"/>
              <w:rPr>
                <w:rFonts w:ascii="宋体" w:hAnsi="宋体" w:eastAsia="宋体" w:cs="宋体"/>
                <w:sz w:val="20"/>
                <w:szCs w:val="20"/>
                <w:lang w:bidi="ar"/>
              </w:rPr>
            </w:pPr>
            <w:r>
              <w:rPr>
                <w:rFonts w:ascii="宋体" w:hAnsi="宋体" w:eastAsia="宋体" w:cs="宋体"/>
                <w:sz w:val="20"/>
                <w:szCs w:val="20"/>
                <w:lang w:bidi="ar"/>
              </w:rPr>
              <w:t>24</w:t>
            </w:r>
          </w:p>
        </w:tc>
        <w:tc>
          <w:tcPr>
            <w:tcW w:w="1064" w:type="dxa"/>
            <w:vMerge w:val="continue"/>
            <w:noWrap/>
            <w:tcMar>
              <w:top w:w="15" w:type="dxa"/>
              <w:left w:w="15" w:type="dxa"/>
              <w:right w:w="15" w:type="dxa"/>
            </w:tcMar>
            <w:vAlign w:val="center"/>
          </w:tcPr>
          <w:p>
            <w:pPr>
              <w:widowControl w:val="0"/>
              <w:snapToGrid w:val="0"/>
              <w:jc w:val="center"/>
              <w:rPr>
                <w:rFonts w:ascii="宋体" w:hAnsi="宋体" w:eastAsia="宋体" w:cs="宋体"/>
                <w:kern w:val="2"/>
                <w:sz w:val="20"/>
                <w:szCs w:val="20"/>
              </w:rPr>
            </w:pPr>
          </w:p>
        </w:tc>
        <w:tc>
          <w:tcPr>
            <w:tcW w:w="1103" w:type="dxa"/>
            <w:vMerge w:val="continue"/>
            <w:tcMar>
              <w:top w:w="15" w:type="dxa"/>
              <w:left w:w="15" w:type="dxa"/>
              <w:right w:w="15" w:type="dxa"/>
            </w:tcMar>
            <w:vAlign w:val="center"/>
          </w:tcPr>
          <w:p>
            <w:pPr>
              <w:widowControl w:val="0"/>
              <w:snapToGrid w:val="0"/>
              <w:jc w:val="center"/>
              <w:textAlignment w:val="center"/>
              <w:rPr>
                <w:rFonts w:ascii="宋体" w:hAnsi="宋体" w:eastAsia="宋体" w:cs="宋体"/>
                <w:kern w:val="2"/>
                <w:sz w:val="20"/>
                <w:szCs w:val="20"/>
              </w:rPr>
            </w:pPr>
          </w:p>
        </w:tc>
        <w:tc>
          <w:tcPr>
            <w:tcW w:w="1707" w:type="dxa"/>
            <w:tcMar>
              <w:top w:w="15" w:type="dxa"/>
              <w:left w:w="15" w:type="dxa"/>
              <w:right w:w="15" w:type="dxa"/>
            </w:tcMar>
            <w:vAlign w:val="center"/>
          </w:tcPr>
          <w:p>
            <w:pPr>
              <w:snapToGrid w:val="0"/>
              <w:jc w:val="center"/>
              <w:rPr>
                <w:rFonts w:ascii="宋体" w:hAnsi="宋体" w:eastAsia="宋体" w:cs="宋体"/>
                <w:sz w:val="20"/>
                <w:szCs w:val="20"/>
              </w:rPr>
            </w:pPr>
            <w:r>
              <w:rPr>
                <w:rFonts w:hint="eastAsia" w:ascii="宋体" w:hAnsi="宋体" w:eastAsia="宋体" w:cs="宋体"/>
                <w:sz w:val="20"/>
                <w:szCs w:val="20"/>
              </w:rPr>
              <w:t>船舶行驶</w:t>
            </w:r>
          </w:p>
        </w:tc>
        <w:tc>
          <w:tcPr>
            <w:tcW w:w="2410" w:type="dxa"/>
            <w:vMerge w:val="continue"/>
            <w:tcMar>
              <w:top w:w="15" w:type="dxa"/>
              <w:left w:w="15" w:type="dxa"/>
              <w:right w:w="15" w:type="dxa"/>
            </w:tcMar>
            <w:vAlign w:val="center"/>
          </w:tcPr>
          <w:p>
            <w:pPr>
              <w:widowControl w:val="0"/>
              <w:snapToGrid w:val="0"/>
              <w:jc w:val="center"/>
              <w:rPr>
                <w:rFonts w:ascii="宋体" w:hAnsi="宋体" w:eastAsia="宋体" w:cs="宋体"/>
                <w:kern w:val="2"/>
                <w:sz w:val="20"/>
                <w:szCs w:val="20"/>
              </w:rPr>
            </w:pPr>
          </w:p>
        </w:tc>
        <w:tc>
          <w:tcPr>
            <w:tcW w:w="2165" w:type="dxa"/>
            <w:tcMar>
              <w:top w:w="15" w:type="dxa"/>
              <w:left w:w="15" w:type="dxa"/>
              <w:right w:w="15" w:type="dxa"/>
            </w:tcMar>
            <w:vAlign w:val="center"/>
          </w:tcPr>
          <w:p>
            <w:pPr>
              <w:snapToGrid w:val="0"/>
              <w:jc w:val="center"/>
              <w:rPr>
                <w:rFonts w:ascii="宋体" w:hAnsi="宋体" w:eastAsia="宋体" w:cs="宋体"/>
                <w:sz w:val="20"/>
                <w:szCs w:val="20"/>
              </w:rPr>
            </w:pPr>
            <w:r>
              <w:rPr>
                <w:rFonts w:hint="eastAsia" w:ascii="宋体" w:hAnsi="宋体" w:eastAsia="宋体" w:cs="宋体"/>
                <w:sz w:val="20"/>
                <w:szCs w:val="20"/>
              </w:rPr>
              <w:t>淹溺</w:t>
            </w:r>
          </w:p>
        </w:tc>
        <w:tc>
          <w:tcPr>
            <w:tcW w:w="889" w:type="dxa"/>
            <w:noWrap/>
            <w:tcMar>
              <w:top w:w="15" w:type="dxa"/>
              <w:left w:w="15" w:type="dxa"/>
              <w:right w:w="15" w:type="dxa"/>
            </w:tcMar>
            <w:vAlign w:val="center"/>
          </w:tcPr>
          <w:p>
            <w:pPr>
              <w:snapToGrid w:val="0"/>
              <w:jc w:val="center"/>
              <w:rPr>
                <w:rFonts w:ascii="宋体" w:hAnsi="宋体" w:eastAsia="宋体" w:cs="宋体"/>
                <w:sz w:val="20"/>
                <w:szCs w:val="20"/>
              </w:rPr>
            </w:pPr>
            <w:r>
              <w:rPr>
                <w:rFonts w:hint="eastAsia" w:ascii="宋体" w:hAnsi="宋体" w:eastAsia="宋体" w:cs="宋体"/>
                <w:sz w:val="20"/>
                <w:szCs w:val="20"/>
              </w:rPr>
              <w:t>LEC法</w:t>
            </w:r>
          </w:p>
        </w:tc>
        <w:tc>
          <w:tcPr>
            <w:tcW w:w="904" w:type="dxa"/>
            <w:noWrap/>
            <w:tcMar>
              <w:top w:w="15" w:type="dxa"/>
              <w:left w:w="15" w:type="dxa"/>
              <w:right w:w="15" w:type="dxa"/>
            </w:tcMar>
            <w:vAlign w:val="center"/>
          </w:tcPr>
          <w:p>
            <w:pPr>
              <w:snapToGrid w:val="0"/>
              <w:jc w:val="center"/>
              <w:rPr>
                <w:rFonts w:ascii="宋体" w:hAnsi="宋体" w:eastAsia="宋体" w:cs="宋体"/>
                <w:sz w:val="20"/>
                <w:szCs w:val="20"/>
              </w:rPr>
            </w:pPr>
            <w:r>
              <w:rPr>
                <w:rFonts w:hint="eastAsia" w:ascii="宋体" w:hAnsi="宋体" w:eastAsia="宋体" w:cs="宋体"/>
                <w:sz w:val="20"/>
                <w:szCs w:val="20"/>
              </w:rPr>
              <w:t>0.5～</w:t>
            </w:r>
            <w:r>
              <w:rPr>
                <w:rFonts w:ascii="宋体" w:hAnsi="宋体" w:eastAsia="宋体" w:cs="宋体"/>
                <w:sz w:val="20"/>
                <w:szCs w:val="20"/>
              </w:rPr>
              <w:t>6</w:t>
            </w:r>
          </w:p>
        </w:tc>
        <w:tc>
          <w:tcPr>
            <w:tcW w:w="715" w:type="dxa"/>
            <w:tcMar>
              <w:top w:w="15" w:type="dxa"/>
              <w:left w:w="15" w:type="dxa"/>
              <w:right w:w="15" w:type="dxa"/>
            </w:tcMar>
            <w:vAlign w:val="center"/>
          </w:tcPr>
          <w:p>
            <w:pPr>
              <w:snapToGrid w:val="0"/>
              <w:jc w:val="center"/>
              <w:rPr>
                <w:rFonts w:ascii="宋体" w:hAnsi="宋体" w:eastAsia="宋体" w:cs="宋体"/>
                <w:sz w:val="20"/>
                <w:szCs w:val="20"/>
              </w:rPr>
            </w:pPr>
            <w:r>
              <w:rPr>
                <w:rFonts w:hint="eastAsia" w:ascii="宋体" w:hAnsi="宋体" w:eastAsia="宋体" w:cs="宋体"/>
                <w:sz w:val="20"/>
                <w:szCs w:val="20"/>
              </w:rPr>
              <w:t>2～6</w:t>
            </w:r>
          </w:p>
        </w:tc>
        <w:tc>
          <w:tcPr>
            <w:tcW w:w="775" w:type="dxa"/>
            <w:noWrap/>
            <w:tcMar>
              <w:top w:w="15" w:type="dxa"/>
              <w:left w:w="15" w:type="dxa"/>
              <w:right w:w="15" w:type="dxa"/>
            </w:tcMar>
            <w:vAlign w:val="center"/>
          </w:tcPr>
          <w:p>
            <w:pPr>
              <w:snapToGrid w:val="0"/>
              <w:jc w:val="center"/>
              <w:rPr>
                <w:rFonts w:ascii="宋体" w:hAnsi="宋体" w:eastAsia="宋体" w:cs="宋体"/>
                <w:sz w:val="20"/>
                <w:szCs w:val="20"/>
              </w:rPr>
            </w:pPr>
            <w:r>
              <w:rPr>
                <w:rFonts w:hint="eastAsia" w:ascii="宋体" w:hAnsi="宋体" w:eastAsia="宋体" w:cs="宋体"/>
                <w:sz w:val="20"/>
                <w:szCs w:val="20"/>
              </w:rPr>
              <w:t>3～7</w:t>
            </w:r>
          </w:p>
        </w:tc>
        <w:tc>
          <w:tcPr>
            <w:tcW w:w="1014" w:type="dxa"/>
            <w:noWrap/>
            <w:tcMar>
              <w:top w:w="15" w:type="dxa"/>
              <w:left w:w="15" w:type="dxa"/>
              <w:right w:w="15" w:type="dxa"/>
            </w:tcMar>
            <w:vAlign w:val="center"/>
          </w:tcPr>
          <w:p>
            <w:pPr>
              <w:snapToGrid w:val="0"/>
              <w:jc w:val="center"/>
              <w:rPr>
                <w:rFonts w:ascii="宋体" w:hAnsi="宋体" w:eastAsia="宋体" w:cs="宋体"/>
                <w:sz w:val="20"/>
                <w:szCs w:val="20"/>
              </w:rPr>
            </w:pPr>
            <w:r>
              <w:rPr>
                <w:rFonts w:hint="eastAsia" w:ascii="宋体" w:hAnsi="宋体" w:eastAsia="宋体" w:cs="宋体"/>
                <w:sz w:val="20"/>
                <w:szCs w:val="20"/>
              </w:rPr>
              <w:t>3～</w:t>
            </w:r>
            <w:r>
              <w:rPr>
                <w:rFonts w:ascii="宋体" w:hAnsi="宋体" w:eastAsia="宋体" w:cs="宋体"/>
                <w:sz w:val="20"/>
                <w:szCs w:val="20"/>
              </w:rPr>
              <w:t>252</w:t>
            </w:r>
          </w:p>
        </w:tc>
        <w:tc>
          <w:tcPr>
            <w:tcW w:w="894" w:type="dxa"/>
            <w:tcMar>
              <w:top w:w="15" w:type="dxa"/>
              <w:left w:w="15" w:type="dxa"/>
              <w:right w:w="15" w:type="dxa"/>
            </w:tcMar>
            <w:vAlign w:val="center"/>
          </w:tcPr>
          <w:p>
            <w:pPr>
              <w:snapToGrid w:val="0"/>
              <w:jc w:val="center"/>
              <w:rPr>
                <w:rFonts w:ascii="宋体" w:hAnsi="宋体" w:eastAsia="宋体" w:cs="宋体"/>
                <w:sz w:val="20"/>
                <w:szCs w:val="20"/>
              </w:rPr>
            </w:pPr>
            <w:r>
              <w:rPr>
                <w:rFonts w:hint="eastAsia" w:ascii="宋体" w:hAnsi="宋体" w:eastAsia="宋体" w:cs="宋体"/>
                <w:sz w:val="20"/>
                <w:szCs w:val="20"/>
              </w:rPr>
              <w:t>低～较大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683" w:type="dxa"/>
            <w:noWrap/>
            <w:tcMar>
              <w:top w:w="15" w:type="dxa"/>
              <w:left w:w="15" w:type="dxa"/>
              <w:right w:w="15" w:type="dxa"/>
            </w:tcMar>
            <w:vAlign w:val="center"/>
          </w:tcPr>
          <w:p>
            <w:pPr>
              <w:snapToGrid w:val="0"/>
              <w:jc w:val="center"/>
              <w:textAlignment w:val="center"/>
              <w:rPr>
                <w:rFonts w:ascii="宋体" w:hAnsi="宋体" w:eastAsia="宋体" w:cs="宋体"/>
                <w:sz w:val="20"/>
                <w:szCs w:val="20"/>
                <w:lang w:bidi="ar"/>
              </w:rPr>
            </w:pPr>
            <w:r>
              <w:rPr>
                <w:rFonts w:ascii="宋体" w:hAnsi="宋体" w:eastAsia="宋体" w:cs="宋体"/>
                <w:sz w:val="20"/>
                <w:szCs w:val="20"/>
                <w:lang w:bidi="ar"/>
              </w:rPr>
              <w:t>25</w:t>
            </w:r>
          </w:p>
        </w:tc>
        <w:tc>
          <w:tcPr>
            <w:tcW w:w="1064" w:type="dxa"/>
            <w:vMerge w:val="continue"/>
            <w:noWrap/>
            <w:tcMar>
              <w:top w:w="15" w:type="dxa"/>
              <w:left w:w="15" w:type="dxa"/>
              <w:right w:w="15" w:type="dxa"/>
            </w:tcMar>
            <w:vAlign w:val="center"/>
          </w:tcPr>
          <w:p>
            <w:pPr>
              <w:widowControl w:val="0"/>
              <w:snapToGrid w:val="0"/>
              <w:jc w:val="center"/>
              <w:rPr>
                <w:rFonts w:ascii="宋体" w:hAnsi="宋体" w:eastAsia="宋体" w:cs="宋体"/>
                <w:kern w:val="2"/>
                <w:sz w:val="20"/>
                <w:szCs w:val="20"/>
              </w:rPr>
            </w:pPr>
          </w:p>
        </w:tc>
        <w:tc>
          <w:tcPr>
            <w:tcW w:w="1103" w:type="dxa"/>
            <w:vMerge w:val="continue"/>
            <w:tcMar>
              <w:top w:w="15" w:type="dxa"/>
              <w:left w:w="15" w:type="dxa"/>
              <w:right w:w="15" w:type="dxa"/>
            </w:tcMar>
            <w:vAlign w:val="center"/>
          </w:tcPr>
          <w:p>
            <w:pPr>
              <w:widowControl w:val="0"/>
              <w:snapToGrid w:val="0"/>
              <w:jc w:val="center"/>
              <w:textAlignment w:val="center"/>
              <w:rPr>
                <w:rFonts w:ascii="宋体" w:hAnsi="宋体" w:eastAsia="宋体" w:cs="宋体"/>
                <w:kern w:val="2"/>
                <w:sz w:val="20"/>
                <w:szCs w:val="20"/>
              </w:rPr>
            </w:pPr>
          </w:p>
        </w:tc>
        <w:tc>
          <w:tcPr>
            <w:tcW w:w="1707" w:type="dxa"/>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rPr>
              <w:t>带电作业</w:t>
            </w:r>
          </w:p>
        </w:tc>
        <w:tc>
          <w:tcPr>
            <w:tcW w:w="2410" w:type="dxa"/>
            <w:vMerge w:val="continue"/>
            <w:tcMar>
              <w:top w:w="15" w:type="dxa"/>
              <w:left w:w="15" w:type="dxa"/>
              <w:right w:w="15" w:type="dxa"/>
            </w:tcMar>
            <w:vAlign w:val="center"/>
          </w:tcPr>
          <w:p>
            <w:pPr>
              <w:widowControl w:val="0"/>
              <w:snapToGrid w:val="0"/>
              <w:jc w:val="center"/>
              <w:rPr>
                <w:rFonts w:ascii="宋体" w:hAnsi="宋体" w:eastAsia="宋体" w:cs="宋体"/>
                <w:kern w:val="2"/>
                <w:sz w:val="20"/>
                <w:szCs w:val="20"/>
              </w:rPr>
            </w:pPr>
          </w:p>
        </w:tc>
        <w:tc>
          <w:tcPr>
            <w:tcW w:w="2165" w:type="dxa"/>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rPr>
              <w:t>触电</w:t>
            </w:r>
          </w:p>
        </w:tc>
        <w:tc>
          <w:tcPr>
            <w:tcW w:w="889" w:type="dxa"/>
            <w:noWrap/>
            <w:tcMar>
              <w:top w:w="15" w:type="dxa"/>
              <w:left w:w="15" w:type="dxa"/>
              <w:right w:w="15" w:type="dxa"/>
            </w:tcMar>
            <w:vAlign w:val="center"/>
          </w:tcPr>
          <w:p>
            <w:pPr>
              <w:snapToGrid w:val="0"/>
              <w:jc w:val="center"/>
              <w:rPr>
                <w:rFonts w:ascii="宋体" w:hAnsi="宋体" w:eastAsia="宋体" w:cs="宋体"/>
                <w:sz w:val="20"/>
                <w:szCs w:val="20"/>
              </w:rPr>
            </w:pPr>
            <w:r>
              <w:rPr>
                <w:rFonts w:hint="eastAsia" w:ascii="宋体" w:hAnsi="宋体" w:eastAsia="宋体" w:cs="宋体"/>
                <w:sz w:val="20"/>
                <w:szCs w:val="20"/>
              </w:rPr>
              <w:t>LEC法</w:t>
            </w:r>
          </w:p>
        </w:tc>
        <w:tc>
          <w:tcPr>
            <w:tcW w:w="904" w:type="dxa"/>
            <w:noWrap/>
            <w:tcMar>
              <w:top w:w="15" w:type="dxa"/>
              <w:left w:w="15" w:type="dxa"/>
              <w:right w:w="15" w:type="dxa"/>
            </w:tcMar>
            <w:vAlign w:val="center"/>
          </w:tcPr>
          <w:p>
            <w:pPr>
              <w:snapToGrid w:val="0"/>
              <w:jc w:val="center"/>
              <w:rPr>
                <w:rFonts w:ascii="宋体" w:hAnsi="宋体" w:eastAsia="宋体" w:cs="宋体"/>
                <w:sz w:val="20"/>
                <w:szCs w:val="20"/>
              </w:rPr>
            </w:pPr>
            <w:r>
              <w:rPr>
                <w:rFonts w:hint="eastAsia" w:ascii="宋体" w:hAnsi="宋体" w:eastAsia="宋体" w:cs="宋体"/>
                <w:sz w:val="20"/>
                <w:szCs w:val="20"/>
              </w:rPr>
              <w:t>0.5～3</w:t>
            </w:r>
          </w:p>
        </w:tc>
        <w:tc>
          <w:tcPr>
            <w:tcW w:w="715" w:type="dxa"/>
            <w:tcMar>
              <w:top w:w="15" w:type="dxa"/>
              <w:left w:w="15" w:type="dxa"/>
              <w:right w:w="15" w:type="dxa"/>
            </w:tcMar>
            <w:vAlign w:val="center"/>
          </w:tcPr>
          <w:p>
            <w:pPr>
              <w:snapToGrid w:val="0"/>
              <w:jc w:val="center"/>
              <w:rPr>
                <w:rFonts w:ascii="宋体" w:hAnsi="宋体" w:eastAsia="宋体" w:cs="宋体"/>
                <w:sz w:val="20"/>
                <w:szCs w:val="20"/>
              </w:rPr>
            </w:pPr>
            <w:r>
              <w:rPr>
                <w:rFonts w:hint="eastAsia" w:ascii="宋体" w:hAnsi="宋体" w:eastAsia="宋体" w:cs="宋体"/>
                <w:sz w:val="20"/>
                <w:szCs w:val="20"/>
              </w:rPr>
              <w:t>2～6</w:t>
            </w:r>
          </w:p>
        </w:tc>
        <w:tc>
          <w:tcPr>
            <w:tcW w:w="775" w:type="dxa"/>
            <w:noWrap/>
            <w:tcMar>
              <w:top w:w="15" w:type="dxa"/>
              <w:left w:w="15" w:type="dxa"/>
              <w:right w:w="15" w:type="dxa"/>
            </w:tcMar>
            <w:vAlign w:val="center"/>
          </w:tcPr>
          <w:p>
            <w:pPr>
              <w:snapToGrid w:val="0"/>
              <w:jc w:val="center"/>
              <w:rPr>
                <w:rFonts w:ascii="宋体" w:hAnsi="宋体" w:eastAsia="宋体" w:cs="宋体"/>
                <w:sz w:val="20"/>
                <w:szCs w:val="20"/>
              </w:rPr>
            </w:pPr>
            <w:r>
              <w:rPr>
                <w:rFonts w:hint="eastAsia" w:ascii="宋体" w:hAnsi="宋体" w:eastAsia="宋体" w:cs="宋体"/>
                <w:sz w:val="20"/>
                <w:szCs w:val="20"/>
              </w:rPr>
              <w:t>3～7</w:t>
            </w:r>
          </w:p>
        </w:tc>
        <w:tc>
          <w:tcPr>
            <w:tcW w:w="1014" w:type="dxa"/>
            <w:noWrap/>
            <w:tcMar>
              <w:top w:w="15" w:type="dxa"/>
              <w:left w:w="15" w:type="dxa"/>
              <w:right w:w="15" w:type="dxa"/>
            </w:tcMar>
            <w:vAlign w:val="center"/>
          </w:tcPr>
          <w:p>
            <w:pPr>
              <w:snapToGrid w:val="0"/>
              <w:jc w:val="center"/>
              <w:rPr>
                <w:rFonts w:ascii="宋体" w:hAnsi="宋体" w:eastAsia="宋体" w:cs="宋体"/>
                <w:sz w:val="20"/>
                <w:szCs w:val="20"/>
              </w:rPr>
            </w:pPr>
            <w:r>
              <w:rPr>
                <w:rFonts w:hint="eastAsia" w:ascii="宋体" w:hAnsi="宋体" w:eastAsia="宋体" w:cs="宋体"/>
                <w:sz w:val="20"/>
                <w:szCs w:val="20"/>
              </w:rPr>
              <w:t>3～126</w:t>
            </w:r>
          </w:p>
        </w:tc>
        <w:tc>
          <w:tcPr>
            <w:tcW w:w="894" w:type="dxa"/>
            <w:tcMar>
              <w:top w:w="15" w:type="dxa"/>
              <w:left w:w="15" w:type="dxa"/>
              <w:right w:w="15" w:type="dxa"/>
            </w:tcMar>
            <w:vAlign w:val="center"/>
          </w:tcPr>
          <w:p>
            <w:pPr>
              <w:snapToGrid w:val="0"/>
              <w:jc w:val="center"/>
              <w:rPr>
                <w:rFonts w:ascii="宋体" w:hAnsi="宋体" w:eastAsia="宋体" w:cs="宋体"/>
                <w:sz w:val="20"/>
                <w:szCs w:val="20"/>
              </w:rPr>
            </w:pPr>
            <w:r>
              <w:rPr>
                <w:rFonts w:hint="eastAsia" w:ascii="宋体" w:hAnsi="宋体" w:eastAsia="宋体" w:cs="宋体"/>
                <w:sz w:val="20"/>
                <w:szCs w:val="20"/>
              </w:rPr>
              <w:t>低～一般</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683" w:type="dxa"/>
            <w:noWrap/>
            <w:tcMar>
              <w:top w:w="15" w:type="dxa"/>
              <w:left w:w="15" w:type="dxa"/>
              <w:right w:w="15" w:type="dxa"/>
            </w:tcMar>
            <w:vAlign w:val="center"/>
          </w:tcPr>
          <w:p>
            <w:pPr>
              <w:snapToGrid w:val="0"/>
              <w:jc w:val="center"/>
              <w:textAlignment w:val="center"/>
              <w:rPr>
                <w:rFonts w:ascii="宋体" w:hAnsi="宋体" w:eastAsia="宋体" w:cs="宋体"/>
                <w:sz w:val="20"/>
                <w:szCs w:val="20"/>
                <w:lang w:bidi="ar"/>
              </w:rPr>
            </w:pPr>
            <w:r>
              <w:rPr>
                <w:rFonts w:ascii="宋体" w:hAnsi="宋体" w:eastAsia="宋体" w:cs="宋体"/>
                <w:sz w:val="20"/>
                <w:szCs w:val="20"/>
                <w:lang w:bidi="ar"/>
              </w:rPr>
              <w:t>26</w:t>
            </w:r>
          </w:p>
        </w:tc>
        <w:tc>
          <w:tcPr>
            <w:tcW w:w="1064" w:type="dxa"/>
            <w:vMerge w:val="continue"/>
            <w:noWrap/>
            <w:tcMar>
              <w:top w:w="15" w:type="dxa"/>
              <w:left w:w="15" w:type="dxa"/>
              <w:right w:w="15" w:type="dxa"/>
            </w:tcMar>
            <w:vAlign w:val="center"/>
          </w:tcPr>
          <w:p>
            <w:pPr>
              <w:widowControl w:val="0"/>
              <w:snapToGrid w:val="0"/>
              <w:jc w:val="center"/>
              <w:rPr>
                <w:rFonts w:ascii="宋体" w:hAnsi="宋体" w:eastAsia="宋体" w:cs="宋体"/>
                <w:kern w:val="2"/>
                <w:sz w:val="20"/>
                <w:szCs w:val="20"/>
              </w:rPr>
            </w:pPr>
          </w:p>
        </w:tc>
        <w:tc>
          <w:tcPr>
            <w:tcW w:w="1103" w:type="dxa"/>
            <w:vMerge w:val="continue"/>
            <w:tcMar>
              <w:top w:w="15" w:type="dxa"/>
              <w:left w:w="15" w:type="dxa"/>
              <w:right w:w="15" w:type="dxa"/>
            </w:tcMar>
            <w:vAlign w:val="center"/>
          </w:tcPr>
          <w:p>
            <w:pPr>
              <w:widowControl w:val="0"/>
              <w:snapToGrid w:val="0"/>
              <w:jc w:val="center"/>
              <w:textAlignment w:val="center"/>
              <w:rPr>
                <w:rFonts w:ascii="宋体" w:hAnsi="宋体" w:eastAsia="宋体" w:cs="宋体"/>
                <w:kern w:val="2"/>
                <w:sz w:val="20"/>
                <w:szCs w:val="20"/>
              </w:rPr>
            </w:pPr>
          </w:p>
        </w:tc>
        <w:tc>
          <w:tcPr>
            <w:tcW w:w="1707" w:type="dxa"/>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破土作业</w:t>
            </w:r>
          </w:p>
        </w:tc>
        <w:tc>
          <w:tcPr>
            <w:tcW w:w="2410" w:type="dxa"/>
            <w:vMerge w:val="continue"/>
            <w:tcMar>
              <w:top w:w="15" w:type="dxa"/>
              <w:left w:w="15" w:type="dxa"/>
              <w:right w:w="15" w:type="dxa"/>
            </w:tcMar>
            <w:vAlign w:val="center"/>
          </w:tcPr>
          <w:p>
            <w:pPr>
              <w:widowControl w:val="0"/>
              <w:snapToGrid w:val="0"/>
              <w:jc w:val="center"/>
              <w:rPr>
                <w:rFonts w:ascii="宋体" w:hAnsi="宋体" w:eastAsia="宋体" w:cs="宋体"/>
                <w:kern w:val="2"/>
                <w:sz w:val="20"/>
                <w:szCs w:val="20"/>
              </w:rPr>
            </w:pPr>
          </w:p>
        </w:tc>
        <w:tc>
          <w:tcPr>
            <w:tcW w:w="2165" w:type="dxa"/>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管线破坏、中毒、坍塌</w:t>
            </w:r>
          </w:p>
        </w:tc>
        <w:tc>
          <w:tcPr>
            <w:tcW w:w="889" w:type="dxa"/>
            <w:noWrap/>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LEC法</w:t>
            </w:r>
          </w:p>
        </w:tc>
        <w:tc>
          <w:tcPr>
            <w:tcW w:w="904" w:type="dxa"/>
            <w:noWrap/>
            <w:tcMar>
              <w:top w:w="15" w:type="dxa"/>
              <w:left w:w="15" w:type="dxa"/>
              <w:right w:w="15" w:type="dxa"/>
            </w:tcMar>
            <w:vAlign w:val="center"/>
          </w:tcPr>
          <w:p>
            <w:pPr>
              <w:snapToGrid w:val="0"/>
              <w:jc w:val="center"/>
              <w:rPr>
                <w:rFonts w:ascii="宋体" w:hAnsi="宋体" w:eastAsia="宋体" w:cs="宋体"/>
                <w:sz w:val="20"/>
                <w:szCs w:val="20"/>
              </w:rPr>
            </w:pPr>
            <w:r>
              <w:rPr>
                <w:rFonts w:hint="eastAsia" w:ascii="宋体" w:hAnsi="宋体" w:eastAsia="宋体" w:cs="宋体"/>
                <w:sz w:val="20"/>
                <w:szCs w:val="20"/>
              </w:rPr>
              <w:t>0.5～3</w:t>
            </w:r>
          </w:p>
        </w:tc>
        <w:tc>
          <w:tcPr>
            <w:tcW w:w="715" w:type="dxa"/>
            <w:tcMar>
              <w:top w:w="15" w:type="dxa"/>
              <w:left w:w="15" w:type="dxa"/>
              <w:right w:w="15" w:type="dxa"/>
            </w:tcMar>
            <w:vAlign w:val="center"/>
          </w:tcPr>
          <w:p>
            <w:pPr>
              <w:snapToGrid w:val="0"/>
              <w:jc w:val="center"/>
              <w:rPr>
                <w:rFonts w:ascii="宋体" w:hAnsi="宋体" w:eastAsia="宋体" w:cs="宋体"/>
                <w:sz w:val="20"/>
                <w:szCs w:val="20"/>
              </w:rPr>
            </w:pPr>
            <w:r>
              <w:rPr>
                <w:rFonts w:hint="eastAsia" w:ascii="宋体" w:hAnsi="宋体" w:eastAsia="宋体" w:cs="宋体"/>
                <w:sz w:val="20"/>
                <w:szCs w:val="20"/>
              </w:rPr>
              <w:t>2～6</w:t>
            </w:r>
          </w:p>
        </w:tc>
        <w:tc>
          <w:tcPr>
            <w:tcW w:w="775" w:type="dxa"/>
            <w:noWrap/>
            <w:tcMar>
              <w:top w:w="15" w:type="dxa"/>
              <w:left w:w="15" w:type="dxa"/>
              <w:right w:w="15" w:type="dxa"/>
            </w:tcMar>
            <w:vAlign w:val="center"/>
          </w:tcPr>
          <w:p>
            <w:pPr>
              <w:snapToGrid w:val="0"/>
              <w:jc w:val="center"/>
              <w:rPr>
                <w:rFonts w:ascii="宋体" w:hAnsi="宋体" w:eastAsia="宋体" w:cs="宋体"/>
                <w:sz w:val="20"/>
                <w:szCs w:val="20"/>
              </w:rPr>
            </w:pPr>
            <w:r>
              <w:rPr>
                <w:rFonts w:hint="eastAsia" w:ascii="宋体" w:hAnsi="宋体" w:eastAsia="宋体" w:cs="宋体"/>
                <w:sz w:val="20"/>
                <w:szCs w:val="20"/>
              </w:rPr>
              <w:t>3～7</w:t>
            </w:r>
          </w:p>
        </w:tc>
        <w:tc>
          <w:tcPr>
            <w:tcW w:w="1014" w:type="dxa"/>
            <w:noWrap/>
            <w:tcMar>
              <w:top w:w="15" w:type="dxa"/>
              <w:left w:w="15" w:type="dxa"/>
              <w:right w:w="15" w:type="dxa"/>
            </w:tcMar>
            <w:vAlign w:val="center"/>
          </w:tcPr>
          <w:p>
            <w:pPr>
              <w:snapToGrid w:val="0"/>
              <w:jc w:val="center"/>
              <w:rPr>
                <w:rFonts w:ascii="宋体" w:hAnsi="宋体" w:eastAsia="宋体" w:cs="宋体"/>
                <w:sz w:val="20"/>
                <w:szCs w:val="20"/>
              </w:rPr>
            </w:pPr>
            <w:r>
              <w:rPr>
                <w:rFonts w:hint="eastAsia" w:ascii="宋体" w:hAnsi="宋体" w:eastAsia="宋体" w:cs="宋体"/>
                <w:sz w:val="20"/>
                <w:szCs w:val="20"/>
              </w:rPr>
              <w:t>3～126</w:t>
            </w:r>
          </w:p>
        </w:tc>
        <w:tc>
          <w:tcPr>
            <w:tcW w:w="894" w:type="dxa"/>
            <w:tcMar>
              <w:top w:w="15" w:type="dxa"/>
              <w:left w:w="15" w:type="dxa"/>
              <w:right w:w="15" w:type="dxa"/>
            </w:tcMar>
            <w:vAlign w:val="center"/>
          </w:tcPr>
          <w:p>
            <w:pPr>
              <w:snapToGrid w:val="0"/>
              <w:jc w:val="center"/>
              <w:rPr>
                <w:rFonts w:ascii="宋体" w:hAnsi="宋体" w:eastAsia="宋体" w:cs="宋体"/>
                <w:sz w:val="20"/>
                <w:szCs w:val="20"/>
              </w:rPr>
            </w:pPr>
            <w:r>
              <w:rPr>
                <w:rFonts w:hint="eastAsia" w:ascii="宋体" w:hAnsi="宋体" w:eastAsia="宋体" w:cs="宋体"/>
                <w:sz w:val="20"/>
                <w:szCs w:val="20"/>
              </w:rPr>
              <w:t>低～一般</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683" w:type="dxa"/>
            <w:noWrap/>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ascii="宋体" w:hAnsi="宋体" w:eastAsia="宋体" w:cs="宋体"/>
                <w:sz w:val="20"/>
                <w:szCs w:val="20"/>
                <w:lang w:bidi="ar"/>
              </w:rPr>
              <w:t>27</w:t>
            </w:r>
          </w:p>
        </w:tc>
        <w:tc>
          <w:tcPr>
            <w:tcW w:w="1064" w:type="dxa"/>
            <w:vMerge w:val="continue"/>
            <w:noWrap/>
            <w:tcMar>
              <w:top w:w="15" w:type="dxa"/>
              <w:left w:w="15" w:type="dxa"/>
              <w:right w:w="15" w:type="dxa"/>
            </w:tcMar>
            <w:vAlign w:val="center"/>
          </w:tcPr>
          <w:p>
            <w:pPr>
              <w:widowControl w:val="0"/>
              <w:snapToGrid w:val="0"/>
              <w:jc w:val="center"/>
              <w:rPr>
                <w:rFonts w:ascii="宋体" w:hAnsi="宋体" w:eastAsia="宋体" w:cs="宋体"/>
                <w:kern w:val="2"/>
                <w:sz w:val="20"/>
                <w:szCs w:val="20"/>
              </w:rPr>
            </w:pPr>
          </w:p>
        </w:tc>
        <w:tc>
          <w:tcPr>
            <w:tcW w:w="1103" w:type="dxa"/>
            <w:vMerge w:val="continue"/>
            <w:tcMar>
              <w:top w:w="15" w:type="dxa"/>
              <w:left w:w="15" w:type="dxa"/>
              <w:right w:w="15" w:type="dxa"/>
            </w:tcMar>
            <w:vAlign w:val="center"/>
          </w:tcPr>
          <w:p>
            <w:pPr>
              <w:widowControl w:val="0"/>
              <w:snapToGrid w:val="0"/>
              <w:jc w:val="center"/>
              <w:textAlignment w:val="center"/>
              <w:rPr>
                <w:rFonts w:ascii="宋体" w:hAnsi="宋体" w:eastAsia="宋体" w:cs="宋体"/>
                <w:kern w:val="2"/>
                <w:sz w:val="20"/>
                <w:szCs w:val="20"/>
              </w:rPr>
            </w:pPr>
          </w:p>
        </w:tc>
        <w:tc>
          <w:tcPr>
            <w:tcW w:w="1707" w:type="dxa"/>
            <w:tcBorders>
              <w:bottom w:val="single" w:color="auto" w:sz="4" w:space="0"/>
            </w:tcBorders>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巡查活动</w:t>
            </w:r>
          </w:p>
        </w:tc>
        <w:tc>
          <w:tcPr>
            <w:tcW w:w="2410" w:type="dxa"/>
            <w:tcMar>
              <w:top w:w="15" w:type="dxa"/>
              <w:left w:w="15" w:type="dxa"/>
              <w:right w:w="15" w:type="dxa"/>
            </w:tcMar>
            <w:vAlign w:val="center"/>
          </w:tcPr>
          <w:p>
            <w:pPr>
              <w:widowControl w:val="0"/>
              <w:snapToGrid w:val="0"/>
              <w:jc w:val="center"/>
              <w:rPr>
                <w:rFonts w:ascii="宋体" w:hAnsi="宋体" w:eastAsia="宋体" w:cs="宋体"/>
                <w:kern w:val="2"/>
                <w:sz w:val="20"/>
                <w:szCs w:val="20"/>
              </w:rPr>
            </w:pPr>
            <w:r>
              <w:rPr>
                <w:rFonts w:hint="eastAsia" w:ascii="宋体" w:hAnsi="宋体" w:eastAsia="宋体" w:cs="宋体"/>
                <w:sz w:val="20"/>
                <w:szCs w:val="20"/>
              </w:rPr>
              <w:t>蜇伤、咬伤、跌伤</w:t>
            </w:r>
          </w:p>
        </w:tc>
        <w:tc>
          <w:tcPr>
            <w:tcW w:w="2165" w:type="dxa"/>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人身伤害</w:t>
            </w:r>
          </w:p>
        </w:tc>
        <w:tc>
          <w:tcPr>
            <w:tcW w:w="889" w:type="dxa"/>
            <w:noWrap/>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LEC法</w:t>
            </w:r>
          </w:p>
        </w:tc>
        <w:tc>
          <w:tcPr>
            <w:tcW w:w="904" w:type="dxa"/>
            <w:noWrap/>
            <w:tcMar>
              <w:top w:w="15" w:type="dxa"/>
              <w:left w:w="15" w:type="dxa"/>
              <w:right w:w="15" w:type="dxa"/>
            </w:tcMar>
            <w:vAlign w:val="center"/>
          </w:tcPr>
          <w:p>
            <w:pPr>
              <w:snapToGrid w:val="0"/>
              <w:jc w:val="center"/>
              <w:rPr>
                <w:rFonts w:ascii="宋体" w:hAnsi="宋体" w:eastAsia="宋体" w:cs="宋体"/>
                <w:kern w:val="2"/>
                <w:sz w:val="20"/>
                <w:szCs w:val="20"/>
              </w:rPr>
            </w:pPr>
            <w:r>
              <w:rPr>
                <w:rFonts w:hint="eastAsia" w:ascii="宋体" w:hAnsi="宋体" w:eastAsia="宋体" w:cs="宋体"/>
                <w:sz w:val="20"/>
                <w:szCs w:val="20"/>
              </w:rPr>
              <w:t>0.5～3</w:t>
            </w:r>
          </w:p>
        </w:tc>
        <w:tc>
          <w:tcPr>
            <w:tcW w:w="715" w:type="dxa"/>
            <w:tcMar>
              <w:top w:w="15" w:type="dxa"/>
              <w:left w:w="15" w:type="dxa"/>
              <w:right w:w="15" w:type="dxa"/>
            </w:tcMar>
            <w:vAlign w:val="center"/>
          </w:tcPr>
          <w:p>
            <w:pPr>
              <w:snapToGrid w:val="0"/>
              <w:jc w:val="center"/>
              <w:rPr>
                <w:rFonts w:ascii="宋体" w:hAnsi="宋体" w:eastAsia="宋体" w:cs="宋体"/>
                <w:kern w:val="2"/>
                <w:sz w:val="20"/>
                <w:szCs w:val="20"/>
              </w:rPr>
            </w:pPr>
            <w:r>
              <w:rPr>
                <w:rFonts w:hint="eastAsia" w:ascii="宋体" w:hAnsi="宋体" w:eastAsia="宋体" w:cs="宋体"/>
                <w:sz w:val="20"/>
                <w:szCs w:val="20"/>
              </w:rPr>
              <w:t>2～6</w:t>
            </w:r>
          </w:p>
        </w:tc>
        <w:tc>
          <w:tcPr>
            <w:tcW w:w="775" w:type="dxa"/>
            <w:noWrap/>
            <w:tcMar>
              <w:top w:w="15" w:type="dxa"/>
              <w:left w:w="15" w:type="dxa"/>
              <w:right w:w="15" w:type="dxa"/>
            </w:tcMar>
            <w:vAlign w:val="center"/>
          </w:tcPr>
          <w:p>
            <w:pPr>
              <w:snapToGrid w:val="0"/>
              <w:jc w:val="center"/>
              <w:rPr>
                <w:rFonts w:ascii="宋体" w:hAnsi="宋体" w:eastAsia="宋体" w:cs="宋体"/>
                <w:kern w:val="2"/>
                <w:sz w:val="20"/>
                <w:szCs w:val="20"/>
              </w:rPr>
            </w:pPr>
            <w:r>
              <w:rPr>
                <w:rFonts w:hint="eastAsia" w:ascii="宋体" w:hAnsi="宋体" w:eastAsia="宋体" w:cs="宋体"/>
                <w:sz w:val="20"/>
                <w:szCs w:val="20"/>
              </w:rPr>
              <w:t>3～7</w:t>
            </w:r>
          </w:p>
        </w:tc>
        <w:tc>
          <w:tcPr>
            <w:tcW w:w="1014" w:type="dxa"/>
            <w:noWrap/>
            <w:tcMar>
              <w:top w:w="15" w:type="dxa"/>
              <w:left w:w="15" w:type="dxa"/>
              <w:right w:w="15" w:type="dxa"/>
            </w:tcMar>
            <w:vAlign w:val="center"/>
          </w:tcPr>
          <w:p>
            <w:pPr>
              <w:snapToGrid w:val="0"/>
              <w:jc w:val="center"/>
              <w:rPr>
                <w:rFonts w:ascii="宋体" w:hAnsi="宋体" w:eastAsia="宋体" w:cs="宋体"/>
                <w:kern w:val="2"/>
                <w:sz w:val="20"/>
                <w:szCs w:val="20"/>
              </w:rPr>
            </w:pPr>
            <w:r>
              <w:rPr>
                <w:rFonts w:hint="eastAsia" w:ascii="宋体" w:hAnsi="宋体" w:eastAsia="宋体" w:cs="宋体"/>
                <w:sz w:val="20"/>
                <w:szCs w:val="20"/>
              </w:rPr>
              <w:t>3～126</w:t>
            </w:r>
          </w:p>
        </w:tc>
        <w:tc>
          <w:tcPr>
            <w:tcW w:w="894" w:type="dxa"/>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低～一般</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683" w:type="dxa"/>
            <w:noWrap/>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ascii="宋体" w:hAnsi="宋体" w:eastAsia="宋体" w:cs="宋体"/>
                <w:sz w:val="20"/>
                <w:szCs w:val="20"/>
                <w:lang w:bidi="ar"/>
              </w:rPr>
              <w:t>28</w:t>
            </w:r>
          </w:p>
        </w:tc>
        <w:tc>
          <w:tcPr>
            <w:tcW w:w="1064" w:type="dxa"/>
            <w:vMerge w:val="restart"/>
            <w:noWrap/>
            <w:tcMar>
              <w:top w:w="15" w:type="dxa"/>
              <w:left w:w="15" w:type="dxa"/>
              <w:right w:w="15" w:type="dxa"/>
            </w:tcMar>
            <w:vAlign w:val="center"/>
          </w:tcPr>
          <w:p>
            <w:pPr>
              <w:snapToGrid w:val="0"/>
              <w:jc w:val="center"/>
              <w:textAlignment w:val="center"/>
              <w:rPr>
                <w:rFonts w:ascii="Calibri" w:hAnsi="Calibri" w:eastAsia="宋体" w:cs="Calibri"/>
                <w:kern w:val="2"/>
                <w:sz w:val="20"/>
                <w:szCs w:val="20"/>
                <w:lang w:bidi="ar"/>
              </w:rPr>
            </w:pPr>
            <w:r>
              <w:rPr>
                <w:rFonts w:hint="eastAsia" w:ascii="宋体" w:hAnsi="宋体" w:eastAsia="宋体" w:cs="宋体"/>
                <w:sz w:val="20"/>
                <w:szCs w:val="20"/>
                <w:lang w:bidi="ar"/>
              </w:rPr>
              <w:t>管理类</w:t>
            </w:r>
          </w:p>
        </w:tc>
        <w:tc>
          <w:tcPr>
            <w:tcW w:w="1103" w:type="dxa"/>
            <w:vMerge w:val="restart"/>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管理体系</w:t>
            </w:r>
          </w:p>
        </w:tc>
        <w:tc>
          <w:tcPr>
            <w:tcW w:w="1707" w:type="dxa"/>
            <w:tcMar>
              <w:top w:w="15" w:type="dxa"/>
              <w:left w:w="15" w:type="dxa"/>
              <w:right w:w="15" w:type="dxa"/>
            </w:tcMar>
            <w:vAlign w:val="center"/>
          </w:tcPr>
          <w:p>
            <w:pPr>
              <w:snapToGrid w:val="0"/>
              <w:jc w:val="center"/>
              <w:textAlignment w:val="center"/>
              <w:rPr>
                <w:rFonts w:ascii="宋体" w:hAnsi="宋体" w:eastAsia="宋体" w:cs="宋体"/>
                <w:sz w:val="20"/>
                <w:szCs w:val="20"/>
                <w:lang w:bidi="ar"/>
              </w:rPr>
            </w:pPr>
            <w:r>
              <w:rPr>
                <w:rFonts w:hint="eastAsia" w:ascii="宋体" w:hAnsi="宋体" w:eastAsia="宋体" w:cs="宋体"/>
                <w:sz w:val="20"/>
                <w:szCs w:val="20"/>
                <w:lang w:bidi="ar"/>
              </w:rPr>
              <w:t>机构组成与</w:t>
            </w:r>
          </w:p>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人员配备</w:t>
            </w:r>
          </w:p>
        </w:tc>
        <w:tc>
          <w:tcPr>
            <w:tcW w:w="2410" w:type="dxa"/>
            <w:tcMar>
              <w:top w:w="15" w:type="dxa"/>
              <w:left w:w="15" w:type="dxa"/>
              <w:right w:w="15" w:type="dxa"/>
            </w:tcMar>
            <w:vAlign w:val="center"/>
          </w:tcPr>
          <w:p>
            <w:pPr>
              <w:snapToGrid w:val="0"/>
              <w:jc w:val="center"/>
              <w:textAlignment w:val="center"/>
              <w:rPr>
                <w:rFonts w:ascii="宋体" w:hAnsi="宋体" w:eastAsia="宋体" w:cs="宋体"/>
                <w:sz w:val="20"/>
                <w:szCs w:val="20"/>
                <w:lang w:bidi="ar"/>
              </w:rPr>
            </w:pPr>
            <w:r>
              <w:rPr>
                <w:rFonts w:hint="eastAsia" w:ascii="宋体" w:hAnsi="宋体" w:eastAsia="宋体" w:cs="宋体"/>
                <w:sz w:val="20"/>
                <w:szCs w:val="20"/>
                <w:lang w:bidi="ar"/>
              </w:rPr>
              <w:t>未明确安全管理机构</w:t>
            </w:r>
          </w:p>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及人员</w:t>
            </w:r>
          </w:p>
        </w:tc>
        <w:tc>
          <w:tcPr>
            <w:tcW w:w="2165" w:type="dxa"/>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影响工程运行管理</w:t>
            </w:r>
          </w:p>
        </w:tc>
        <w:tc>
          <w:tcPr>
            <w:tcW w:w="889" w:type="dxa"/>
            <w:noWrap/>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LS法</w:t>
            </w:r>
          </w:p>
        </w:tc>
        <w:tc>
          <w:tcPr>
            <w:tcW w:w="904" w:type="dxa"/>
            <w:noWrap/>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5～30</w:t>
            </w:r>
          </w:p>
        </w:tc>
        <w:tc>
          <w:tcPr>
            <w:tcW w:w="715" w:type="dxa"/>
            <w:tcMar>
              <w:top w:w="15" w:type="dxa"/>
              <w:left w:w="15" w:type="dxa"/>
              <w:right w:w="15" w:type="dxa"/>
            </w:tcMar>
            <w:vAlign w:val="center"/>
          </w:tcPr>
          <w:p>
            <w:pPr>
              <w:widowControl w:val="0"/>
              <w:snapToGrid w:val="0"/>
              <w:jc w:val="center"/>
              <w:rPr>
                <w:rFonts w:ascii="宋体" w:hAnsi="宋体" w:eastAsia="宋体" w:cs="宋体"/>
                <w:kern w:val="2"/>
                <w:sz w:val="20"/>
                <w:szCs w:val="20"/>
              </w:rPr>
            </w:pPr>
            <w:r>
              <w:rPr>
                <w:rFonts w:hint="eastAsia" w:ascii="宋体" w:hAnsi="宋体" w:eastAsia="宋体" w:cs="宋体"/>
                <w:kern w:val="2"/>
                <w:sz w:val="20"/>
                <w:szCs w:val="20"/>
              </w:rPr>
              <w:t>/</w:t>
            </w:r>
          </w:p>
        </w:tc>
        <w:tc>
          <w:tcPr>
            <w:tcW w:w="775" w:type="dxa"/>
            <w:noWrap/>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3～15</w:t>
            </w:r>
          </w:p>
        </w:tc>
        <w:tc>
          <w:tcPr>
            <w:tcW w:w="1014" w:type="dxa"/>
            <w:noWrap/>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15～450</w:t>
            </w:r>
          </w:p>
        </w:tc>
        <w:tc>
          <w:tcPr>
            <w:tcW w:w="894" w:type="dxa"/>
            <w:noWrap/>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低～重大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683" w:type="dxa"/>
            <w:noWrap/>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ascii="宋体" w:hAnsi="宋体" w:eastAsia="宋体" w:cs="宋体"/>
                <w:sz w:val="20"/>
                <w:szCs w:val="20"/>
                <w:lang w:bidi="ar"/>
              </w:rPr>
              <w:t>29</w:t>
            </w:r>
          </w:p>
        </w:tc>
        <w:tc>
          <w:tcPr>
            <w:tcW w:w="1064" w:type="dxa"/>
            <w:vMerge w:val="continue"/>
            <w:noWrap/>
            <w:tcMar>
              <w:top w:w="15" w:type="dxa"/>
              <w:left w:w="15" w:type="dxa"/>
              <w:right w:w="15" w:type="dxa"/>
            </w:tcMar>
            <w:vAlign w:val="center"/>
          </w:tcPr>
          <w:p>
            <w:pPr>
              <w:widowControl w:val="0"/>
              <w:snapToGrid w:val="0"/>
              <w:jc w:val="center"/>
              <w:rPr>
                <w:rFonts w:ascii="宋体" w:hAnsi="宋体" w:eastAsia="宋体" w:cs="宋体"/>
                <w:kern w:val="2"/>
                <w:sz w:val="20"/>
                <w:szCs w:val="20"/>
              </w:rPr>
            </w:pPr>
          </w:p>
        </w:tc>
        <w:tc>
          <w:tcPr>
            <w:tcW w:w="1103" w:type="dxa"/>
            <w:vMerge w:val="continue"/>
            <w:tcMar>
              <w:top w:w="15" w:type="dxa"/>
              <w:left w:w="15" w:type="dxa"/>
              <w:right w:w="15" w:type="dxa"/>
            </w:tcMar>
            <w:vAlign w:val="center"/>
          </w:tcPr>
          <w:p>
            <w:pPr>
              <w:widowControl w:val="0"/>
              <w:snapToGrid w:val="0"/>
              <w:jc w:val="center"/>
              <w:rPr>
                <w:rFonts w:ascii="宋体" w:hAnsi="宋体" w:eastAsia="宋体" w:cs="宋体"/>
                <w:kern w:val="2"/>
                <w:sz w:val="20"/>
                <w:szCs w:val="20"/>
              </w:rPr>
            </w:pPr>
          </w:p>
        </w:tc>
        <w:tc>
          <w:tcPr>
            <w:tcW w:w="1707" w:type="dxa"/>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安全管理规章制度与操作规程制定</w:t>
            </w:r>
          </w:p>
        </w:tc>
        <w:tc>
          <w:tcPr>
            <w:tcW w:w="2410" w:type="dxa"/>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制度、规程不健全</w:t>
            </w:r>
          </w:p>
        </w:tc>
        <w:tc>
          <w:tcPr>
            <w:tcW w:w="2165" w:type="dxa"/>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影响工程运行管理</w:t>
            </w:r>
          </w:p>
        </w:tc>
        <w:tc>
          <w:tcPr>
            <w:tcW w:w="889" w:type="dxa"/>
            <w:noWrap/>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LS法</w:t>
            </w:r>
          </w:p>
        </w:tc>
        <w:tc>
          <w:tcPr>
            <w:tcW w:w="904" w:type="dxa"/>
            <w:noWrap/>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5～30</w:t>
            </w:r>
          </w:p>
        </w:tc>
        <w:tc>
          <w:tcPr>
            <w:tcW w:w="715" w:type="dxa"/>
            <w:tcMar>
              <w:top w:w="15" w:type="dxa"/>
              <w:left w:w="15" w:type="dxa"/>
              <w:right w:w="15" w:type="dxa"/>
            </w:tcMar>
            <w:vAlign w:val="center"/>
          </w:tcPr>
          <w:p>
            <w:pPr>
              <w:widowControl w:val="0"/>
              <w:snapToGrid w:val="0"/>
              <w:jc w:val="center"/>
              <w:rPr>
                <w:rFonts w:ascii="宋体" w:hAnsi="宋体" w:eastAsia="宋体" w:cs="宋体"/>
                <w:kern w:val="2"/>
                <w:sz w:val="20"/>
                <w:szCs w:val="20"/>
              </w:rPr>
            </w:pPr>
            <w:r>
              <w:rPr>
                <w:rFonts w:hint="eastAsia" w:ascii="宋体" w:hAnsi="宋体" w:eastAsia="宋体" w:cs="宋体"/>
                <w:kern w:val="2"/>
                <w:sz w:val="20"/>
                <w:szCs w:val="20"/>
              </w:rPr>
              <w:t>/</w:t>
            </w:r>
          </w:p>
        </w:tc>
        <w:tc>
          <w:tcPr>
            <w:tcW w:w="775" w:type="dxa"/>
            <w:noWrap/>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3～15</w:t>
            </w:r>
          </w:p>
        </w:tc>
        <w:tc>
          <w:tcPr>
            <w:tcW w:w="1014" w:type="dxa"/>
            <w:noWrap/>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15～450</w:t>
            </w:r>
          </w:p>
        </w:tc>
        <w:tc>
          <w:tcPr>
            <w:tcW w:w="894" w:type="dxa"/>
            <w:noWrap/>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低～重大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683" w:type="dxa"/>
            <w:noWrap/>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ascii="宋体" w:hAnsi="宋体" w:eastAsia="宋体" w:cs="宋体"/>
                <w:sz w:val="20"/>
                <w:szCs w:val="20"/>
                <w:lang w:bidi="ar"/>
              </w:rPr>
              <w:t>30</w:t>
            </w:r>
          </w:p>
        </w:tc>
        <w:tc>
          <w:tcPr>
            <w:tcW w:w="1064" w:type="dxa"/>
            <w:vMerge w:val="continue"/>
            <w:noWrap/>
            <w:tcMar>
              <w:top w:w="15" w:type="dxa"/>
              <w:left w:w="15" w:type="dxa"/>
              <w:right w:w="15" w:type="dxa"/>
            </w:tcMar>
            <w:vAlign w:val="center"/>
          </w:tcPr>
          <w:p>
            <w:pPr>
              <w:widowControl w:val="0"/>
              <w:snapToGrid w:val="0"/>
              <w:jc w:val="center"/>
              <w:rPr>
                <w:rFonts w:ascii="宋体" w:hAnsi="宋体" w:eastAsia="宋体" w:cs="宋体"/>
                <w:kern w:val="2"/>
                <w:sz w:val="20"/>
                <w:szCs w:val="20"/>
              </w:rPr>
            </w:pPr>
          </w:p>
        </w:tc>
        <w:tc>
          <w:tcPr>
            <w:tcW w:w="1103" w:type="dxa"/>
            <w:vMerge w:val="continue"/>
            <w:tcMar>
              <w:top w:w="15" w:type="dxa"/>
              <w:left w:w="15" w:type="dxa"/>
              <w:right w:w="15" w:type="dxa"/>
            </w:tcMar>
            <w:vAlign w:val="center"/>
          </w:tcPr>
          <w:p>
            <w:pPr>
              <w:widowControl w:val="0"/>
              <w:snapToGrid w:val="0"/>
              <w:jc w:val="center"/>
              <w:rPr>
                <w:rFonts w:ascii="宋体" w:hAnsi="宋体" w:eastAsia="宋体" w:cs="宋体"/>
                <w:kern w:val="2"/>
                <w:sz w:val="20"/>
                <w:szCs w:val="20"/>
              </w:rPr>
            </w:pPr>
          </w:p>
        </w:tc>
        <w:tc>
          <w:tcPr>
            <w:tcW w:w="1707" w:type="dxa"/>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防汛抢险人员、  物料准备</w:t>
            </w:r>
          </w:p>
        </w:tc>
        <w:tc>
          <w:tcPr>
            <w:tcW w:w="2410" w:type="dxa"/>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人员、物料准备不足</w:t>
            </w:r>
          </w:p>
        </w:tc>
        <w:tc>
          <w:tcPr>
            <w:tcW w:w="2165" w:type="dxa"/>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影响工程防汛抢险</w:t>
            </w:r>
          </w:p>
        </w:tc>
        <w:tc>
          <w:tcPr>
            <w:tcW w:w="889" w:type="dxa"/>
            <w:noWrap/>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LS法</w:t>
            </w:r>
          </w:p>
        </w:tc>
        <w:tc>
          <w:tcPr>
            <w:tcW w:w="904" w:type="dxa"/>
            <w:noWrap/>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5～30</w:t>
            </w:r>
          </w:p>
        </w:tc>
        <w:tc>
          <w:tcPr>
            <w:tcW w:w="715" w:type="dxa"/>
            <w:tcMar>
              <w:top w:w="15" w:type="dxa"/>
              <w:left w:w="15" w:type="dxa"/>
              <w:right w:w="15" w:type="dxa"/>
            </w:tcMar>
            <w:vAlign w:val="center"/>
          </w:tcPr>
          <w:p>
            <w:pPr>
              <w:widowControl w:val="0"/>
              <w:snapToGrid w:val="0"/>
              <w:jc w:val="center"/>
              <w:rPr>
                <w:rFonts w:ascii="宋体" w:hAnsi="宋体" w:eastAsia="宋体" w:cs="宋体"/>
                <w:kern w:val="2"/>
                <w:sz w:val="20"/>
                <w:szCs w:val="20"/>
              </w:rPr>
            </w:pPr>
            <w:r>
              <w:rPr>
                <w:rFonts w:hint="eastAsia" w:ascii="宋体" w:hAnsi="宋体" w:eastAsia="宋体" w:cs="宋体"/>
                <w:kern w:val="2"/>
                <w:sz w:val="20"/>
                <w:szCs w:val="20"/>
              </w:rPr>
              <w:t>/</w:t>
            </w:r>
          </w:p>
        </w:tc>
        <w:tc>
          <w:tcPr>
            <w:tcW w:w="775" w:type="dxa"/>
            <w:noWrap/>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3～</w:t>
            </w:r>
            <w:r>
              <w:rPr>
                <w:rFonts w:ascii="宋体" w:hAnsi="宋体" w:eastAsia="宋体" w:cs="宋体"/>
                <w:sz w:val="20"/>
                <w:szCs w:val="20"/>
                <w:lang w:bidi="ar"/>
              </w:rPr>
              <w:t>15</w:t>
            </w:r>
          </w:p>
        </w:tc>
        <w:tc>
          <w:tcPr>
            <w:tcW w:w="1014" w:type="dxa"/>
            <w:noWrap/>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15～</w:t>
            </w:r>
            <w:r>
              <w:rPr>
                <w:rFonts w:ascii="宋体" w:hAnsi="宋体" w:eastAsia="宋体" w:cs="宋体"/>
                <w:sz w:val="20"/>
                <w:szCs w:val="20"/>
                <w:lang w:bidi="ar"/>
              </w:rPr>
              <w:t>45</w:t>
            </w:r>
            <w:r>
              <w:rPr>
                <w:rFonts w:hint="eastAsia" w:ascii="宋体" w:hAnsi="宋体" w:eastAsia="宋体" w:cs="宋体"/>
                <w:sz w:val="20"/>
                <w:szCs w:val="20"/>
                <w:lang w:bidi="ar"/>
              </w:rPr>
              <w:t>0</w:t>
            </w:r>
          </w:p>
        </w:tc>
        <w:tc>
          <w:tcPr>
            <w:tcW w:w="894" w:type="dxa"/>
            <w:noWrap/>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低～重大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683" w:type="dxa"/>
            <w:noWrap/>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ascii="宋体" w:hAnsi="宋体" w:eastAsia="宋体" w:cs="宋体"/>
                <w:sz w:val="20"/>
                <w:szCs w:val="20"/>
                <w:lang w:bidi="ar"/>
              </w:rPr>
              <w:t>31</w:t>
            </w:r>
          </w:p>
        </w:tc>
        <w:tc>
          <w:tcPr>
            <w:tcW w:w="1064" w:type="dxa"/>
            <w:vMerge w:val="continue"/>
            <w:noWrap/>
            <w:tcMar>
              <w:top w:w="15" w:type="dxa"/>
              <w:left w:w="15" w:type="dxa"/>
              <w:right w:w="15" w:type="dxa"/>
            </w:tcMar>
            <w:vAlign w:val="center"/>
          </w:tcPr>
          <w:p>
            <w:pPr>
              <w:widowControl w:val="0"/>
              <w:snapToGrid w:val="0"/>
              <w:jc w:val="center"/>
              <w:rPr>
                <w:rFonts w:ascii="宋体" w:hAnsi="宋体" w:eastAsia="宋体" w:cs="宋体"/>
                <w:kern w:val="2"/>
                <w:sz w:val="20"/>
                <w:szCs w:val="20"/>
              </w:rPr>
            </w:pPr>
          </w:p>
        </w:tc>
        <w:tc>
          <w:tcPr>
            <w:tcW w:w="1103" w:type="dxa"/>
            <w:vMerge w:val="continue"/>
            <w:tcMar>
              <w:top w:w="15" w:type="dxa"/>
              <w:left w:w="15" w:type="dxa"/>
              <w:right w:w="15" w:type="dxa"/>
            </w:tcMar>
            <w:vAlign w:val="center"/>
          </w:tcPr>
          <w:p>
            <w:pPr>
              <w:widowControl w:val="0"/>
              <w:snapToGrid w:val="0"/>
              <w:jc w:val="center"/>
              <w:rPr>
                <w:rFonts w:ascii="宋体" w:hAnsi="宋体" w:eastAsia="宋体" w:cs="宋体"/>
                <w:kern w:val="2"/>
                <w:sz w:val="20"/>
                <w:szCs w:val="20"/>
              </w:rPr>
            </w:pPr>
          </w:p>
        </w:tc>
        <w:tc>
          <w:tcPr>
            <w:tcW w:w="1707" w:type="dxa"/>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维修养护物资准备</w:t>
            </w:r>
          </w:p>
        </w:tc>
        <w:tc>
          <w:tcPr>
            <w:tcW w:w="2410" w:type="dxa"/>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物资准备不足</w:t>
            </w:r>
          </w:p>
        </w:tc>
        <w:tc>
          <w:tcPr>
            <w:tcW w:w="2165" w:type="dxa"/>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影响工程运行安全</w:t>
            </w:r>
          </w:p>
        </w:tc>
        <w:tc>
          <w:tcPr>
            <w:tcW w:w="889" w:type="dxa"/>
            <w:noWrap/>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LS法</w:t>
            </w:r>
          </w:p>
        </w:tc>
        <w:tc>
          <w:tcPr>
            <w:tcW w:w="904" w:type="dxa"/>
            <w:noWrap/>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5～30</w:t>
            </w:r>
          </w:p>
        </w:tc>
        <w:tc>
          <w:tcPr>
            <w:tcW w:w="715" w:type="dxa"/>
            <w:tcMar>
              <w:top w:w="15" w:type="dxa"/>
              <w:left w:w="15" w:type="dxa"/>
              <w:right w:w="15" w:type="dxa"/>
            </w:tcMar>
            <w:vAlign w:val="center"/>
          </w:tcPr>
          <w:p>
            <w:pPr>
              <w:widowControl w:val="0"/>
              <w:snapToGrid w:val="0"/>
              <w:jc w:val="center"/>
              <w:rPr>
                <w:rFonts w:ascii="宋体" w:hAnsi="宋体" w:eastAsia="宋体" w:cs="宋体"/>
                <w:kern w:val="2"/>
                <w:sz w:val="20"/>
                <w:szCs w:val="20"/>
              </w:rPr>
            </w:pPr>
            <w:r>
              <w:rPr>
                <w:rFonts w:hint="eastAsia" w:ascii="宋体" w:hAnsi="宋体" w:eastAsia="宋体" w:cs="宋体"/>
                <w:kern w:val="2"/>
                <w:sz w:val="20"/>
                <w:szCs w:val="20"/>
              </w:rPr>
              <w:t>/</w:t>
            </w:r>
          </w:p>
        </w:tc>
        <w:tc>
          <w:tcPr>
            <w:tcW w:w="775" w:type="dxa"/>
            <w:noWrap/>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3～</w:t>
            </w:r>
            <w:r>
              <w:rPr>
                <w:rFonts w:ascii="宋体" w:hAnsi="宋体" w:eastAsia="宋体" w:cs="宋体"/>
                <w:sz w:val="20"/>
                <w:szCs w:val="20"/>
                <w:lang w:bidi="ar"/>
              </w:rPr>
              <w:t>15</w:t>
            </w:r>
          </w:p>
        </w:tc>
        <w:tc>
          <w:tcPr>
            <w:tcW w:w="1014" w:type="dxa"/>
            <w:noWrap/>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15～</w:t>
            </w:r>
            <w:r>
              <w:rPr>
                <w:rFonts w:ascii="宋体" w:hAnsi="宋体" w:eastAsia="宋体" w:cs="宋体"/>
                <w:sz w:val="20"/>
                <w:szCs w:val="20"/>
                <w:lang w:bidi="ar"/>
              </w:rPr>
              <w:t>45</w:t>
            </w:r>
            <w:r>
              <w:rPr>
                <w:rFonts w:hint="eastAsia" w:ascii="宋体" w:hAnsi="宋体" w:eastAsia="宋体" w:cs="宋体"/>
                <w:sz w:val="20"/>
                <w:szCs w:val="20"/>
                <w:lang w:bidi="ar"/>
              </w:rPr>
              <w:t>0</w:t>
            </w:r>
          </w:p>
        </w:tc>
        <w:tc>
          <w:tcPr>
            <w:tcW w:w="894" w:type="dxa"/>
            <w:noWrap/>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低～重大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683" w:type="dxa"/>
            <w:noWrap/>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ascii="宋体" w:hAnsi="宋体" w:eastAsia="宋体" w:cs="宋体"/>
                <w:sz w:val="20"/>
                <w:szCs w:val="20"/>
                <w:lang w:bidi="ar"/>
              </w:rPr>
              <w:t>32</w:t>
            </w:r>
          </w:p>
        </w:tc>
        <w:tc>
          <w:tcPr>
            <w:tcW w:w="1064" w:type="dxa"/>
            <w:vMerge w:val="continue"/>
            <w:noWrap/>
            <w:tcMar>
              <w:top w:w="15" w:type="dxa"/>
              <w:left w:w="15" w:type="dxa"/>
              <w:right w:w="15" w:type="dxa"/>
            </w:tcMar>
            <w:vAlign w:val="center"/>
          </w:tcPr>
          <w:p>
            <w:pPr>
              <w:widowControl w:val="0"/>
              <w:snapToGrid w:val="0"/>
              <w:jc w:val="center"/>
              <w:rPr>
                <w:rFonts w:ascii="宋体" w:hAnsi="宋体" w:eastAsia="宋体" w:cs="宋体"/>
                <w:kern w:val="2"/>
                <w:sz w:val="20"/>
                <w:szCs w:val="20"/>
              </w:rPr>
            </w:pPr>
          </w:p>
        </w:tc>
        <w:tc>
          <w:tcPr>
            <w:tcW w:w="1103" w:type="dxa"/>
            <w:vMerge w:val="continue"/>
            <w:tcMar>
              <w:top w:w="15" w:type="dxa"/>
              <w:left w:w="15" w:type="dxa"/>
              <w:right w:w="15" w:type="dxa"/>
            </w:tcMar>
            <w:vAlign w:val="center"/>
          </w:tcPr>
          <w:p>
            <w:pPr>
              <w:widowControl w:val="0"/>
              <w:snapToGrid w:val="0"/>
              <w:jc w:val="center"/>
              <w:rPr>
                <w:rFonts w:ascii="宋体" w:hAnsi="宋体" w:eastAsia="宋体" w:cs="宋体"/>
                <w:kern w:val="2"/>
                <w:sz w:val="20"/>
                <w:szCs w:val="20"/>
              </w:rPr>
            </w:pPr>
          </w:p>
        </w:tc>
        <w:tc>
          <w:tcPr>
            <w:tcW w:w="1707" w:type="dxa"/>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人员基本支出和 工程维修养护   经费落实</w:t>
            </w:r>
          </w:p>
        </w:tc>
        <w:tc>
          <w:tcPr>
            <w:tcW w:w="2410" w:type="dxa"/>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经费未落实</w:t>
            </w:r>
          </w:p>
        </w:tc>
        <w:tc>
          <w:tcPr>
            <w:tcW w:w="2165" w:type="dxa"/>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影响工程运行管理</w:t>
            </w:r>
          </w:p>
        </w:tc>
        <w:tc>
          <w:tcPr>
            <w:tcW w:w="889" w:type="dxa"/>
            <w:noWrap/>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LS法</w:t>
            </w:r>
          </w:p>
        </w:tc>
        <w:tc>
          <w:tcPr>
            <w:tcW w:w="904" w:type="dxa"/>
            <w:noWrap/>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5～30</w:t>
            </w:r>
          </w:p>
        </w:tc>
        <w:tc>
          <w:tcPr>
            <w:tcW w:w="715" w:type="dxa"/>
            <w:tcMar>
              <w:top w:w="15" w:type="dxa"/>
              <w:left w:w="15" w:type="dxa"/>
              <w:right w:w="15" w:type="dxa"/>
            </w:tcMar>
            <w:vAlign w:val="center"/>
          </w:tcPr>
          <w:p>
            <w:pPr>
              <w:widowControl w:val="0"/>
              <w:snapToGrid w:val="0"/>
              <w:jc w:val="center"/>
              <w:rPr>
                <w:rFonts w:ascii="宋体" w:hAnsi="宋体" w:eastAsia="宋体" w:cs="宋体"/>
                <w:kern w:val="2"/>
                <w:sz w:val="20"/>
                <w:szCs w:val="20"/>
              </w:rPr>
            </w:pPr>
            <w:r>
              <w:rPr>
                <w:rFonts w:hint="eastAsia" w:ascii="宋体" w:hAnsi="宋体" w:eastAsia="宋体" w:cs="宋体"/>
                <w:kern w:val="2"/>
                <w:sz w:val="20"/>
                <w:szCs w:val="20"/>
              </w:rPr>
              <w:t>/</w:t>
            </w:r>
          </w:p>
        </w:tc>
        <w:tc>
          <w:tcPr>
            <w:tcW w:w="775" w:type="dxa"/>
            <w:noWrap/>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3～15</w:t>
            </w:r>
          </w:p>
        </w:tc>
        <w:tc>
          <w:tcPr>
            <w:tcW w:w="1014" w:type="dxa"/>
            <w:noWrap/>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15～450</w:t>
            </w:r>
          </w:p>
        </w:tc>
        <w:tc>
          <w:tcPr>
            <w:tcW w:w="894" w:type="dxa"/>
            <w:noWrap/>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低～重大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683" w:type="dxa"/>
            <w:noWrap/>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ascii="宋体" w:hAnsi="宋体" w:eastAsia="宋体" w:cs="宋体"/>
                <w:sz w:val="20"/>
                <w:szCs w:val="20"/>
                <w:lang w:bidi="ar"/>
              </w:rPr>
              <w:t>33</w:t>
            </w:r>
          </w:p>
        </w:tc>
        <w:tc>
          <w:tcPr>
            <w:tcW w:w="1064" w:type="dxa"/>
            <w:vMerge w:val="continue"/>
            <w:noWrap/>
            <w:tcMar>
              <w:top w:w="15" w:type="dxa"/>
              <w:left w:w="15" w:type="dxa"/>
              <w:right w:w="15" w:type="dxa"/>
            </w:tcMar>
            <w:vAlign w:val="center"/>
          </w:tcPr>
          <w:p>
            <w:pPr>
              <w:widowControl w:val="0"/>
              <w:snapToGrid w:val="0"/>
              <w:jc w:val="center"/>
              <w:rPr>
                <w:rFonts w:ascii="宋体" w:hAnsi="宋体" w:eastAsia="宋体" w:cs="宋体"/>
                <w:kern w:val="2"/>
                <w:sz w:val="20"/>
                <w:szCs w:val="20"/>
              </w:rPr>
            </w:pPr>
          </w:p>
        </w:tc>
        <w:tc>
          <w:tcPr>
            <w:tcW w:w="1103" w:type="dxa"/>
            <w:vMerge w:val="continue"/>
            <w:tcMar>
              <w:top w:w="15" w:type="dxa"/>
              <w:left w:w="15" w:type="dxa"/>
              <w:right w:w="15" w:type="dxa"/>
            </w:tcMar>
            <w:vAlign w:val="center"/>
          </w:tcPr>
          <w:p>
            <w:pPr>
              <w:widowControl w:val="0"/>
              <w:snapToGrid w:val="0"/>
              <w:jc w:val="center"/>
              <w:rPr>
                <w:rFonts w:ascii="宋体" w:hAnsi="宋体" w:eastAsia="宋体" w:cs="宋体"/>
                <w:kern w:val="2"/>
                <w:sz w:val="20"/>
                <w:szCs w:val="20"/>
              </w:rPr>
            </w:pPr>
          </w:p>
        </w:tc>
        <w:tc>
          <w:tcPr>
            <w:tcW w:w="1707" w:type="dxa"/>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管理、作业人员  教育培训</w:t>
            </w:r>
          </w:p>
        </w:tc>
        <w:tc>
          <w:tcPr>
            <w:tcW w:w="2410" w:type="dxa"/>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培训不到位</w:t>
            </w:r>
          </w:p>
        </w:tc>
        <w:tc>
          <w:tcPr>
            <w:tcW w:w="2165" w:type="dxa"/>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影响工程运行安全、   人员作业安全</w:t>
            </w:r>
          </w:p>
        </w:tc>
        <w:tc>
          <w:tcPr>
            <w:tcW w:w="889" w:type="dxa"/>
            <w:noWrap/>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LS法</w:t>
            </w:r>
          </w:p>
        </w:tc>
        <w:tc>
          <w:tcPr>
            <w:tcW w:w="904" w:type="dxa"/>
            <w:noWrap/>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5～30</w:t>
            </w:r>
          </w:p>
        </w:tc>
        <w:tc>
          <w:tcPr>
            <w:tcW w:w="715" w:type="dxa"/>
            <w:tcMar>
              <w:top w:w="15" w:type="dxa"/>
              <w:left w:w="15" w:type="dxa"/>
              <w:right w:w="15" w:type="dxa"/>
            </w:tcMar>
            <w:vAlign w:val="center"/>
          </w:tcPr>
          <w:p>
            <w:pPr>
              <w:widowControl w:val="0"/>
              <w:snapToGrid w:val="0"/>
              <w:jc w:val="center"/>
              <w:rPr>
                <w:rFonts w:ascii="宋体" w:hAnsi="宋体" w:eastAsia="宋体" w:cs="宋体"/>
                <w:kern w:val="2"/>
                <w:sz w:val="20"/>
                <w:szCs w:val="20"/>
              </w:rPr>
            </w:pPr>
            <w:r>
              <w:rPr>
                <w:rFonts w:hint="eastAsia" w:ascii="宋体" w:hAnsi="宋体" w:eastAsia="宋体" w:cs="宋体"/>
                <w:kern w:val="2"/>
                <w:sz w:val="20"/>
                <w:szCs w:val="20"/>
              </w:rPr>
              <w:t>/</w:t>
            </w:r>
          </w:p>
        </w:tc>
        <w:tc>
          <w:tcPr>
            <w:tcW w:w="775" w:type="dxa"/>
            <w:noWrap/>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3～15</w:t>
            </w:r>
          </w:p>
        </w:tc>
        <w:tc>
          <w:tcPr>
            <w:tcW w:w="1014" w:type="dxa"/>
            <w:noWrap/>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15～450</w:t>
            </w:r>
          </w:p>
        </w:tc>
        <w:tc>
          <w:tcPr>
            <w:tcW w:w="894" w:type="dxa"/>
            <w:noWrap/>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低～重大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683" w:type="dxa"/>
            <w:noWrap/>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ascii="宋体" w:hAnsi="宋体" w:eastAsia="宋体" w:cs="宋体"/>
                <w:sz w:val="20"/>
                <w:szCs w:val="20"/>
                <w:lang w:bidi="ar"/>
              </w:rPr>
              <w:t>34</w:t>
            </w:r>
          </w:p>
        </w:tc>
        <w:tc>
          <w:tcPr>
            <w:tcW w:w="1064" w:type="dxa"/>
            <w:vMerge w:val="continue"/>
            <w:noWrap/>
            <w:tcMar>
              <w:top w:w="15" w:type="dxa"/>
              <w:left w:w="15" w:type="dxa"/>
              <w:right w:w="15" w:type="dxa"/>
            </w:tcMar>
            <w:vAlign w:val="center"/>
          </w:tcPr>
          <w:p>
            <w:pPr>
              <w:widowControl w:val="0"/>
              <w:snapToGrid w:val="0"/>
              <w:jc w:val="center"/>
              <w:rPr>
                <w:rFonts w:ascii="宋体" w:hAnsi="宋体" w:eastAsia="宋体" w:cs="宋体"/>
                <w:kern w:val="2"/>
                <w:sz w:val="20"/>
                <w:szCs w:val="20"/>
              </w:rPr>
            </w:pPr>
          </w:p>
        </w:tc>
        <w:tc>
          <w:tcPr>
            <w:tcW w:w="1103" w:type="dxa"/>
            <w:vMerge w:val="restart"/>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运行管理</w:t>
            </w:r>
          </w:p>
        </w:tc>
        <w:tc>
          <w:tcPr>
            <w:tcW w:w="1707" w:type="dxa"/>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观测与监测</w:t>
            </w:r>
          </w:p>
        </w:tc>
        <w:tc>
          <w:tcPr>
            <w:tcW w:w="2410" w:type="dxa"/>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未按规定开展</w:t>
            </w:r>
          </w:p>
        </w:tc>
        <w:tc>
          <w:tcPr>
            <w:tcW w:w="2165" w:type="dxa"/>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kern w:val="2"/>
                <w:sz w:val="20"/>
                <w:szCs w:val="20"/>
              </w:rPr>
              <w:t>影响工程运行安全</w:t>
            </w:r>
          </w:p>
        </w:tc>
        <w:tc>
          <w:tcPr>
            <w:tcW w:w="889" w:type="dxa"/>
            <w:noWrap/>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LS法</w:t>
            </w:r>
          </w:p>
        </w:tc>
        <w:tc>
          <w:tcPr>
            <w:tcW w:w="904" w:type="dxa"/>
            <w:noWrap/>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5～30</w:t>
            </w:r>
          </w:p>
        </w:tc>
        <w:tc>
          <w:tcPr>
            <w:tcW w:w="715" w:type="dxa"/>
            <w:tcMar>
              <w:top w:w="15" w:type="dxa"/>
              <w:left w:w="15" w:type="dxa"/>
              <w:right w:w="15" w:type="dxa"/>
            </w:tcMar>
            <w:vAlign w:val="center"/>
          </w:tcPr>
          <w:p>
            <w:pPr>
              <w:widowControl w:val="0"/>
              <w:snapToGrid w:val="0"/>
              <w:jc w:val="center"/>
              <w:rPr>
                <w:rFonts w:ascii="宋体" w:hAnsi="宋体" w:eastAsia="宋体" w:cs="宋体"/>
                <w:kern w:val="2"/>
                <w:sz w:val="20"/>
                <w:szCs w:val="20"/>
              </w:rPr>
            </w:pPr>
            <w:r>
              <w:rPr>
                <w:rFonts w:hint="eastAsia" w:ascii="宋体" w:hAnsi="宋体" w:eastAsia="宋体" w:cs="宋体"/>
                <w:kern w:val="2"/>
                <w:sz w:val="20"/>
                <w:szCs w:val="20"/>
              </w:rPr>
              <w:t>/</w:t>
            </w:r>
          </w:p>
        </w:tc>
        <w:tc>
          <w:tcPr>
            <w:tcW w:w="775" w:type="dxa"/>
            <w:noWrap/>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3～15</w:t>
            </w:r>
          </w:p>
        </w:tc>
        <w:tc>
          <w:tcPr>
            <w:tcW w:w="1014" w:type="dxa"/>
            <w:noWrap/>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15～450</w:t>
            </w:r>
          </w:p>
        </w:tc>
        <w:tc>
          <w:tcPr>
            <w:tcW w:w="894" w:type="dxa"/>
            <w:noWrap/>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rPr>
              <w:t>低～重大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683" w:type="dxa"/>
            <w:noWrap/>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ascii="宋体" w:hAnsi="宋体" w:eastAsia="宋体" w:cs="宋体"/>
                <w:sz w:val="20"/>
                <w:szCs w:val="20"/>
                <w:lang w:bidi="ar"/>
              </w:rPr>
              <w:t>35</w:t>
            </w:r>
          </w:p>
        </w:tc>
        <w:tc>
          <w:tcPr>
            <w:tcW w:w="1064" w:type="dxa"/>
            <w:vMerge w:val="continue"/>
            <w:noWrap/>
            <w:tcMar>
              <w:top w:w="15" w:type="dxa"/>
              <w:left w:w="15" w:type="dxa"/>
              <w:right w:w="15" w:type="dxa"/>
            </w:tcMar>
            <w:vAlign w:val="center"/>
          </w:tcPr>
          <w:p>
            <w:pPr>
              <w:widowControl w:val="0"/>
              <w:snapToGrid w:val="0"/>
              <w:jc w:val="center"/>
              <w:rPr>
                <w:rFonts w:ascii="宋体" w:hAnsi="宋体" w:eastAsia="宋体" w:cs="宋体"/>
                <w:kern w:val="2"/>
                <w:sz w:val="20"/>
                <w:szCs w:val="20"/>
              </w:rPr>
            </w:pPr>
          </w:p>
        </w:tc>
        <w:tc>
          <w:tcPr>
            <w:tcW w:w="1103" w:type="dxa"/>
            <w:vMerge w:val="continue"/>
            <w:tcMar>
              <w:top w:w="15" w:type="dxa"/>
              <w:left w:w="15" w:type="dxa"/>
              <w:right w:w="15" w:type="dxa"/>
            </w:tcMar>
            <w:vAlign w:val="center"/>
          </w:tcPr>
          <w:p>
            <w:pPr>
              <w:widowControl w:val="0"/>
              <w:snapToGrid w:val="0"/>
              <w:jc w:val="center"/>
              <w:rPr>
                <w:rFonts w:ascii="宋体" w:hAnsi="宋体" w:eastAsia="宋体" w:cs="宋体"/>
                <w:kern w:val="2"/>
                <w:sz w:val="20"/>
                <w:szCs w:val="20"/>
              </w:rPr>
            </w:pPr>
          </w:p>
        </w:tc>
        <w:tc>
          <w:tcPr>
            <w:tcW w:w="1707" w:type="dxa"/>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安全检查制度执行</w:t>
            </w:r>
          </w:p>
        </w:tc>
        <w:tc>
          <w:tcPr>
            <w:tcW w:w="2410" w:type="dxa"/>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未按规定开展或        检查不到位</w:t>
            </w:r>
          </w:p>
        </w:tc>
        <w:tc>
          <w:tcPr>
            <w:tcW w:w="2165" w:type="dxa"/>
            <w:tcMar>
              <w:top w:w="15" w:type="dxa"/>
              <w:left w:w="15" w:type="dxa"/>
              <w:right w:w="15" w:type="dxa"/>
            </w:tcMar>
            <w:vAlign w:val="center"/>
          </w:tcPr>
          <w:p>
            <w:pPr>
              <w:widowControl w:val="0"/>
              <w:snapToGrid w:val="0"/>
              <w:jc w:val="center"/>
              <w:rPr>
                <w:rFonts w:ascii="宋体" w:hAnsi="宋体" w:eastAsia="宋体" w:cs="宋体"/>
                <w:kern w:val="2"/>
                <w:sz w:val="20"/>
                <w:szCs w:val="20"/>
              </w:rPr>
            </w:pPr>
            <w:r>
              <w:rPr>
                <w:rFonts w:hint="eastAsia" w:ascii="宋体" w:hAnsi="宋体" w:eastAsia="宋体" w:cs="宋体"/>
                <w:kern w:val="2"/>
                <w:sz w:val="20"/>
                <w:szCs w:val="20"/>
              </w:rPr>
              <w:t>影响工程运行安全</w:t>
            </w:r>
          </w:p>
        </w:tc>
        <w:tc>
          <w:tcPr>
            <w:tcW w:w="889" w:type="dxa"/>
            <w:noWrap/>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LS法</w:t>
            </w:r>
          </w:p>
        </w:tc>
        <w:tc>
          <w:tcPr>
            <w:tcW w:w="904" w:type="dxa"/>
            <w:noWrap/>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5～30</w:t>
            </w:r>
          </w:p>
        </w:tc>
        <w:tc>
          <w:tcPr>
            <w:tcW w:w="715" w:type="dxa"/>
            <w:tcMar>
              <w:top w:w="15" w:type="dxa"/>
              <w:left w:w="15" w:type="dxa"/>
              <w:right w:w="15" w:type="dxa"/>
            </w:tcMar>
            <w:vAlign w:val="center"/>
          </w:tcPr>
          <w:p>
            <w:pPr>
              <w:widowControl w:val="0"/>
              <w:snapToGrid w:val="0"/>
              <w:jc w:val="center"/>
              <w:rPr>
                <w:rFonts w:ascii="宋体" w:hAnsi="宋体" w:eastAsia="宋体" w:cs="宋体"/>
                <w:kern w:val="2"/>
                <w:sz w:val="20"/>
                <w:szCs w:val="20"/>
              </w:rPr>
            </w:pPr>
            <w:r>
              <w:rPr>
                <w:rFonts w:hint="eastAsia" w:ascii="宋体" w:hAnsi="宋体" w:eastAsia="宋体" w:cs="宋体"/>
                <w:kern w:val="2"/>
                <w:sz w:val="20"/>
                <w:szCs w:val="20"/>
              </w:rPr>
              <w:t>/</w:t>
            </w:r>
          </w:p>
        </w:tc>
        <w:tc>
          <w:tcPr>
            <w:tcW w:w="775" w:type="dxa"/>
            <w:noWrap/>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3～15</w:t>
            </w:r>
          </w:p>
        </w:tc>
        <w:tc>
          <w:tcPr>
            <w:tcW w:w="1014" w:type="dxa"/>
            <w:noWrap/>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15～450</w:t>
            </w:r>
          </w:p>
        </w:tc>
        <w:tc>
          <w:tcPr>
            <w:tcW w:w="894" w:type="dxa"/>
            <w:noWrap/>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rPr>
              <w:t>低～重大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683" w:type="dxa"/>
            <w:noWrap/>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ascii="宋体" w:hAnsi="宋体" w:eastAsia="宋体" w:cs="宋体"/>
                <w:sz w:val="20"/>
                <w:szCs w:val="20"/>
                <w:lang w:bidi="ar"/>
              </w:rPr>
              <w:t>36</w:t>
            </w:r>
          </w:p>
        </w:tc>
        <w:tc>
          <w:tcPr>
            <w:tcW w:w="1064" w:type="dxa"/>
            <w:vMerge w:val="continue"/>
            <w:noWrap/>
            <w:tcMar>
              <w:top w:w="15" w:type="dxa"/>
              <w:left w:w="15" w:type="dxa"/>
              <w:right w:w="15" w:type="dxa"/>
            </w:tcMar>
            <w:vAlign w:val="center"/>
          </w:tcPr>
          <w:p>
            <w:pPr>
              <w:widowControl w:val="0"/>
              <w:snapToGrid w:val="0"/>
              <w:jc w:val="center"/>
              <w:rPr>
                <w:rFonts w:ascii="宋体" w:hAnsi="宋体" w:eastAsia="宋体" w:cs="宋体"/>
                <w:kern w:val="2"/>
                <w:sz w:val="20"/>
                <w:szCs w:val="20"/>
              </w:rPr>
            </w:pPr>
          </w:p>
        </w:tc>
        <w:tc>
          <w:tcPr>
            <w:tcW w:w="1103" w:type="dxa"/>
            <w:vMerge w:val="continue"/>
            <w:tcMar>
              <w:top w:w="15" w:type="dxa"/>
              <w:left w:w="15" w:type="dxa"/>
              <w:right w:w="15" w:type="dxa"/>
            </w:tcMar>
            <w:vAlign w:val="center"/>
          </w:tcPr>
          <w:p>
            <w:pPr>
              <w:widowControl w:val="0"/>
              <w:snapToGrid w:val="0"/>
              <w:jc w:val="center"/>
              <w:rPr>
                <w:rFonts w:ascii="宋体" w:hAnsi="宋体" w:eastAsia="宋体" w:cs="宋体"/>
                <w:kern w:val="2"/>
                <w:sz w:val="20"/>
                <w:szCs w:val="20"/>
              </w:rPr>
            </w:pPr>
          </w:p>
        </w:tc>
        <w:tc>
          <w:tcPr>
            <w:tcW w:w="1707" w:type="dxa"/>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管理和保护范围 划定</w:t>
            </w:r>
          </w:p>
        </w:tc>
        <w:tc>
          <w:tcPr>
            <w:tcW w:w="2410" w:type="dxa"/>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范围不明确</w:t>
            </w:r>
          </w:p>
        </w:tc>
        <w:tc>
          <w:tcPr>
            <w:tcW w:w="2165" w:type="dxa"/>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kern w:val="2"/>
                <w:sz w:val="20"/>
                <w:szCs w:val="20"/>
              </w:rPr>
              <w:t>影响工程运行安全</w:t>
            </w:r>
          </w:p>
        </w:tc>
        <w:tc>
          <w:tcPr>
            <w:tcW w:w="889" w:type="dxa"/>
            <w:noWrap/>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LS法</w:t>
            </w:r>
          </w:p>
        </w:tc>
        <w:tc>
          <w:tcPr>
            <w:tcW w:w="904" w:type="dxa"/>
            <w:noWrap/>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5～10</w:t>
            </w:r>
          </w:p>
        </w:tc>
        <w:tc>
          <w:tcPr>
            <w:tcW w:w="715" w:type="dxa"/>
            <w:tcMar>
              <w:top w:w="15" w:type="dxa"/>
              <w:left w:w="15" w:type="dxa"/>
              <w:right w:w="15" w:type="dxa"/>
            </w:tcMar>
            <w:vAlign w:val="center"/>
          </w:tcPr>
          <w:p>
            <w:pPr>
              <w:widowControl w:val="0"/>
              <w:snapToGrid w:val="0"/>
              <w:jc w:val="center"/>
              <w:rPr>
                <w:rFonts w:ascii="宋体" w:hAnsi="宋体" w:eastAsia="宋体" w:cs="宋体"/>
                <w:kern w:val="2"/>
                <w:sz w:val="20"/>
                <w:szCs w:val="20"/>
              </w:rPr>
            </w:pPr>
            <w:r>
              <w:rPr>
                <w:rFonts w:hint="eastAsia" w:ascii="宋体" w:hAnsi="宋体" w:eastAsia="宋体" w:cs="宋体"/>
                <w:kern w:val="2"/>
                <w:sz w:val="20"/>
                <w:szCs w:val="20"/>
              </w:rPr>
              <w:t>/</w:t>
            </w:r>
          </w:p>
        </w:tc>
        <w:tc>
          <w:tcPr>
            <w:tcW w:w="775" w:type="dxa"/>
            <w:noWrap/>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3～15</w:t>
            </w:r>
          </w:p>
        </w:tc>
        <w:tc>
          <w:tcPr>
            <w:tcW w:w="1014" w:type="dxa"/>
            <w:noWrap/>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15～150</w:t>
            </w:r>
          </w:p>
        </w:tc>
        <w:tc>
          <w:tcPr>
            <w:tcW w:w="894" w:type="dxa"/>
            <w:noWrap/>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低～一般</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683" w:type="dxa"/>
            <w:noWrap/>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ascii="宋体" w:hAnsi="宋体" w:eastAsia="宋体" w:cs="宋体"/>
                <w:sz w:val="20"/>
                <w:szCs w:val="20"/>
                <w:lang w:bidi="ar"/>
              </w:rPr>
              <w:t>37</w:t>
            </w:r>
          </w:p>
        </w:tc>
        <w:tc>
          <w:tcPr>
            <w:tcW w:w="1064" w:type="dxa"/>
            <w:vMerge w:val="continue"/>
            <w:noWrap/>
            <w:tcMar>
              <w:top w:w="15" w:type="dxa"/>
              <w:left w:w="15" w:type="dxa"/>
              <w:right w:w="15" w:type="dxa"/>
            </w:tcMar>
            <w:vAlign w:val="center"/>
          </w:tcPr>
          <w:p>
            <w:pPr>
              <w:widowControl w:val="0"/>
              <w:snapToGrid w:val="0"/>
              <w:jc w:val="center"/>
              <w:rPr>
                <w:rFonts w:ascii="宋体" w:hAnsi="宋体" w:eastAsia="宋体" w:cs="宋体"/>
                <w:kern w:val="2"/>
                <w:sz w:val="20"/>
                <w:szCs w:val="20"/>
              </w:rPr>
            </w:pPr>
          </w:p>
        </w:tc>
        <w:tc>
          <w:tcPr>
            <w:tcW w:w="1103" w:type="dxa"/>
            <w:vMerge w:val="continue"/>
            <w:tcMar>
              <w:top w:w="15" w:type="dxa"/>
              <w:left w:w="15" w:type="dxa"/>
              <w:right w:w="15" w:type="dxa"/>
            </w:tcMar>
            <w:vAlign w:val="center"/>
          </w:tcPr>
          <w:p>
            <w:pPr>
              <w:widowControl w:val="0"/>
              <w:snapToGrid w:val="0"/>
              <w:jc w:val="center"/>
              <w:rPr>
                <w:rFonts w:ascii="宋体" w:hAnsi="宋体" w:eastAsia="宋体" w:cs="宋体"/>
                <w:kern w:val="2"/>
                <w:sz w:val="20"/>
                <w:szCs w:val="20"/>
              </w:rPr>
            </w:pPr>
          </w:p>
        </w:tc>
        <w:tc>
          <w:tcPr>
            <w:tcW w:w="1707" w:type="dxa"/>
            <w:tcMar>
              <w:top w:w="15" w:type="dxa"/>
              <w:left w:w="15" w:type="dxa"/>
              <w:right w:w="15" w:type="dxa"/>
            </w:tcMar>
            <w:vAlign w:val="center"/>
          </w:tcPr>
          <w:p>
            <w:pPr>
              <w:snapToGrid w:val="0"/>
              <w:jc w:val="center"/>
              <w:rPr>
                <w:rFonts w:ascii="宋体" w:hAnsi="宋体" w:eastAsia="宋体" w:cs="宋体"/>
                <w:sz w:val="20"/>
                <w:szCs w:val="20"/>
              </w:rPr>
            </w:pPr>
            <w:r>
              <w:rPr>
                <w:rFonts w:hint="eastAsia" w:ascii="宋体" w:hAnsi="宋体" w:eastAsia="宋体" w:cs="宋体"/>
                <w:sz w:val="20"/>
                <w:szCs w:val="20"/>
              </w:rPr>
              <w:t>管理和保护范围内修建桥梁、码头、鱼塘、管线等</w:t>
            </w:r>
          </w:p>
        </w:tc>
        <w:tc>
          <w:tcPr>
            <w:tcW w:w="2410" w:type="dxa"/>
            <w:tcMar>
              <w:top w:w="15" w:type="dxa"/>
              <w:left w:w="15" w:type="dxa"/>
              <w:right w:w="15" w:type="dxa"/>
            </w:tcMar>
            <w:vAlign w:val="center"/>
          </w:tcPr>
          <w:p>
            <w:pPr>
              <w:snapToGrid w:val="0"/>
              <w:jc w:val="center"/>
              <w:rPr>
                <w:rFonts w:ascii="宋体" w:hAnsi="宋体" w:eastAsia="宋体" w:cs="宋体"/>
                <w:sz w:val="20"/>
                <w:szCs w:val="20"/>
              </w:rPr>
            </w:pPr>
            <w:r>
              <w:rPr>
                <w:rFonts w:hint="eastAsia" w:ascii="宋体" w:hAnsi="宋体" w:eastAsia="宋体" w:cs="宋体"/>
                <w:sz w:val="20"/>
                <w:szCs w:val="20"/>
              </w:rPr>
              <w:t>管理不到位</w:t>
            </w:r>
          </w:p>
        </w:tc>
        <w:tc>
          <w:tcPr>
            <w:tcW w:w="2165" w:type="dxa"/>
            <w:tcMar>
              <w:top w:w="15" w:type="dxa"/>
              <w:left w:w="15" w:type="dxa"/>
              <w:right w:w="15" w:type="dxa"/>
            </w:tcMar>
            <w:vAlign w:val="center"/>
          </w:tcPr>
          <w:p>
            <w:pPr>
              <w:snapToGrid w:val="0"/>
              <w:jc w:val="center"/>
              <w:rPr>
                <w:rFonts w:ascii="宋体" w:hAnsi="宋体" w:eastAsia="宋体" w:cs="宋体"/>
                <w:sz w:val="20"/>
                <w:szCs w:val="20"/>
              </w:rPr>
            </w:pPr>
            <w:r>
              <w:rPr>
                <w:rFonts w:hint="eastAsia" w:ascii="宋体" w:hAnsi="宋体" w:eastAsia="宋体" w:cs="宋体"/>
                <w:sz w:val="20"/>
                <w:szCs w:val="20"/>
              </w:rPr>
              <w:t>影响工程防汛抢险</w:t>
            </w:r>
          </w:p>
        </w:tc>
        <w:tc>
          <w:tcPr>
            <w:tcW w:w="889" w:type="dxa"/>
            <w:tcMar>
              <w:top w:w="15" w:type="dxa"/>
              <w:left w:w="15" w:type="dxa"/>
              <w:right w:w="15" w:type="dxa"/>
            </w:tcMar>
            <w:vAlign w:val="center"/>
          </w:tcPr>
          <w:p>
            <w:pPr>
              <w:snapToGrid w:val="0"/>
              <w:jc w:val="center"/>
              <w:rPr>
                <w:rFonts w:ascii="宋体" w:hAnsi="宋体" w:eastAsia="宋体" w:cs="宋体"/>
                <w:sz w:val="20"/>
                <w:szCs w:val="20"/>
              </w:rPr>
            </w:pPr>
            <w:r>
              <w:rPr>
                <w:rFonts w:hint="eastAsia" w:ascii="宋体" w:hAnsi="宋体" w:eastAsia="宋体" w:cs="宋体"/>
                <w:sz w:val="20"/>
                <w:szCs w:val="20"/>
              </w:rPr>
              <w:t>LS法</w:t>
            </w:r>
          </w:p>
        </w:tc>
        <w:tc>
          <w:tcPr>
            <w:tcW w:w="904" w:type="dxa"/>
            <w:noWrap/>
            <w:tcMar>
              <w:top w:w="15" w:type="dxa"/>
              <w:left w:w="15" w:type="dxa"/>
              <w:right w:w="15" w:type="dxa"/>
            </w:tcMar>
            <w:vAlign w:val="center"/>
          </w:tcPr>
          <w:p>
            <w:pPr>
              <w:snapToGrid w:val="0"/>
              <w:jc w:val="center"/>
              <w:textAlignment w:val="center"/>
              <w:rPr>
                <w:rFonts w:ascii="宋体" w:hAnsi="宋体" w:eastAsia="宋体" w:cs="宋体"/>
                <w:sz w:val="20"/>
                <w:szCs w:val="20"/>
              </w:rPr>
            </w:pPr>
            <w:r>
              <w:rPr>
                <w:rFonts w:hint="eastAsia" w:ascii="宋体" w:hAnsi="宋体" w:eastAsia="宋体" w:cs="宋体"/>
                <w:sz w:val="20"/>
                <w:szCs w:val="20"/>
                <w:lang w:bidi="ar"/>
              </w:rPr>
              <w:t>5～30</w:t>
            </w:r>
          </w:p>
        </w:tc>
        <w:tc>
          <w:tcPr>
            <w:tcW w:w="715" w:type="dxa"/>
            <w:tcMar>
              <w:top w:w="15" w:type="dxa"/>
              <w:left w:w="15" w:type="dxa"/>
              <w:right w:w="15" w:type="dxa"/>
            </w:tcMar>
            <w:vAlign w:val="center"/>
          </w:tcPr>
          <w:p>
            <w:pPr>
              <w:widowControl w:val="0"/>
              <w:snapToGrid w:val="0"/>
              <w:jc w:val="center"/>
              <w:rPr>
                <w:rFonts w:ascii="宋体" w:hAnsi="宋体" w:eastAsia="宋体" w:cs="宋体"/>
                <w:sz w:val="20"/>
                <w:szCs w:val="20"/>
              </w:rPr>
            </w:pPr>
            <w:r>
              <w:rPr>
                <w:rFonts w:hint="eastAsia" w:ascii="宋体" w:hAnsi="宋体" w:eastAsia="宋体" w:cs="宋体"/>
                <w:kern w:val="2"/>
                <w:sz w:val="20"/>
                <w:szCs w:val="20"/>
              </w:rPr>
              <w:t>/</w:t>
            </w:r>
          </w:p>
        </w:tc>
        <w:tc>
          <w:tcPr>
            <w:tcW w:w="775" w:type="dxa"/>
            <w:noWrap/>
            <w:tcMar>
              <w:top w:w="15" w:type="dxa"/>
              <w:left w:w="15" w:type="dxa"/>
              <w:right w:w="15" w:type="dxa"/>
            </w:tcMar>
            <w:vAlign w:val="center"/>
          </w:tcPr>
          <w:p>
            <w:pPr>
              <w:snapToGrid w:val="0"/>
              <w:jc w:val="center"/>
              <w:textAlignment w:val="center"/>
              <w:rPr>
                <w:rFonts w:ascii="宋体" w:hAnsi="宋体" w:eastAsia="宋体" w:cs="宋体"/>
                <w:sz w:val="20"/>
                <w:szCs w:val="20"/>
              </w:rPr>
            </w:pPr>
            <w:r>
              <w:rPr>
                <w:rFonts w:hint="eastAsia" w:ascii="宋体" w:hAnsi="宋体" w:eastAsia="宋体" w:cs="宋体"/>
                <w:sz w:val="20"/>
                <w:szCs w:val="20"/>
                <w:lang w:bidi="ar"/>
              </w:rPr>
              <w:t>3～15</w:t>
            </w:r>
          </w:p>
        </w:tc>
        <w:tc>
          <w:tcPr>
            <w:tcW w:w="1014" w:type="dxa"/>
            <w:noWrap/>
            <w:tcMar>
              <w:top w:w="15" w:type="dxa"/>
              <w:left w:w="15" w:type="dxa"/>
              <w:right w:w="15" w:type="dxa"/>
            </w:tcMar>
            <w:vAlign w:val="center"/>
          </w:tcPr>
          <w:p>
            <w:pPr>
              <w:snapToGrid w:val="0"/>
              <w:jc w:val="center"/>
              <w:textAlignment w:val="center"/>
              <w:rPr>
                <w:rFonts w:ascii="宋体" w:hAnsi="宋体" w:eastAsia="宋体" w:cs="宋体"/>
                <w:sz w:val="20"/>
                <w:szCs w:val="20"/>
              </w:rPr>
            </w:pPr>
            <w:r>
              <w:rPr>
                <w:rFonts w:hint="eastAsia" w:ascii="宋体" w:hAnsi="宋体" w:eastAsia="宋体" w:cs="宋体"/>
                <w:sz w:val="20"/>
                <w:szCs w:val="20"/>
                <w:lang w:bidi="ar"/>
              </w:rPr>
              <w:t>15～450</w:t>
            </w:r>
          </w:p>
        </w:tc>
        <w:tc>
          <w:tcPr>
            <w:tcW w:w="894" w:type="dxa"/>
            <w:noWrap/>
            <w:tcMar>
              <w:top w:w="15" w:type="dxa"/>
              <w:left w:w="15" w:type="dxa"/>
              <w:right w:w="15" w:type="dxa"/>
            </w:tcMar>
            <w:vAlign w:val="center"/>
          </w:tcPr>
          <w:p>
            <w:pPr>
              <w:snapToGrid w:val="0"/>
              <w:jc w:val="center"/>
              <w:rPr>
                <w:rFonts w:ascii="宋体" w:hAnsi="宋体" w:eastAsia="宋体" w:cs="宋体"/>
                <w:sz w:val="20"/>
                <w:szCs w:val="20"/>
              </w:rPr>
            </w:pPr>
            <w:r>
              <w:rPr>
                <w:rFonts w:hint="eastAsia" w:ascii="宋体" w:hAnsi="宋体" w:eastAsia="宋体" w:cs="宋体"/>
                <w:sz w:val="20"/>
                <w:szCs w:val="20"/>
              </w:rPr>
              <w:t>低～重大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683" w:type="dxa"/>
            <w:noWrap/>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ascii="宋体" w:hAnsi="宋体" w:eastAsia="宋体" w:cs="宋体"/>
                <w:sz w:val="20"/>
                <w:szCs w:val="20"/>
                <w:lang w:bidi="ar"/>
              </w:rPr>
              <w:t>38</w:t>
            </w:r>
          </w:p>
        </w:tc>
        <w:tc>
          <w:tcPr>
            <w:tcW w:w="1064" w:type="dxa"/>
            <w:vMerge w:val="continue"/>
            <w:noWrap/>
            <w:tcMar>
              <w:top w:w="15" w:type="dxa"/>
              <w:left w:w="15" w:type="dxa"/>
              <w:right w:w="15" w:type="dxa"/>
            </w:tcMar>
            <w:vAlign w:val="center"/>
          </w:tcPr>
          <w:p>
            <w:pPr>
              <w:widowControl w:val="0"/>
              <w:snapToGrid w:val="0"/>
              <w:jc w:val="center"/>
              <w:rPr>
                <w:rFonts w:ascii="宋体" w:hAnsi="宋体" w:eastAsia="宋体" w:cs="宋体"/>
                <w:kern w:val="2"/>
                <w:sz w:val="20"/>
                <w:szCs w:val="20"/>
              </w:rPr>
            </w:pPr>
          </w:p>
        </w:tc>
        <w:tc>
          <w:tcPr>
            <w:tcW w:w="1103" w:type="dxa"/>
            <w:vMerge w:val="continue"/>
            <w:tcMar>
              <w:top w:w="15" w:type="dxa"/>
              <w:left w:w="15" w:type="dxa"/>
              <w:right w:w="15" w:type="dxa"/>
            </w:tcMar>
            <w:vAlign w:val="center"/>
          </w:tcPr>
          <w:p>
            <w:pPr>
              <w:widowControl w:val="0"/>
              <w:snapToGrid w:val="0"/>
              <w:jc w:val="center"/>
              <w:rPr>
                <w:rFonts w:ascii="宋体" w:hAnsi="宋体" w:eastAsia="宋体" w:cs="宋体"/>
                <w:kern w:val="2"/>
                <w:sz w:val="20"/>
                <w:szCs w:val="20"/>
              </w:rPr>
            </w:pPr>
          </w:p>
        </w:tc>
        <w:tc>
          <w:tcPr>
            <w:tcW w:w="1707" w:type="dxa"/>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应急预案编制、  报批、演练</w:t>
            </w:r>
          </w:p>
        </w:tc>
        <w:tc>
          <w:tcPr>
            <w:tcW w:w="2410" w:type="dxa"/>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未编制、报批或演练</w:t>
            </w:r>
          </w:p>
        </w:tc>
        <w:tc>
          <w:tcPr>
            <w:tcW w:w="2165" w:type="dxa"/>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影响工程防汛抢险</w:t>
            </w:r>
          </w:p>
        </w:tc>
        <w:tc>
          <w:tcPr>
            <w:tcW w:w="889" w:type="dxa"/>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LS法</w:t>
            </w:r>
          </w:p>
        </w:tc>
        <w:tc>
          <w:tcPr>
            <w:tcW w:w="904" w:type="dxa"/>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5～30</w:t>
            </w:r>
          </w:p>
        </w:tc>
        <w:tc>
          <w:tcPr>
            <w:tcW w:w="715" w:type="dxa"/>
            <w:tcMar>
              <w:top w:w="15" w:type="dxa"/>
              <w:left w:w="15" w:type="dxa"/>
              <w:right w:w="15" w:type="dxa"/>
            </w:tcMar>
            <w:vAlign w:val="center"/>
          </w:tcPr>
          <w:p>
            <w:pPr>
              <w:widowControl w:val="0"/>
              <w:snapToGrid w:val="0"/>
              <w:jc w:val="center"/>
              <w:rPr>
                <w:rFonts w:ascii="宋体" w:hAnsi="宋体" w:eastAsia="宋体" w:cs="宋体"/>
                <w:kern w:val="2"/>
                <w:sz w:val="20"/>
                <w:szCs w:val="20"/>
              </w:rPr>
            </w:pPr>
            <w:r>
              <w:rPr>
                <w:rFonts w:hint="eastAsia" w:ascii="宋体" w:hAnsi="宋体" w:eastAsia="宋体" w:cs="宋体"/>
                <w:kern w:val="2"/>
                <w:sz w:val="20"/>
                <w:szCs w:val="20"/>
              </w:rPr>
              <w:t>/</w:t>
            </w:r>
          </w:p>
        </w:tc>
        <w:tc>
          <w:tcPr>
            <w:tcW w:w="775" w:type="dxa"/>
            <w:noWrap/>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3～15</w:t>
            </w:r>
          </w:p>
        </w:tc>
        <w:tc>
          <w:tcPr>
            <w:tcW w:w="1014" w:type="dxa"/>
            <w:noWrap/>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15～450</w:t>
            </w:r>
          </w:p>
        </w:tc>
        <w:tc>
          <w:tcPr>
            <w:tcW w:w="894" w:type="dxa"/>
            <w:noWrap/>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低～重大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683" w:type="dxa"/>
            <w:noWrap/>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ascii="宋体" w:hAnsi="宋体" w:eastAsia="宋体" w:cs="宋体"/>
                <w:sz w:val="20"/>
                <w:szCs w:val="20"/>
                <w:lang w:bidi="ar"/>
              </w:rPr>
              <w:t>39</w:t>
            </w:r>
          </w:p>
        </w:tc>
        <w:tc>
          <w:tcPr>
            <w:tcW w:w="1064" w:type="dxa"/>
            <w:vMerge w:val="continue"/>
            <w:noWrap/>
            <w:tcMar>
              <w:top w:w="15" w:type="dxa"/>
              <w:left w:w="15" w:type="dxa"/>
              <w:right w:w="15" w:type="dxa"/>
            </w:tcMar>
            <w:vAlign w:val="center"/>
          </w:tcPr>
          <w:p>
            <w:pPr>
              <w:widowControl w:val="0"/>
              <w:snapToGrid w:val="0"/>
              <w:jc w:val="center"/>
              <w:rPr>
                <w:rFonts w:ascii="宋体" w:hAnsi="宋体" w:eastAsia="宋体" w:cs="宋体"/>
                <w:kern w:val="2"/>
                <w:sz w:val="20"/>
                <w:szCs w:val="20"/>
              </w:rPr>
            </w:pPr>
          </w:p>
        </w:tc>
        <w:tc>
          <w:tcPr>
            <w:tcW w:w="1103" w:type="dxa"/>
            <w:vMerge w:val="continue"/>
            <w:tcMar>
              <w:top w:w="15" w:type="dxa"/>
              <w:left w:w="15" w:type="dxa"/>
              <w:right w:w="15" w:type="dxa"/>
            </w:tcMar>
            <w:vAlign w:val="center"/>
          </w:tcPr>
          <w:p>
            <w:pPr>
              <w:widowControl w:val="0"/>
              <w:snapToGrid w:val="0"/>
              <w:jc w:val="center"/>
              <w:rPr>
                <w:rFonts w:ascii="宋体" w:hAnsi="宋体" w:eastAsia="宋体" w:cs="宋体"/>
                <w:kern w:val="2"/>
                <w:sz w:val="20"/>
                <w:szCs w:val="20"/>
              </w:rPr>
            </w:pPr>
          </w:p>
        </w:tc>
        <w:tc>
          <w:tcPr>
            <w:tcW w:w="1707" w:type="dxa"/>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调度规程编制</w:t>
            </w:r>
          </w:p>
        </w:tc>
        <w:tc>
          <w:tcPr>
            <w:tcW w:w="2410" w:type="dxa"/>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未编制、报批</w:t>
            </w:r>
          </w:p>
        </w:tc>
        <w:tc>
          <w:tcPr>
            <w:tcW w:w="2165" w:type="dxa"/>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影响工程调度</w:t>
            </w:r>
          </w:p>
        </w:tc>
        <w:tc>
          <w:tcPr>
            <w:tcW w:w="889" w:type="dxa"/>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LS法</w:t>
            </w:r>
          </w:p>
        </w:tc>
        <w:tc>
          <w:tcPr>
            <w:tcW w:w="904" w:type="dxa"/>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5～30</w:t>
            </w:r>
          </w:p>
        </w:tc>
        <w:tc>
          <w:tcPr>
            <w:tcW w:w="715" w:type="dxa"/>
            <w:tcMar>
              <w:top w:w="15" w:type="dxa"/>
              <w:left w:w="15" w:type="dxa"/>
              <w:right w:w="15" w:type="dxa"/>
            </w:tcMar>
            <w:vAlign w:val="center"/>
          </w:tcPr>
          <w:p>
            <w:pPr>
              <w:widowControl w:val="0"/>
              <w:snapToGrid w:val="0"/>
              <w:jc w:val="center"/>
              <w:rPr>
                <w:rFonts w:ascii="宋体" w:hAnsi="宋体" w:eastAsia="宋体" w:cs="宋体"/>
                <w:kern w:val="2"/>
                <w:sz w:val="20"/>
                <w:szCs w:val="20"/>
              </w:rPr>
            </w:pPr>
            <w:r>
              <w:rPr>
                <w:rFonts w:hint="eastAsia" w:ascii="宋体" w:hAnsi="宋体" w:eastAsia="宋体" w:cs="宋体"/>
                <w:kern w:val="2"/>
                <w:sz w:val="20"/>
                <w:szCs w:val="20"/>
              </w:rPr>
              <w:t>/</w:t>
            </w:r>
          </w:p>
        </w:tc>
        <w:tc>
          <w:tcPr>
            <w:tcW w:w="775" w:type="dxa"/>
            <w:noWrap/>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3～15</w:t>
            </w:r>
          </w:p>
        </w:tc>
        <w:tc>
          <w:tcPr>
            <w:tcW w:w="1014" w:type="dxa"/>
            <w:noWrap/>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15～450</w:t>
            </w:r>
          </w:p>
        </w:tc>
        <w:tc>
          <w:tcPr>
            <w:tcW w:w="894" w:type="dxa"/>
            <w:noWrap/>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低～重大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683" w:type="dxa"/>
            <w:noWrap/>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ascii="宋体" w:hAnsi="宋体" w:eastAsia="宋体" w:cs="宋体"/>
                <w:sz w:val="20"/>
                <w:szCs w:val="20"/>
                <w:lang w:bidi="ar"/>
              </w:rPr>
              <w:t>40</w:t>
            </w:r>
          </w:p>
        </w:tc>
        <w:tc>
          <w:tcPr>
            <w:tcW w:w="1064" w:type="dxa"/>
            <w:vMerge w:val="continue"/>
            <w:noWrap/>
            <w:tcMar>
              <w:top w:w="15" w:type="dxa"/>
              <w:left w:w="15" w:type="dxa"/>
              <w:right w:w="15" w:type="dxa"/>
            </w:tcMar>
            <w:vAlign w:val="center"/>
          </w:tcPr>
          <w:p>
            <w:pPr>
              <w:widowControl w:val="0"/>
              <w:snapToGrid w:val="0"/>
              <w:jc w:val="center"/>
              <w:rPr>
                <w:rFonts w:ascii="宋体" w:hAnsi="宋体" w:eastAsia="宋体" w:cs="宋体"/>
                <w:kern w:val="2"/>
                <w:sz w:val="20"/>
                <w:szCs w:val="20"/>
              </w:rPr>
            </w:pPr>
          </w:p>
        </w:tc>
        <w:tc>
          <w:tcPr>
            <w:tcW w:w="1103" w:type="dxa"/>
            <w:vMerge w:val="continue"/>
            <w:tcMar>
              <w:top w:w="15" w:type="dxa"/>
              <w:left w:w="15" w:type="dxa"/>
              <w:right w:w="15" w:type="dxa"/>
            </w:tcMar>
            <w:vAlign w:val="center"/>
          </w:tcPr>
          <w:p>
            <w:pPr>
              <w:widowControl w:val="0"/>
              <w:snapToGrid w:val="0"/>
              <w:jc w:val="center"/>
              <w:rPr>
                <w:rFonts w:ascii="宋体" w:hAnsi="宋体" w:eastAsia="宋体" w:cs="宋体"/>
                <w:kern w:val="2"/>
                <w:sz w:val="20"/>
                <w:szCs w:val="20"/>
              </w:rPr>
            </w:pPr>
          </w:p>
        </w:tc>
        <w:tc>
          <w:tcPr>
            <w:tcW w:w="1707" w:type="dxa"/>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维修养护计划制定</w:t>
            </w:r>
          </w:p>
        </w:tc>
        <w:tc>
          <w:tcPr>
            <w:tcW w:w="2410" w:type="dxa"/>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未制定</w:t>
            </w:r>
          </w:p>
        </w:tc>
        <w:tc>
          <w:tcPr>
            <w:tcW w:w="2165" w:type="dxa"/>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不能及时消除工程隐患</w:t>
            </w:r>
          </w:p>
        </w:tc>
        <w:tc>
          <w:tcPr>
            <w:tcW w:w="889" w:type="dxa"/>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LS法</w:t>
            </w:r>
          </w:p>
        </w:tc>
        <w:tc>
          <w:tcPr>
            <w:tcW w:w="904" w:type="dxa"/>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5～10</w:t>
            </w:r>
          </w:p>
        </w:tc>
        <w:tc>
          <w:tcPr>
            <w:tcW w:w="715" w:type="dxa"/>
            <w:tcMar>
              <w:top w:w="15" w:type="dxa"/>
              <w:left w:w="15" w:type="dxa"/>
              <w:right w:w="15" w:type="dxa"/>
            </w:tcMar>
            <w:vAlign w:val="center"/>
          </w:tcPr>
          <w:p>
            <w:pPr>
              <w:widowControl w:val="0"/>
              <w:snapToGrid w:val="0"/>
              <w:jc w:val="center"/>
              <w:rPr>
                <w:rFonts w:ascii="宋体" w:hAnsi="宋体" w:eastAsia="宋体" w:cs="宋体"/>
                <w:kern w:val="2"/>
                <w:sz w:val="20"/>
                <w:szCs w:val="20"/>
              </w:rPr>
            </w:pPr>
            <w:r>
              <w:rPr>
                <w:rFonts w:hint="eastAsia" w:ascii="宋体" w:hAnsi="宋体" w:eastAsia="宋体" w:cs="宋体"/>
                <w:kern w:val="2"/>
                <w:sz w:val="20"/>
                <w:szCs w:val="20"/>
              </w:rPr>
              <w:t>/</w:t>
            </w:r>
          </w:p>
        </w:tc>
        <w:tc>
          <w:tcPr>
            <w:tcW w:w="775" w:type="dxa"/>
            <w:noWrap/>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3～15</w:t>
            </w:r>
          </w:p>
        </w:tc>
        <w:tc>
          <w:tcPr>
            <w:tcW w:w="1014" w:type="dxa"/>
            <w:noWrap/>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15～150</w:t>
            </w:r>
          </w:p>
        </w:tc>
        <w:tc>
          <w:tcPr>
            <w:tcW w:w="894" w:type="dxa"/>
            <w:noWrap/>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低～一般</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683" w:type="dxa"/>
            <w:noWrap/>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ascii="宋体" w:hAnsi="宋体" w:eastAsia="宋体" w:cs="宋体"/>
                <w:sz w:val="20"/>
                <w:szCs w:val="20"/>
                <w:lang w:bidi="ar"/>
              </w:rPr>
              <w:t>41</w:t>
            </w:r>
          </w:p>
        </w:tc>
        <w:tc>
          <w:tcPr>
            <w:tcW w:w="1064" w:type="dxa"/>
            <w:vMerge w:val="continue"/>
            <w:noWrap/>
            <w:tcMar>
              <w:top w:w="15" w:type="dxa"/>
              <w:left w:w="15" w:type="dxa"/>
              <w:right w:w="15" w:type="dxa"/>
            </w:tcMar>
            <w:vAlign w:val="center"/>
          </w:tcPr>
          <w:p>
            <w:pPr>
              <w:widowControl w:val="0"/>
              <w:snapToGrid w:val="0"/>
              <w:jc w:val="center"/>
              <w:rPr>
                <w:rFonts w:ascii="宋体" w:hAnsi="宋体" w:eastAsia="宋体" w:cs="宋体"/>
                <w:kern w:val="2"/>
                <w:sz w:val="20"/>
                <w:szCs w:val="20"/>
              </w:rPr>
            </w:pPr>
          </w:p>
        </w:tc>
        <w:tc>
          <w:tcPr>
            <w:tcW w:w="1103" w:type="dxa"/>
            <w:vMerge w:val="continue"/>
            <w:tcMar>
              <w:top w:w="15" w:type="dxa"/>
              <w:left w:w="15" w:type="dxa"/>
              <w:right w:w="15" w:type="dxa"/>
            </w:tcMar>
            <w:vAlign w:val="center"/>
          </w:tcPr>
          <w:p>
            <w:pPr>
              <w:widowControl w:val="0"/>
              <w:snapToGrid w:val="0"/>
              <w:jc w:val="center"/>
              <w:rPr>
                <w:rFonts w:ascii="宋体" w:hAnsi="宋体" w:eastAsia="宋体" w:cs="宋体"/>
                <w:kern w:val="2"/>
                <w:sz w:val="20"/>
                <w:szCs w:val="20"/>
              </w:rPr>
            </w:pPr>
          </w:p>
        </w:tc>
        <w:tc>
          <w:tcPr>
            <w:tcW w:w="1707" w:type="dxa"/>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警示、警告标识  设置</w:t>
            </w:r>
          </w:p>
        </w:tc>
        <w:tc>
          <w:tcPr>
            <w:tcW w:w="2410" w:type="dxa"/>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设置不足</w:t>
            </w:r>
          </w:p>
        </w:tc>
        <w:tc>
          <w:tcPr>
            <w:tcW w:w="2165" w:type="dxa"/>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影响工程安全运行、   人员安全</w:t>
            </w:r>
          </w:p>
        </w:tc>
        <w:tc>
          <w:tcPr>
            <w:tcW w:w="889" w:type="dxa"/>
            <w:noWrap/>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LS法</w:t>
            </w:r>
          </w:p>
        </w:tc>
        <w:tc>
          <w:tcPr>
            <w:tcW w:w="904" w:type="dxa"/>
            <w:noWrap/>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5～10</w:t>
            </w:r>
          </w:p>
        </w:tc>
        <w:tc>
          <w:tcPr>
            <w:tcW w:w="715" w:type="dxa"/>
            <w:tcMar>
              <w:top w:w="15" w:type="dxa"/>
              <w:left w:w="15" w:type="dxa"/>
              <w:right w:w="15" w:type="dxa"/>
            </w:tcMar>
            <w:vAlign w:val="center"/>
          </w:tcPr>
          <w:p>
            <w:pPr>
              <w:widowControl w:val="0"/>
              <w:snapToGrid w:val="0"/>
              <w:jc w:val="center"/>
              <w:rPr>
                <w:rFonts w:ascii="宋体" w:hAnsi="宋体" w:eastAsia="宋体" w:cs="宋体"/>
                <w:kern w:val="2"/>
                <w:sz w:val="20"/>
                <w:szCs w:val="20"/>
              </w:rPr>
            </w:pPr>
            <w:r>
              <w:rPr>
                <w:rFonts w:hint="eastAsia" w:ascii="宋体" w:hAnsi="宋体" w:eastAsia="宋体" w:cs="宋体"/>
                <w:kern w:val="2"/>
                <w:sz w:val="20"/>
                <w:szCs w:val="20"/>
              </w:rPr>
              <w:t>/</w:t>
            </w:r>
          </w:p>
        </w:tc>
        <w:tc>
          <w:tcPr>
            <w:tcW w:w="775" w:type="dxa"/>
            <w:noWrap/>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3～15</w:t>
            </w:r>
          </w:p>
        </w:tc>
        <w:tc>
          <w:tcPr>
            <w:tcW w:w="1014" w:type="dxa"/>
            <w:noWrap/>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15～150</w:t>
            </w:r>
          </w:p>
        </w:tc>
        <w:tc>
          <w:tcPr>
            <w:tcW w:w="894" w:type="dxa"/>
            <w:noWrap/>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低～一般</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683" w:type="dxa"/>
            <w:noWrap/>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ascii="宋体" w:hAnsi="宋体" w:eastAsia="宋体" w:cs="宋体"/>
                <w:sz w:val="20"/>
                <w:szCs w:val="20"/>
                <w:lang w:bidi="ar"/>
              </w:rPr>
              <w:t>42</w:t>
            </w:r>
          </w:p>
        </w:tc>
        <w:tc>
          <w:tcPr>
            <w:tcW w:w="1064" w:type="dxa"/>
            <w:vMerge w:val="restart"/>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环境类</w:t>
            </w:r>
          </w:p>
        </w:tc>
        <w:tc>
          <w:tcPr>
            <w:tcW w:w="1103" w:type="dxa"/>
            <w:vMerge w:val="restart"/>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工作环境</w:t>
            </w:r>
          </w:p>
        </w:tc>
        <w:tc>
          <w:tcPr>
            <w:tcW w:w="1707" w:type="dxa"/>
            <w:tcMar>
              <w:top w:w="15" w:type="dxa"/>
              <w:left w:w="15" w:type="dxa"/>
              <w:right w:w="15" w:type="dxa"/>
            </w:tcMar>
            <w:vAlign w:val="center"/>
          </w:tcPr>
          <w:p>
            <w:pPr>
              <w:snapToGrid w:val="0"/>
              <w:jc w:val="center"/>
              <w:rPr>
                <w:rFonts w:ascii="宋体" w:hAnsi="宋体" w:eastAsia="宋体" w:cs="宋体"/>
                <w:kern w:val="2"/>
                <w:sz w:val="20"/>
                <w:szCs w:val="20"/>
              </w:rPr>
            </w:pPr>
            <w:r>
              <w:rPr>
                <w:rFonts w:hint="eastAsia" w:ascii="宋体" w:hAnsi="宋体" w:eastAsia="宋体" w:cs="宋体"/>
                <w:sz w:val="20"/>
                <w:szCs w:val="20"/>
              </w:rPr>
              <w:t>斜坡、步梯、通道、作业场地</w:t>
            </w:r>
          </w:p>
        </w:tc>
        <w:tc>
          <w:tcPr>
            <w:tcW w:w="2410" w:type="dxa"/>
            <w:tcMar>
              <w:top w:w="15" w:type="dxa"/>
              <w:left w:w="15" w:type="dxa"/>
              <w:right w:w="15" w:type="dxa"/>
            </w:tcMar>
            <w:vAlign w:val="center"/>
          </w:tcPr>
          <w:p>
            <w:pPr>
              <w:snapToGrid w:val="0"/>
              <w:jc w:val="center"/>
              <w:rPr>
                <w:rFonts w:ascii="宋体" w:hAnsi="宋体" w:eastAsia="宋体" w:cs="宋体"/>
                <w:kern w:val="2"/>
                <w:sz w:val="20"/>
                <w:szCs w:val="20"/>
              </w:rPr>
            </w:pPr>
            <w:r>
              <w:rPr>
                <w:rFonts w:hint="eastAsia" w:ascii="宋体" w:hAnsi="宋体" w:eastAsia="宋体" w:cs="宋体"/>
                <w:sz w:val="20"/>
                <w:szCs w:val="20"/>
              </w:rPr>
              <w:t>结冰或湿滑</w:t>
            </w:r>
          </w:p>
        </w:tc>
        <w:tc>
          <w:tcPr>
            <w:tcW w:w="2165" w:type="dxa"/>
            <w:tcMar>
              <w:top w:w="15" w:type="dxa"/>
              <w:left w:w="15" w:type="dxa"/>
              <w:right w:w="15" w:type="dxa"/>
            </w:tcMar>
            <w:vAlign w:val="center"/>
          </w:tcPr>
          <w:p>
            <w:pPr>
              <w:snapToGrid w:val="0"/>
              <w:jc w:val="center"/>
              <w:rPr>
                <w:rFonts w:ascii="宋体" w:hAnsi="宋体" w:eastAsia="宋体" w:cs="宋体"/>
                <w:kern w:val="2"/>
                <w:sz w:val="20"/>
                <w:szCs w:val="20"/>
              </w:rPr>
            </w:pPr>
            <w:r>
              <w:rPr>
                <w:rFonts w:hint="eastAsia" w:ascii="宋体" w:hAnsi="宋体" w:eastAsia="宋体" w:cs="宋体"/>
                <w:sz w:val="20"/>
                <w:szCs w:val="20"/>
              </w:rPr>
              <w:t>高处坠落、扭伤、摔伤</w:t>
            </w:r>
          </w:p>
        </w:tc>
        <w:tc>
          <w:tcPr>
            <w:tcW w:w="889" w:type="dxa"/>
            <w:noWrap/>
            <w:tcMar>
              <w:top w:w="15" w:type="dxa"/>
              <w:left w:w="15" w:type="dxa"/>
              <w:right w:w="15" w:type="dxa"/>
            </w:tcMar>
            <w:vAlign w:val="center"/>
          </w:tcPr>
          <w:p>
            <w:pPr>
              <w:snapToGrid w:val="0"/>
              <w:jc w:val="center"/>
              <w:rPr>
                <w:rFonts w:ascii="宋体" w:hAnsi="宋体" w:eastAsia="宋体" w:cs="宋体"/>
                <w:kern w:val="2"/>
                <w:sz w:val="20"/>
                <w:szCs w:val="20"/>
              </w:rPr>
            </w:pPr>
            <w:r>
              <w:rPr>
                <w:rFonts w:hint="eastAsia" w:ascii="宋体" w:hAnsi="宋体" w:eastAsia="宋体" w:cs="宋体"/>
                <w:sz w:val="20"/>
                <w:szCs w:val="20"/>
              </w:rPr>
              <w:t>LEC法</w:t>
            </w:r>
          </w:p>
        </w:tc>
        <w:tc>
          <w:tcPr>
            <w:tcW w:w="904" w:type="dxa"/>
            <w:noWrap/>
            <w:tcMar>
              <w:top w:w="15" w:type="dxa"/>
              <w:left w:w="15" w:type="dxa"/>
              <w:right w:w="15" w:type="dxa"/>
            </w:tcMar>
            <w:vAlign w:val="center"/>
          </w:tcPr>
          <w:p>
            <w:pPr>
              <w:snapToGrid w:val="0"/>
              <w:jc w:val="center"/>
              <w:rPr>
                <w:rFonts w:ascii="宋体" w:hAnsi="宋体" w:eastAsia="宋体" w:cs="宋体"/>
                <w:kern w:val="2"/>
                <w:sz w:val="20"/>
                <w:szCs w:val="20"/>
              </w:rPr>
            </w:pPr>
            <w:r>
              <w:rPr>
                <w:rFonts w:hint="eastAsia" w:ascii="宋体" w:hAnsi="宋体" w:eastAsia="宋体" w:cs="宋体"/>
                <w:sz w:val="20"/>
                <w:szCs w:val="20"/>
              </w:rPr>
              <w:t>0.5～3</w:t>
            </w:r>
          </w:p>
        </w:tc>
        <w:tc>
          <w:tcPr>
            <w:tcW w:w="715" w:type="dxa"/>
            <w:tcMar>
              <w:top w:w="15" w:type="dxa"/>
              <w:left w:w="15" w:type="dxa"/>
              <w:right w:w="15" w:type="dxa"/>
            </w:tcMar>
            <w:vAlign w:val="center"/>
          </w:tcPr>
          <w:p>
            <w:pPr>
              <w:snapToGrid w:val="0"/>
              <w:jc w:val="center"/>
              <w:rPr>
                <w:rFonts w:ascii="宋体" w:hAnsi="宋体" w:eastAsia="宋体" w:cs="宋体"/>
                <w:kern w:val="2"/>
                <w:sz w:val="20"/>
                <w:szCs w:val="20"/>
              </w:rPr>
            </w:pPr>
            <w:r>
              <w:rPr>
                <w:rFonts w:hint="eastAsia" w:ascii="宋体" w:hAnsi="宋体" w:eastAsia="宋体" w:cs="宋体"/>
                <w:sz w:val="20"/>
                <w:szCs w:val="20"/>
              </w:rPr>
              <w:t>2～6</w:t>
            </w:r>
          </w:p>
        </w:tc>
        <w:tc>
          <w:tcPr>
            <w:tcW w:w="775" w:type="dxa"/>
            <w:noWrap/>
            <w:tcMar>
              <w:top w:w="15" w:type="dxa"/>
              <w:left w:w="15" w:type="dxa"/>
              <w:right w:w="15" w:type="dxa"/>
            </w:tcMar>
            <w:vAlign w:val="center"/>
          </w:tcPr>
          <w:p>
            <w:pPr>
              <w:snapToGrid w:val="0"/>
              <w:jc w:val="center"/>
              <w:rPr>
                <w:rFonts w:ascii="宋体" w:hAnsi="宋体" w:eastAsia="宋体" w:cs="宋体"/>
                <w:kern w:val="2"/>
                <w:sz w:val="20"/>
                <w:szCs w:val="20"/>
              </w:rPr>
            </w:pPr>
            <w:r>
              <w:rPr>
                <w:rFonts w:hint="eastAsia" w:ascii="宋体" w:hAnsi="宋体" w:eastAsia="宋体" w:cs="宋体"/>
                <w:sz w:val="20"/>
                <w:szCs w:val="20"/>
              </w:rPr>
              <w:t>3～7</w:t>
            </w:r>
          </w:p>
        </w:tc>
        <w:tc>
          <w:tcPr>
            <w:tcW w:w="1014" w:type="dxa"/>
            <w:noWrap/>
            <w:tcMar>
              <w:top w:w="15" w:type="dxa"/>
              <w:left w:w="15" w:type="dxa"/>
              <w:right w:w="15" w:type="dxa"/>
            </w:tcMar>
            <w:vAlign w:val="center"/>
          </w:tcPr>
          <w:p>
            <w:pPr>
              <w:snapToGrid w:val="0"/>
              <w:jc w:val="center"/>
              <w:rPr>
                <w:rFonts w:ascii="宋体" w:hAnsi="宋体" w:eastAsia="宋体" w:cs="宋体"/>
                <w:kern w:val="2"/>
                <w:sz w:val="20"/>
                <w:szCs w:val="20"/>
              </w:rPr>
            </w:pPr>
            <w:r>
              <w:rPr>
                <w:rFonts w:hint="eastAsia" w:ascii="宋体" w:hAnsi="宋体" w:eastAsia="宋体" w:cs="宋体"/>
                <w:sz w:val="20"/>
                <w:szCs w:val="20"/>
              </w:rPr>
              <w:t>3～126</w:t>
            </w:r>
          </w:p>
        </w:tc>
        <w:tc>
          <w:tcPr>
            <w:tcW w:w="894" w:type="dxa"/>
            <w:noWrap/>
            <w:tcMar>
              <w:top w:w="15" w:type="dxa"/>
              <w:left w:w="15" w:type="dxa"/>
              <w:right w:w="15" w:type="dxa"/>
            </w:tcMar>
            <w:vAlign w:val="center"/>
          </w:tcPr>
          <w:p>
            <w:pPr>
              <w:snapToGrid w:val="0"/>
              <w:jc w:val="center"/>
              <w:rPr>
                <w:rFonts w:ascii="宋体" w:hAnsi="宋体" w:eastAsia="宋体" w:cs="宋体"/>
                <w:kern w:val="2"/>
                <w:sz w:val="20"/>
                <w:szCs w:val="20"/>
              </w:rPr>
            </w:pPr>
            <w:r>
              <w:rPr>
                <w:rFonts w:hint="eastAsia" w:ascii="宋体" w:hAnsi="宋体" w:eastAsia="宋体" w:cs="宋体"/>
                <w:sz w:val="20"/>
                <w:szCs w:val="20"/>
              </w:rPr>
              <w:t>低～一般</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683" w:type="dxa"/>
            <w:noWrap/>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ascii="宋体" w:hAnsi="宋体" w:eastAsia="宋体" w:cs="宋体"/>
                <w:sz w:val="20"/>
                <w:szCs w:val="20"/>
                <w:lang w:bidi="ar"/>
              </w:rPr>
              <w:t>43</w:t>
            </w:r>
          </w:p>
        </w:tc>
        <w:tc>
          <w:tcPr>
            <w:tcW w:w="1064" w:type="dxa"/>
            <w:vMerge w:val="continue"/>
            <w:tcMar>
              <w:top w:w="15" w:type="dxa"/>
              <w:left w:w="15" w:type="dxa"/>
              <w:right w:w="15" w:type="dxa"/>
            </w:tcMar>
            <w:vAlign w:val="center"/>
          </w:tcPr>
          <w:p>
            <w:pPr>
              <w:widowControl w:val="0"/>
              <w:snapToGrid w:val="0"/>
              <w:jc w:val="center"/>
              <w:rPr>
                <w:rFonts w:ascii="宋体" w:hAnsi="宋体" w:eastAsia="宋体" w:cs="宋体"/>
                <w:kern w:val="2"/>
                <w:sz w:val="20"/>
                <w:szCs w:val="20"/>
              </w:rPr>
            </w:pPr>
          </w:p>
        </w:tc>
        <w:tc>
          <w:tcPr>
            <w:tcW w:w="1103" w:type="dxa"/>
            <w:vMerge w:val="continue"/>
            <w:tcMar>
              <w:top w:w="15" w:type="dxa"/>
              <w:left w:w="15" w:type="dxa"/>
              <w:right w:w="15" w:type="dxa"/>
            </w:tcMar>
            <w:vAlign w:val="center"/>
          </w:tcPr>
          <w:p>
            <w:pPr>
              <w:widowControl w:val="0"/>
              <w:snapToGrid w:val="0"/>
              <w:jc w:val="center"/>
              <w:rPr>
                <w:rFonts w:ascii="宋体" w:hAnsi="宋体" w:eastAsia="宋体" w:cs="宋体"/>
                <w:kern w:val="2"/>
                <w:sz w:val="20"/>
                <w:szCs w:val="20"/>
              </w:rPr>
            </w:pPr>
          </w:p>
        </w:tc>
        <w:tc>
          <w:tcPr>
            <w:tcW w:w="1707" w:type="dxa"/>
            <w:tcMar>
              <w:top w:w="15" w:type="dxa"/>
              <w:left w:w="15" w:type="dxa"/>
              <w:right w:w="15" w:type="dxa"/>
            </w:tcMar>
            <w:vAlign w:val="center"/>
          </w:tcPr>
          <w:p>
            <w:pPr>
              <w:snapToGrid w:val="0"/>
              <w:jc w:val="center"/>
              <w:rPr>
                <w:rFonts w:ascii="宋体" w:hAnsi="宋体" w:eastAsia="宋体" w:cs="宋体"/>
                <w:kern w:val="2"/>
                <w:sz w:val="20"/>
                <w:szCs w:val="20"/>
              </w:rPr>
            </w:pPr>
            <w:r>
              <w:rPr>
                <w:rFonts w:hint="eastAsia" w:ascii="宋体" w:hAnsi="宋体" w:eastAsia="宋体" w:cs="宋体"/>
                <w:sz w:val="20"/>
                <w:szCs w:val="20"/>
              </w:rPr>
              <w:t>临边、临水部位</w:t>
            </w:r>
          </w:p>
        </w:tc>
        <w:tc>
          <w:tcPr>
            <w:tcW w:w="2410" w:type="dxa"/>
            <w:tcMar>
              <w:top w:w="15" w:type="dxa"/>
              <w:left w:w="15" w:type="dxa"/>
              <w:right w:w="15" w:type="dxa"/>
            </w:tcMar>
            <w:vAlign w:val="center"/>
          </w:tcPr>
          <w:p>
            <w:pPr>
              <w:snapToGrid w:val="0"/>
              <w:jc w:val="center"/>
              <w:rPr>
                <w:rFonts w:ascii="宋体" w:hAnsi="宋体" w:eastAsia="宋体" w:cs="宋体"/>
                <w:kern w:val="2"/>
                <w:sz w:val="20"/>
                <w:szCs w:val="20"/>
              </w:rPr>
            </w:pPr>
            <w:r>
              <w:rPr>
                <w:rFonts w:hint="eastAsia" w:ascii="宋体" w:hAnsi="宋体" w:eastAsia="宋体" w:cs="宋体"/>
                <w:sz w:val="20"/>
                <w:szCs w:val="20"/>
              </w:rPr>
              <w:t>防护措施不到位</w:t>
            </w:r>
          </w:p>
        </w:tc>
        <w:tc>
          <w:tcPr>
            <w:tcW w:w="2165" w:type="dxa"/>
            <w:tcMar>
              <w:top w:w="15" w:type="dxa"/>
              <w:left w:w="15" w:type="dxa"/>
              <w:right w:w="15" w:type="dxa"/>
            </w:tcMar>
            <w:vAlign w:val="center"/>
          </w:tcPr>
          <w:p>
            <w:pPr>
              <w:snapToGrid w:val="0"/>
              <w:jc w:val="center"/>
              <w:rPr>
                <w:rFonts w:ascii="宋体" w:hAnsi="宋体" w:eastAsia="宋体" w:cs="宋体"/>
                <w:kern w:val="2"/>
                <w:sz w:val="20"/>
                <w:szCs w:val="20"/>
              </w:rPr>
            </w:pPr>
            <w:r>
              <w:rPr>
                <w:rFonts w:hint="eastAsia" w:ascii="宋体" w:hAnsi="宋体" w:eastAsia="宋体" w:cs="宋体"/>
                <w:sz w:val="20"/>
                <w:szCs w:val="20"/>
              </w:rPr>
              <w:t>高处坠落、淹溺</w:t>
            </w:r>
          </w:p>
        </w:tc>
        <w:tc>
          <w:tcPr>
            <w:tcW w:w="889" w:type="dxa"/>
            <w:noWrap/>
            <w:tcMar>
              <w:top w:w="15" w:type="dxa"/>
              <w:left w:w="15" w:type="dxa"/>
              <w:right w:w="15" w:type="dxa"/>
            </w:tcMar>
            <w:vAlign w:val="center"/>
          </w:tcPr>
          <w:p>
            <w:pPr>
              <w:snapToGrid w:val="0"/>
              <w:jc w:val="center"/>
              <w:rPr>
                <w:rFonts w:ascii="宋体" w:hAnsi="宋体" w:eastAsia="宋体" w:cs="宋体"/>
                <w:kern w:val="2"/>
                <w:sz w:val="20"/>
                <w:szCs w:val="20"/>
              </w:rPr>
            </w:pPr>
            <w:r>
              <w:rPr>
                <w:rFonts w:hint="eastAsia" w:ascii="宋体" w:hAnsi="宋体" w:eastAsia="宋体" w:cs="宋体"/>
                <w:sz w:val="20"/>
                <w:szCs w:val="20"/>
              </w:rPr>
              <w:t>LEC法</w:t>
            </w:r>
          </w:p>
        </w:tc>
        <w:tc>
          <w:tcPr>
            <w:tcW w:w="904" w:type="dxa"/>
            <w:noWrap/>
            <w:tcMar>
              <w:top w:w="15" w:type="dxa"/>
              <w:left w:w="15" w:type="dxa"/>
              <w:right w:w="15" w:type="dxa"/>
            </w:tcMar>
            <w:vAlign w:val="center"/>
          </w:tcPr>
          <w:p>
            <w:pPr>
              <w:snapToGrid w:val="0"/>
              <w:jc w:val="center"/>
              <w:rPr>
                <w:rFonts w:ascii="宋体" w:hAnsi="宋体" w:eastAsia="宋体" w:cs="宋体"/>
                <w:kern w:val="2"/>
                <w:sz w:val="20"/>
                <w:szCs w:val="20"/>
              </w:rPr>
            </w:pPr>
            <w:r>
              <w:rPr>
                <w:rFonts w:hint="eastAsia" w:ascii="宋体" w:hAnsi="宋体" w:eastAsia="宋体" w:cs="宋体"/>
                <w:sz w:val="20"/>
                <w:szCs w:val="20"/>
              </w:rPr>
              <w:t>0.5～3</w:t>
            </w:r>
          </w:p>
        </w:tc>
        <w:tc>
          <w:tcPr>
            <w:tcW w:w="715" w:type="dxa"/>
            <w:tcMar>
              <w:top w:w="15" w:type="dxa"/>
              <w:left w:w="15" w:type="dxa"/>
              <w:right w:w="15" w:type="dxa"/>
            </w:tcMar>
            <w:vAlign w:val="center"/>
          </w:tcPr>
          <w:p>
            <w:pPr>
              <w:snapToGrid w:val="0"/>
              <w:jc w:val="center"/>
              <w:rPr>
                <w:rFonts w:ascii="宋体" w:hAnsi="宋体" w:eastAsia="宋体" w:cs="宋体"/>
                <w:kern w:val="2"/>
                <w:sz w:val="20"/>
                <w:szCs w:val="20"/>
              </w:rPr>
            </w:pPr>
            <w:r>
              <w:rPr>
                <w:rFonts w:hint="eastAsia" w:ascii="宋体" w:hAnsi="宋体" w:eastAsia="宋体" w:cs="宋体"/>
                <w:sz w:val="20"/>
                <w:szCs w:val="20"/>
              </w:rPr>
              <w:t>2～6</w:t>
            </w:r>
          </w:p>
        </w:tc>
        <w:tc>
          <w:tcPr>
            <w:tcW w:w="775" w:type="dxa"/>
            <w:noWrap/>
            <w:tcMar>
              <w:top w:w="15" w:type="dxa"/>
              <w:left w:w="15" w:type="dxa"/>
              <w:right w:w="15" w:type="dxa"/>
            </w:tcMar>
            <w:vAlign w:val="center"/>
          </w:tcPr>
          <w:p>
            <w:pPr>
              <w:snapToGrid w:val="0"/>
              <w:jc w:val="center"/>
              <w:rPr>
                <w:rFonts w:ascii="宋体" w:hAnsi="宋体" w:eastAsia="宋体" w:cs="宋体"/>
                <w:kern w:val="2"/>
                <w:sz w:val="20"/>
                <w:szCs w:val="20"/>
              </w:rPr>
            </w:pPr>
            <w:r>
              <w:rPr>
                <w:rFonts w:hint="eastAsia" w:ascii="宋体" w:hAnsi="宋体" w:eastAsia="宋体" w:cs="宋体"/>
                <w:sz w:val="20"/>
                <w:szCs w:val="20"/>
              </w:rPr>
              <w:t>3～7</w:t>
            </w:r>
          </w:p>
        </w:tc>
        <w:tc>
          <w:tcPr>
            <w:tcW w:w="1014" w:type="dxa"/>
            <w:noWrap/>
            <w:tcMar>
              <w:top w:w="15" w:type="dxa"/>
              <w:left w:w="15" w:type="dxa"/>
              <w:right w:w="15" w:type="dxa"/>
            </w:tcMar>
            <w:vAlign w:val="center"/>
          </w:tcPr>
          <w:p>
            <w:pPr>
              <w:snapToGrid w:val="0"/>
              <w:jc w:val="center"/>
              <w:rPr>
                <w:rFonts w:ascii="宋体" w:hAnsi="宋体" w:eastAsia="宋体" w:cs="宋体"/>
                <w:kern w:val="2"/>
                <w:sz w:val="20"/>
                <w:szCs w:val="20"/>
              </w:rPr>
            </w:pPr>
            <w:r>
              <w:rPr>
                <w:rFonts w:hint="eastAsia" w:ascii="宋体" w:hAnsi="宋体" w:eastAsia="宋体" w:cs="宋体"/>
                <w:sz w:val="20"/>
                <w:szCs w:val="20"/>
              </w:rPr>
              <w:t>3～126</w:t>
            </w:r>
          </w:p>
        </w:tc>
        <w:tc>
          <w:tcPr>
            <w:tcW w:w="894" w:type="dxa"/>
            <w:noWrap/>
            <w:tcMar>
              <w:top w:w="15" w:type="dxa"/>
              <w:left w:w="15" w:type="dxa"/>
              <w:right w:w="15" w:type="dxa"/>
            </w:tcMar>
            <w:vAlign w:val="center"/>
          </w:tcPr>
          <w:p>
            <w:pPr>
              <w:snapToGrid w:val="0"/>
              <w:jc w:val="center"/>
              <w:rPr>
                <w:rFonts w:ascii="宋体" w:hAnsi="宋体" w:eastAsia="宋体" w:cs="宋体"/>
                <w:kern w:val="2"/>
                <w:sz w:val="20"/>
                <w:szCs w:val="20"/>
              </w:rPr>
            </w:pPr>
            <w:r>
              <w:rPr>
                <w:rFonts w:hint="eastAsia" w:ascii="宋体" w:hAnsi="宋体" w:eastAsia="宋体" w:cs="宋体"/>
                <w:sz w:val="20"/>
                <w:szCs w:val="20"/>
              </w:rPr>
              <w:t>低～一般</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683" w:type="dxa"/>
            <w:noWrap/>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ascii="宋体" w:hAnsi="宋体" w:eastAsia="宋体" w:cs="宋体"/>
                <w:sz w:val="20"/>
                <w:szCs w:val="20"/>
                <w:lang w:bidi="ar"/>
              </w:rPr>
              <w:t>44</w:t>
            </w:r>
          </w:p>
        </w:tc>
        <w:tc>
          <w:tcPr>
            <w:tcW w:w="1064" w:type="dxa"/>
            <w:vMerge w:val="continue"/>
            <w:tcMar>
              <w:top w:w="15" w:type="dxa"/>
              <w:left w:w="15" w:type="dxa"/>
              <w:right w:w="15" w:type="dxa"/>
            </w:tcMar>
            <w:vAlign w:val="center"/>
          </w:tcPr>
          <w:p>
            <w:pPr>
              <w:widowControl w:val="0"/>
              <w:snapToGrid w:val="0"/>
              <w:jc w:val="center"/>
              <w:rPr>
                <w:rFonts w:ascii="宋体" w:hAnsi="宋体" w:eastAsia="宋体" w:cs="宋体"/>
                <w:kern w:val="2"/>
                <w:sz w:val="20"/>
                <w:szCs w:val="20"/>
              </w:rPr>
            </w:pPr>
          </w:p>
        </w:tc>
        <w:tc>
          <w:tcPr>
            <w:tcW w:w="1103" w:type="dxa"/>
            <w:vMerge w:val="continue"/>
            <w:tcMar>
              <w:top w:w="15" w:type="dxa"/>
              <w:left w:w="15" w:type="dxa"/>
              <w:right w:w="15" w:type="dxa"/>
            </w:tcMar>
            <w:vAlign w:val="center"/>
          </w:tcPr>
          <w:p>
            <w:pPr>
              <w:widowControl w:val="0"/>
              <w:snapToGrid w:val="0"/>
              <w:jc w:val="center"/>
              <w:rPr>
                <w:rFonts w:ascii="宋体" w:hAnsi="宋体" w:eastAsia="宋体" w:cs="宋体"/>
                <w:kern w:val="2"/>
                <w:sz w:val="20"/>
                <w:szCs w:val="20"/>
              </w:rPr>
            </w:pPr>
          </w:p>
        </w:tc>
        <w:tc>
          <w:tcPr>
            <w:tcW w:w="1707" w:type="dxa"/>
            <w:tcMar>
              <w:top w:w="15" w:type="dxa"/>
              <w:left w:w="15" w:type="dxa"/>
              <w:right w:w="15" w:type="dxa"/>
            </w:tcMar>
            <w:vAlign w:val="center"/>
          </w:tcPr>
          <w:p>
            <w:pPr>
              <w:snapToGrid w:val="0"/>
              <w:jc w:val="center"/>
              <w:rPr>
                <w:rFonts w:ascii="宋体" w:hAnsi="宋体" w:eastAsia="宋体" w:cs="宋体"/>
                <w:kern w:val="2"/>
                <w:sz w:val="20"/>
                <w:szCs w:val="20"/>
              </w:rPr>
            </w:pPr>
            <w:r>
              <w:rPr>
                <w:rFonts w:hint="eastAsia" w:ascii="宋体" w:hAnsi="宋体" w:eastAsia="宋体" w:cs="宋体"/>
                <w:sz w:val="20"/>
                <w:szCs w:val="20"/>
              </w:rPr>
              <w:t>人员密集活动</w:t>
            </w:r>
          </w:p>
        </w:tc>
        <w:tc>
          <w:tcPr>
            <w:tcW w:w="2410" w:type="dxa"/>
            <w:tcMar>
              <w:top w:w="15" w:type="dxa"/>
              <w:left w:w="15" w:type="dxa"/>
              <w:right w:w="15" w:type="dxa"/>
            </w:tcMar>
            <w:vAlign w:val="center"/>
          </w:tcPr>
          <w:p>
            <w:pPr>
              <w:snapToGrid w:val="0"/>
              <w:jc w:val="center"/>
              <w:rPr>
                <w:rFonts w:ascii="宋体" w:hAnsi="宋体" w:eastAsia="宋体" w:cs="宋体"/>
                <w:kern w:val="2"/>
                <w:sz w:val="20"/>
                <w:szCs w:val="20"/>
              </w:rPr>
            </w:pPr>
            <w:r>
              <w:rPr>
                <w:rFonts w:hint="eastAsia" w:ascii="宋体" w:hAnsi="宋体" w:eastAsia="宋体" w:cs="宋体"/>
                <w:sz w:val="20"/>
                <w:szCs w:val="20"/>
              </w:rPr>
              <w:t>拥挤、踩踏</w:t>
            </w:r>
          </w:p>
        </w:tc>
        <w:tc>
          <w:tcPr>
            <w:tcW w:w="2165" w:type="dxa"/>
            <w:tcMar>
              <w:top w:w="15" w:type="dxa"/>
              <w:left w:w="15" w:type="dxa"/>
              <w:right w:w="15" w:type="dxa"/>
            </w:tcMar>
            <w:vAlign w:val="center"/>
          </w:tcPr>
          <w:p>
            <w:pPr>
              <w:snapToGrid w:val="0"/>
              <w:jc w:val="center"/>
              <w:rPr>
                <w:rFonts w:ascii="宋体" w:hAnsi="宋体" w:eastAsia="宋体" w:cs="宋体"/>
                <w:kern w:val="2"/>
                <w:sz w:val="20"/>
                <w:szCs w:val="20"/>
              </w:rPr>
            </w:pPr>
            <w:r>
              <w:rPr>
                <w:rFonts w:hint="eastAsia" w:ascii="宋体" w:hAnsi="宋体" w:eastAsia="宋体" w:cs="宋体"/>
                <w:sz w:val="20"/>
                <w:szCs w:val="20"/>
              </w:rPr>
              <w:t>人员伤亡</w:t>
            </w:r>
          </w:p>
        </w:tc>
        <w:tc>
          <w:tcPr>
            <w:tcW w:w="889" w:type="dxa"/>
            <w:noWrap/>
            <w:tcMar>
              <w:top w:w="15" w:type="dxa"/>
              <w:left w:w="15" w:type="dxa"/>
              <w:right w:w="15" w:type="dxa"/>
            </w:tcMar>
            <w:vAlign w:val="center"/>
          </w:tcPr>
          <w:p>
            <w:pPr>
              <w:snapToGrid w:val="0"/>
              <w:jc w:val="center"/>
              <w:rPr>
                <w:rFonts w:ascii="宋体" w:hAnsi="宋体" w:eastAsia="宋体" w:cs="宋体"/>
                <w:kern w:val="2"/>
                <w:sz w:val="20"/>
                <w:szCs w:val="20"/>
              </w:rPr>
            </w:pPr>
            <w:r>
              <w:rPr>
                <w:rFonts w:hint="eastAsia" w:ascii="宋体" w:hAnsi="宋体" w:eastAsia="宋体" w:cs="宋体"/>
                <w:sz w:val="20"/>
                <w:szCs w:val="20"/>
              </w:rPr>
              <w:t>LEC法</w:t>
            </w:r>
          </w:p>
        </w:tc>
        <w:tc>
          <w:tcPr>
            <w:tcW w:w="904" w:type="dxa"/>
            <w:noWrap/>
            <w:tcMar>
              <w:top w:w="15" w:type="dxa"/>
              <w:left w:w="15" w:type="dxa"/>
              <w:right w:w="15" w:type="dxa"/>
            </w:tcMar>
            <w:vAlign w:val="center"/>
          </w:tcPr>
          <w:p>
            <w:pPr>
              <w:snapToGrid w:val="0"/>
              <w:jc w:val="center"/>
              <w:rPr>
                <w:rFonts w:ascii="宋体" w:hAnsi="宋体" w:eastAsia="宋体" w:cs="宋体"/>
                <w:kern w:val="2"/>
                <w:sz w:val="20"/>
                <w:szCs w:val="20"/>
              </w:rPr>
            </w:pPr>
            <w:r>
              <w:rPr>
                <w:rFonts w:hint="eastAsia" w:ascii="宋体" w:hAnsi="宋体" w:eastAsia="宋体" w:cs="宋体"/>
                <w:sz w:val="20"/>
                <w:szCs w:val="20"/>
              </w:rPr>
              <w:t>0.5～3</w:t>
            </w:r>
          </w:p>
        </w:tc>
        <w:tc>
          <w:tcPr>
            <w:tcW w:w="715" w:type="dxa"/>
            <w:tcMar>
              <w:top w:w="15" w:type="dxa"/>
              <w:left w:w="15" w:type="dxa"/>
              <w:right w:w="15" w:type="dxa"/>
            </w:tcMar>
            <w:vAlign w:val="center"/>
          </w:tcPr>
          <w:p>
            <w:pPr>
              <w:snapToGrid w:val="0"/>
              <w:jc w:val="center"/>
              <w:rPr>
                <w:rFonts w:ascii="宋体" w:hAnsi="宋体" w:eastAsia="宋体" w:cs="宋体"/>
                <w:kern w:val="2"/>
                <w:sz w:val="20"/>
                <w:szCs w:val="20"/>
              </w:rPr>
            </w:pPr>
            <w:r>
              <w:rPr>
                <w:rFonts w:hint="eastAsia" w:ascii="宋体" w:hAnsi="宋体" w:eastAsia="宋体" w:cs="宋体"/>
                <w:sz w:val="20"/>
                <w:szCs w:val="20"/>
              </w:rPr>
              <w:t>2～6</w:t>
            </w:r>
          </w:p>
        </w:tc>
        <w:tc>
          <w:tcPr>
            <w:tcW w:w="775" w:type="dxa"/>
            <w:noWrap/>
            <w:tcMar>
              <w:top w:w="15" w:type="dxa"/>
              <w:left w:w="15" w:type="dxa"/>
              <w:right w:w="15" w:type="dxa"/>
            </w:tcMar>
            <w:vAlign w:val="center"/>
          </w:tcPr>
          <w:p>
            <w:pPr>
              <w:snapToGrid w:val="0"/>
              <w:jc w:val="center"/>
              <w:rPr>
                <w:rFonts w:ascii="宋体" w:hAnsi="宋体" w:eastAsia="宋体" w:cs="宋体"/>
                <w:kern w:val="2"/>
                <w:sz w:val="20"/>
                <w:szCs w:val="20"/>
              </w:rPr>
            </w:pPr>
            <w:r>
              <w:rPr>
                <w:rFonts w:hint="eastAsia" w:ascii="宋体" w:hAnsi="宋体" w:eastAsia="宋体" w:cs="宋体"/>
                <w:sz w:val="20"/>
                <w:szCs w:val="20"/>
              </w:rPr>
              <w:t>3～7</w:t>
            </w:r>
          </w:p>
        </w:tc>
        <w:tc>
          <w:tcPr>
            <w:tcW w:w="1014" w:type="dxa"/>
            <w:noWrap/>
            <w:tcMar>
              <w:top w:w="15" w:type="dxa"/>
              <w:left w:w="15" w:type="dxa"/>
              <w:right w:w="15" w:type="dxa"/>
            </w:tcMar>
            <w:vAlign w:val="center"/>
          </w:tcPr>
          <w:p>
            <w:pPr>
              <w:snapToGrid w:val="0"/>
              <w:jc w:val="center"/>
              <w:rPr>
                <w:rFonts w:ascii="宋体" w:hAnsi="宋体" w:eastAsia="宋体" w:cs="宋体"/>
                <w:kern w:val="2"/>
                <w:sz w:val="20"/>
                <w:szCs w:val="20"/>
              </w:rPr>
            </w:pPr>
            <w:r>
              <w:rPr>
                <w:rFonts w:hint="eastAsia" w:ascii="宋体" w:hAnsi="宋体" w:eastAsia="宋体" w:cs="宋体"/>
                <w:sz w:val="20"/>
                <w:szCs w:val="20"/>
              </w:rPr>
              <w:t>3～126</w:t>
            </w:r>
          </w:p>
        </w:tc>
        <w:tc>
          <w:tcPr>
            <w:tcW w:w="894" w:type="dxa"/>
            <w:noWrap/>
            <w:tcMar>
              <w:top w:w="15" w:type="dxa"/>
              <w:left w:w="15" w:type="dxa"/>
              <w:right w:w="15" w:type="dxa"/>
            </w:tcMar>
            <w:vAlign w:val="center"/>
          </w:tcPr>
          <w:p>
            <w:pPr>
              <w:snapToGrid w:val="0"/>
              <w:jc w:val="center"/>
              <w:rPr>
                <w:rFonts w:ascii="宋体" w:hAnsi="宋体" w:eastAsia="宋体" w:cs="宋体"/>
                <w:kern w:val="2"/>
                <w:sz w:val="20"/>
                <w:szCs w:val="20"/>
              </w:rPr>
            </w:pPr>
            <w:r>
              <w:rPr>
                <w:rFonts w:hint="eastAsia" w:ascii="宋体" w:hAnsi="宋体" w:eastAsia="宋体" w:cs="宋体"/>
                <w:sz w:val="20"/>
                <w:szCs w:val="20"/>
              </w:rPr>
              <w:t>低～一般</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683" w:type="dxa"/>
            <w:noWrap/>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ascii="宋体" w:hAnsi="宋体" w:eastAsia="宋体" w:cs="宋体"/>
                <w:sz w:val="20"/>
                <w:szCs w:val="20"/>
                <w:lang w:bidi="ar"/>
              </w:rPr>
              <w:t>45</w:t>
            </w:r>
          </w:p>
        </w:tc>
        <w:tc>
          <w:tcPr>
            <w:tcW w:w="1064" w:type="dxa"/>
            <w:vMerge w:val="continue"/>
            <w:tcMar>
              <w:top w:w="15" w:type="dxa"/>
              <w:left w:w="15" w:type="dxa"/>
              <w:right w:w="15" w:type="dxa"/>
            </w:tcMar>
            <w:vAlign w:val="center"/>
          </w:tcPr>
          <w:p>
            <w:pPr>
              <w:widowControl w:val="0"/>
              <w:snapToGrid w:val="0"/>
              <w:jc w:val="center"/>
              <w:rPr>
                <w:rFonts w:ascii="宋体" w:hAnsi="宋体" w:eastAsia="宋体" w:cs="宋体"/>
                <w:kern w:val="2"/>
                <w:sz w:val="20"/>
                <w:szCs w:val="20"/>
              </w:rPr>
            </w:pPr>
          </w:p>
        </w:tc>
        <w:tc>
          <w:tcPr>
            <w:tcW w:w="1103" w:type="dxa"/>
            <w:vMerge w:val="continue"/>
            <w:tcMar>
              <w:top w:w="15" w:type="dxa"/>
              <w:left w:w="15" w:type="dxa"/>
              <w:right w:w="15" w:type="dxa"/>
            </w:tcMar>
            <w:vAlign w:val="center"/>
          </w:tcPr>
          <w:p>
            <w:pPr>
              <w:widowControl w:val="0"/>
              <w:snapToGrid w:val="0"/>
              <w:jc w:val="center"/>
              <w:rPr>
                <w:rFonts w:ascii="宋体" w:hAnsi="宋体" w:eastAsia="宋体" w:cs="宋体"/>
                <w:kern w:val="2"/>
                <w:sz w:val="20"/>
                <w:szCs w:val="20"/>
              </w:rPr>
            </w:pPr>
          </w:p>
        </w:tc>
        <w:tc>
          <w:tcPr>
            <w:tcW w:w="1707" w:type="dxa"/>
            <w:tcMar>
              <w:top w:w="15" w:type="dxa"/>
              <w:left w:w="15" w:type="dxa"/>
              <w:right w:w="15" w:type="dxa"/>
            </w:tcMar>
            <w:vAlign w:val="center"/>
          </w:tcPr>
          <w:p>
            <w:pPr>
              <w:snapToGrid w:val="0"/>
              <w:jc w:val="center"/>
              <w:rPr>
                <w:rFonts w:ascii="宋体" w:hAnsi="宋体" w:eastAsia="宋体" w:cs="宋体"/>
                <w:kern w:val="2"/>
                <w:sz w:val="20"/>
                <w:szCs w:val="20"/>
              </w:rPr>
            </w:pPr>
            <w:r>
              <w:rPr>
                <w:rFonts w:hint="eastAsia" w:ascii="宋体" w:hAnsi="宋体" w:eastAsia="宋体" w:cs="宋体"/>
                <w:sz w:val="20"/>
                <w:szCs w:val="20"/>
              </w:rPr>
              <w:t>可燃物堆积</w:t>
            </w:r>
          </w:p>
        </w:tc>
        <w:tc>
          <w:tcPr>
            <w:tcW w:w="2410" w:type="dxa"/>
            <w:tcMar>
              <w:top w:w="15" w:type="dxa"/>
              <w:left w:w="15" w:type="dxa"/>
              <w:right w:w="15" w:type="dxa"/>
            </w:tcMar>
            <w:vAlign w:val="center"/>
          </w:tcPr>
          <w:p>
            <w:pPr>
              <w:snapToGrid w:val="0"/>
              <w:jc w:val="center"/>
              <w:rPr>
                <w:rFonts w:ascii="宋体" w:hAnsi="宋体" w:eastAsia="宋体" w:cs="宋体"/>
                <w:kern w:val="2"/>
                <w:sz w:val="20"/>
                <w:szCs w:val="20"/>
              </w:rPr>
            </w:pPr>
            <w:r>
              <w:rPr>
                <w:rFonts w:hint="eastAsia" w:ascii="宋体" w:hAnsi="宋体" w:eastAsia="宋体" w:cs="宋体"/>
                <w:sz w:val="20"/>
                <w:szCs w:val="20"/>
              </w:rPr>
              <w:t>明火</w:t>
            </w:r>
          </w:p>
        </w:tc>
        <w:tc>
          <w:tcPr>
            <w:tcW w:w="2165" w:type="dxa"/>
            <w:tcMar>
              <w:top w:w="15" w:type="dxa"/>
              <w:left w:w="15" w:type="dxa"/>
              <w:right w:w="15" w:type="dxa"/>
            </w:tcMar>
            <w:vAlign w:val="center"/>
          </w:tcPr>
          <w:p>
            <w:pPr>
              <w:snapToGrid w:val="0"/>
              <w:jc w:val="center"/>
              <w:rPr>
                <w:rFonts w:ascii="宋体" w:hAnsi="宋体" w:eastAsia="宋体" w:cs="宋体"/>
                <w:kern w:val="2"/>
                <w:sz w:val="20"/>
                <w:szCs w:val="20"/>
              </w:rPr>
            </w:pPr>
            <w:r>
              <w:rPr>
                <w:rFonts w:hint="eastAsia" w:ascii="宋体" w:hAnsi="宋体" w:eastAsia="宋体" w:cs="宋体"/>
                <w:sz w:val="20"/>
                <w:szCs w:val="20"/>
              </w:rPr>
              <w:t>火灾</w:t>
            </w:r>
          </w:p>
        </w:tc>
        <w:tc>
          <w:tcPr>
            <w:tcW w:w="889" w:type="dxa"/>
            <w:noWrap/>
            <w:tcMar>
              <w:top w:w="15" w:type="dxa"/>
              <w:left w:w="15" w:type="dxa"/>
              <w:right w:w="15" w:type="dxa"/>
            </w:tcMar>
            <w:vAlign w:val="center"/>
          </w:tcPr>
          <w:p>
            <w:pPr>
              <w:snapToGrid w:val="0"/>
              <w:jc w:val="center"/>
              <w:rPr>
                <w:rFonts w:ascii="宋体" w:hAnsi="宋体" w:eastAsia="宋体" w:cs="宋体"/>
                <w:kern w:val="2"/>
                <w:sz w:val="20"/>
                <w:szCs w:val="20"/>
              </w:rPr>
            </w:pPr>
            <w:r>
              <w:rPr>
                <w:rFonts w:hint="eastAsia" w:ascii="宋体" w:hAnsi="宋体" w:eastAsia="宋体" w:cs="宋体"/>
                <w:sz w:val="20"/>
                <w:szCs w:val="20"/>
              </w:rPr>
              <w:t>LEC法</w:t>
            </w:r>
          </w:p>
        </w:tc>
        <w:tc>
          <w:tcPr>
            <w:tcW w:w="904" w:type="dxa"/>
            <w:noWrap/>
            <w:tcMar>
              <w:top w:w="15" w:type="dxa"/>
              <w:left w:w="15" w:type="dxa"/>
              <w:right w:w="15" w:type="dxa"/>
            </w:tcMar>
            <w:vAlign w:val="center"/>
          </w:tcPr>
          <w:p>
            <w:pPr>
              <w:snapToGrid w:val="0"/>
              <w:jc w:val="center"/>
              <w:rPr>
                <w:rFonts w:ascii="宋体" w:hAnsi="宋体" w:eastAsia="宋体" w:cs="宋体"/>
                <w:kern w:val="2"/>
                <w:sz w:val="20"/>
                <w:szCs w:val="20"/>
              </w:rPr>
            </w:pPr>
            <w:r>
              <w:rPr>
                <w:rFonts w:hint="eastAsia" w:ascii="宋体" w:hAnsi="宋体" w:eastAsia="宋体" w:cs="宋体"/>
                <w:sz w:val="20"/>
                <w:szCs w:val="20"/>
              </w:rPr>
              <w:t>0.5～3</w:t>
            </w:r>
          </w:p>
        </w:tc>
        <w:tc>
          <w:tcPr>
            <w:tcW w:w="715" w:type="dxa"/>
            <w:tcMar>
              <w:top w:w="15" w:type="dxa"/>
              <w:left w:w="15" w:type="dxa"/>
              <w:right w:w="15" w:type="dxa"/>
            </w:tcMar>
            <w:vAlign w:val="center"/>
          </w:tcPr>
          <w:p>
            <w:pPr>
              <w:snapToGrid w:val="0"/>
              <w:jc w:val="center"/>
              <w:rPr>
                <w:rFonts w:ascii="宋体" w:hAnsi="宋体" w:eastAsia="宋体" w:cs="宋体"/>
                <w:kern w:val="2"/>
                <w:sz w:val="20"/>
                <w:szCs w:val="20"/>
              </w:rPr>
            </w:pPr>
            <w:r>
              <w:rPr>
                <w:rFonts w:hint="eastAsia" w:ascii="宋体" w:hAnsi="宋体" w:eastAsia="宋体" w:cs="宋体"/>
                <w:sz w:val="20"/>
                <w:szCs w:val="20"/>
              </w:rPr>
              <w:t>2～6</w:t>
            </w:r>
          </w:p>
        </w:tc>
        <w:tc>
          <w:tcPr>
            <w:tcW w:w="775" w:type="dxa"/>
            <w:noWrap/>
            <w:tcMar>
              <w:top w:w="15" w:type="dxa"/>
              <w:left w:w="15" w:type="dxa"/>
              <w:right w:w="15" w:type="dxa"/>
            </w:tcMar>
            <w:vAlign w:val="center"/>
          </w:tcPr>
          <w:p>
            <w:pPr>
              <w:snapToGrid w:val="0"/>
              <w:jc w:val="center"/>
              <w:rPr>
                <w:rFonts w:ascii="宋体" w:hAnsi="宋体" w:eastAsia="宋体" w:cs="宋体"/>
                <w:kern w:val="2"/>
                <w:sz w:val="20"/>
                <w:szCs w:val="20"/>
              </w:rPr>
            </w:pPr>
            <w:r>
              <w:rPr>
                <w:rFonts w:hint="eastAsia" w:ascii="宋体" w:hAnsi="宋体" w:eastAsia="宋体" w:cs="宋体"/>
                <w:sz w:val="20"/>
                <w:szCs w:val="20"/>
              </w:rPr>
              <w:t>3～7</w:t>
            </w:r>
          </w:p>
        </w:tc>
        <w:tc>
          <w:tcPr>
            <w:tcW w:w="1014" w:type="dxa"/>
            <w:tcMar>
              <w:top w:w="15" w:type="dxa"/>
              <w:left w:w="15" w:type="dxa"/>
              <w:right w:w="15" w:type="dxa"/>
            </w:tcMar>
            <w:vAlign w:val="center"/>
          </w:tcPr>
          <w:p>
            <w:pPr>
              <w:snapToGrid w:val="0"/>
              <w:jc w:val="center"/>
              <w:rPr>
                <w:rFonts w:ascii="宋体" w:hAnsi="宋体" w:eastAsia="宋体" w:cs="宋体"/>
                <w:kern w:val="2"/>
                <w:sz w:val="20"/>
                <w:szCs w:val="20"/>
              </w:rPr>
            </w:pPr>
            <w:r>
              <w:rPr>
                <w:rFonts w:hint="eastAsia" w:ascii="宋体" w:hAnsi="宋体" w:eastAsia="宋体" w:cs="宋体"/>
                <w:sz w:val="20"/>
                <w:szCs w:val="20"/>
              </w:rPr>
              <w:t>3～126</w:t>
            </w:r>
          </w:p>
        </w:tc>
        <w:tc>
          <w:tcPr>
            <w:tcW w:w="894" w:type="dxa"/>
            <w:tcMar>
              <w:top w:w="15" w:type="dxa"/>
              <w:left w:w="15" w:type="dxa"/>
              <w:right w:w="15" w:type="dxa"/>
            </w:tcMar>
            <w:vAlign w:val="center"/>
          </w:tcPr>
          <w:p>
            <w:pPr>
              <w:snapToGrid w:val="0"/>
              <w:jc w:val="center"/>
              <w:rPr>
                <w:rFonts w:ascii="宋体" w:hAnsi="宋体" w:eastAsia="宋体" w:cs="宋体"/>
                <w:kern w:val="2"/>
                <w:sz w:val="20"/>
                <w:szCs w:val="20"/>
              </w:rPr>
            </w:pPr>
            <w:r>
              <w:rPr>
                <w:rFonts w:hint="eastAsia" w:ascii="宋体" w:hAnsi="宋体" w:eastAsia="宋体" w:cs="宋体"/>
                <w:sz w:val="20"/>
                <w:szCs w:val="20"/>
              </w:rPr>
              <w:t>低～一般</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683" w:type="dxa"/>
            <w:noWrap/>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ascii="宋体" w:hAnsi="宋体" w:eastAsia="宋体" w:cs="宋体"/>
                <w:sz w:val="20"/>
                <w:szCs w:val="20"/>
                <w:lang w:bidi="ar"/>
              </w:rPr>
              <w:t>46</w:t>
            </w:r>
          </w:p>
        </w:tc>
        <w:tc>
          <w:tcPr>
            <w:tcW w:w="1064" w:type="dxa"/>
            <w:vMerge w:val="continue"/>
            <w:tcMar>
              <w:top w:w="15" w:type="dxa"/>
              <w:left w:w="15" w:type="dxa"/>
              <w:right w:w="15" w:type="dxa"/>
            </w:tcMar>
            <w:vAlign w:val="center"/>
          </w:tcPr>
          <w:p>
            <w:pPr>
              <w:widowControl w:val="0"/>
              <w:snapToGrid w:val="0"/>
              <w:jc w:val="center"/>
              <w:rPr>
                <w:rFonts w:ascii="宋体" w:hAnsi="宋体" w:eastAsia="宋体" w:cs="宋体"/>
                <w:kern w:val="2"/>
                <w:sz w:val="20"/>
                <w:szCs w:val="20"/>
              </w:rPr>
            </w:pPr>
          </w:p>
        </w:tc>
        <w:tc>
          <w:tcPr>
            <w:tcW w:w="1103" w:type="dxa"/>
            <w:vMerge w:val="continue"/>
            <w:tcMar>
              <w:top w:w="15" w:type="dxa"/>
              <w:left w:w="15" w:type="dxa"/>
              <w:right w:w="15" w:type="dxa"/>
            </w:tcMar>
            <w:vAlign w:val="center"/>
          </w:tcPr>
          <w:p>
            <w:pPr>
              <w:widowControl w:val="0"/>
              <w:snapToGrid w:val="0"/>
              <w:jc w:val="center"/>
              <w:rPr>
                <w:rFonts w:ascii="宋体" w:hAnsi="宋体" w:eastAsia="宋体" w:cs="宋体"/>
                <w:kern w:val="2"/>
                <w:sz w:val="20"/>
                <w:szCs w:val="20"/>
              </w:rPr>
            </w:pPr>
          </w:p>
        </w:tc>
        <w:tc>
          <w:tcPr>
            <w:tcW w:w="1707" w:type="dxa"/>
            <w:tcMar>
              <w:top w:w="15" w:type="dxa"/>
              <w:left w:w="15" w:type="dxa"/>
              <w:right w:w="15" w:type="dxa"/>
            </w:tcMar>
            <w:vAlign w:val="center"/>
          </w:tcPr>
          <w:p>
            <w:pPr>
              <w:snapToGrid w:val="0"/>
              <w:jc w:val="center"/>
              <w:rPr>
                <w:rFonts w:ascii="宋体" w:hAnsi="宋体" w:eastAsia="宋体" w:cs="宋体"/>
                <w:kern w:val="2"/>
                <w:sz w:val="20"/>
                <w:szCs w:val="20"/>
              </w:rPr>
            </w:pPr>
            <w:r>
              <w:rPr>
                <w:rFonts w:hint="eastAsia" w:ascii="宋体" w:hAnsi="宋体" w:eastAsia="宋体" w:cs="宋体"/>
                <w:sz w:val="20"/>
                <w:szCs w:val="20"/>
              </w:rPr>
              <w:t>电源插座</w:t>
            </w:r>
          </w:p>
        </w:tc>
        <w:tc>
          <w:tcPr>
            <w:tcW w:w="2410" w:type="dxa"/>
            <w:tcMar>
              <w:top w:w="15" w:type="dxa"/>
              <w:left w:w="15" w:type="dxa"/>
              <w:right w:w="15" w:type="dxa"/>
            </w:tcMar>
            <w:vAlign w:val="center"/>
          </w:tcPr>
          <w:p>
            <w:pPr>
              <w:snapToGrid w:val="0"/>
              <w:jc w:val="center"/>
              <w:rPr>
                <w:rFonts w:ascii="宋体" w:hAnsi="宋体" w:eastAsia="宋体" w:cs="宋体"/>
                <w:kern w:val="2"/>
                <w:sz w:val="20"/>
                <w:szCs w:val="20"/>
              </w:rPr>
            </w:pPr>
            <w:r>
              <w:rPr>
                <w:rFonts w:hint="eastAsia" w:ascii="宋体" w:hAnsi="宋体" w:eastAsia="宋体" w:cs="宋体"/>
                <w:sz w:val="20"/>
                <w:szCs w:val="20"/>
              </w:rPr>
              <w:t>漏电、短路、线路老化等</w:t>
            </w:r>
          </w:p>
        </w:tc>
        <w:tc>
          <w:tcPr>
            <w:tcW w:w="2165" w:type="dxa"/>
            <w:tcMar>
              <w:top w:w="15" w:type="dxa"/>
              <w:left w:w="15" w:type="dxa"/>
              <w:right w:w="15" w:type="dxa"/>
            </w:tcMar>
            <w:vAlign w:val="center"/>
          </w:tcPr>
          <w:p>
            <w:pPr>
              <w:snapToGrid w:val="0"/>
              <w:jc w:val="center"/>
              <w:rPr>
                <w:rFonts w:ascii="宋体" w:hAnsi="宋体" w:eastAsia="宋体" w:cs="宋体"/>
                <w:kern w:val="2"/>
                <w:sz w:val="20"/>
                <w:szCs w:val="20"/>
              </w:rPr>
            </w:pPr>
            <w:r>
              <w:rPr>
                <w:rFonts w:hint="eastAsia" w:ascii="宋体" w:hAnsi="宋体" w:eastAsia="宋体" w:cs="宋体"/>
                <w:sz w:val="20"/>
                <w:szCs w:val="20"/>
              </w:rPr>
              <w:t>火灾、触电</w:t>
            </w:r>
          </w:p>
        </w:tc>
        <w:tc>
          <w:tcPr>
            <w:tcW w:w="889" w:type="dxa"/>
            <w:noWrap/>
            <w:tcMar>
              <w:top w:w="15" w:type="dxa"/>
              <w:left w:w="15" w:type="dxa"/>
              <w:right w:w="15" w:type="dxa"/>
            </w:tcMar>
            <w:vAlign w:val="center"/>
          </w:tcPr>
          <w:p>
            <w:pPr>
              <w:snapToGrid w:val="0"/>
              <w:jc w:val="center"/>
              <w:rPr>
                <w:rFonts w:ascii="宋体" w:hAnsi="宋体" w:eastAsia="宋体" w:cs="宋体"/>
                <w:kern w:val="2"/>
                <w:sz w:val="20"/>
                <w:szCs w:val="20"/>
              </w:rPr>
            </w:pPr>
            <w:r>
              <w:rPr>
                <w:rFonts w:hint="eastAsia" w:ascii="宋体" w:hAnsi="宋体" w:eastAsia="宋体" w:cs="宋体"/>
                <w:sz w:val="20"/>
                <w:szCs w:val="20"/>
              </w:rPr>
              <w:t>LEC法</w:t>
            </w:r>
          </w:p>
        </w:tc>
        <w:tc>
          <w:tcPr>
            <w:tcW w:w="904" w:type="dxa"/>
            <w:noWrap/>
            <w:tcMar>
              <w:top w:w="15" w:type="dxa"/>
              <w:left w:w="15" w:type="dxa"/>
              <w:right w:w="15" w:type="dxa"/>
            </w:tcMar>
            <w:vAlign w:val="center"/>
          </w:tcPr>
          <w:p>
            <w:pPr>
              <w:snapToGrid w:val="0"/>
              <w:jc w:val="center"/>
              <w:rPr>
                <w:rFonts w:ascii="宋体" w:hAnsi="宋体" w:eastAsia="宋体" w:cs="宋体"/>
                <w:kern w:val="2"/>
                <w:sz w:val="20"/>
                <w:szCs w:val="20"/>
              </w:rPr>
            </w:pPr>
            <w:r>
              <w:rPr>
                <w:rFonts w:hint="eastAsia" w:ascii="宋体" w:hAnsi="宋体" w:eastAsia="宋体" w:cs="宋体"/>
                <w:sz w:val="20"/>
                <w:szCs w:val="20"/>
              </w:rPr>
              <w:t>0.5～3</w:t>
            </w:r>
          </w:p>
        </w:tc>
        <w:tc>
          <w:tcPr>
            <w:tcW w:w="715" w:type="dxa"/>
            <w:tcMar>
              <w:top w:w="15" w:type="dxa"/>
              <w:left w:w="15" w:type="dxa"/>
              <w:right w:w="15" w:type="dxa"/>
            </w:tcMar>
            <w:vAlign w:val="center"/>
          </w:tcPr>
          <w:p>
            <w:pPr>
              <w:snapToGrid w:val="0"/>
              <w:jc w:val="center"/>
              <w:rPr>
                <w:rFonts w:ascii="宋体" w:hAnsi="宋体" w:eastAsia="宋体" w:cs="宋体"/>
                <w:kern w:val="2"/>
                <w:sz w:val="20"/>
                <w:szCs w:val="20"/>
              </w:rPr>
            </w:pPr>
            <w:r>
              <w:rPr>
                <w:rFonts w:hint="eastAsia" w:ascii="宋体" w:hAnsi="宋体" w:eastAsia="宋体" w:cs="宋体"/>
                <w:sz w:val="20"/>
                <w:szCs w:val="20"/>
              </w:rPr>
              <w:t>2～6</w:t>
            </w:r>
          </w:p>
        </w:tc>
        <w:tc>
          <w:tcPr>
            <w:tcW w:w="775" w:type="dxa"/>
            <w:noWrap/>
            <w:tcMar>
              <w:top w:w="15" w:type="dxa"/>
              <w:left w:w="15" w:type="dxa"/>
              <w:right w:w="15" w:type="dxa"/>
            </w:tcMar>
            <w:vAlign w:val="center"/>
          </w:tcPr>
          <w:p>
            <w:pPr>
              <w:snapToGrid w:val="0"/>
              <w:jc w:val="center"/>
              <w:rPr>
                <w:rFonts w:ascii="宋体" w:hAnsi="宋体" w:eastAsia="宋体" w:cs="宋体"/>
                <w:kern w:val="2"/>
                <w:sz w:val="20"/>
                <w:szCs w:val="20"/>
              </w:rPr>
            </w:pPr>
            <w:r>
              <w:rPr>
                <w:rFonts w:hint="eastAsia" w:ascii="宋体" w:hAnsi="宋体" w:eastAsia="宋体" w:cs="宋体"/>
                <w:sz w:val="20"/>
                <w:szCs w:val="20"/>
              </w:rPr>
              <w:t>3～7</w:t>
            </w:r>
          </w:p>
        </w:tc>
        <w:tc>
          <w:tcPr>
            <w:tcW w:w="1014" w:type="dxa"/>
            <w:noWrap/>
            <w:tcMar>
              <w:top w:w="15" w:type="dxa"/>
              <w:left w:w="15" w:type="dxa"/>
              <w:right w:w="15" w:type="dxa"/>
            </w:tcMar>
            <w:vAlign w:val="center"/>
          </w:tcPr>
          <w:p>
            <w:pPr>
              <w:snapToGrid w:val="0"/>
              <w:jc w:val="center"/>
              <w:rPr>
                <w:rFonts w:ascii="宋体" w:hAnsi="宋体" w:eastAsia="宋体" w:cs="宋体"/>
                <w:kern w:val="2"/>
                <w:sz w:val="20"/>
                <w:szCs w:val="20"/>
              </w:rPr>
            </w:pPr>
            <w:r>
              <w:rPr>
                <w:rFonts w:hint="eastAsia" w:ascii="宋体" w:hAnsi="宋体" w:eastAsia="宋体" w:cs="宋体"/>
                <w:sz w:val="20"/>
                <w:szCs w:val="20"/>
              </w:rPr>
              <w:t>3～126</w:t>
            </w:r>
          </w:p>
        </w:tc>
        <w:tc>
          <w:tcPr>
            <w:tcW w:w="894" w:type="dxa"/>
            <w:tcMar>
              <w:top w:w="15" w:type="dxa"/>
              <w:left w:w="15" w:type="dxa"/>
              <w:right w:w="15" w:type="dxa"/>
            </w:tcMar>
            <w:vAlign w:val="center"/>
          </w:tcPr>
          <w:p>
            <w:pPr>
              <w:snapToGrid w:val="0"/>
              <w:jc w:val="center"/>
              <w:rPr>
                <w:rFonts w:ascii="宋体" w:hAnsi="宋体" w:eastAsia="宋体" w:cs="宋体"/>
                <w:kern w:val="2"/>
                <w:sz w:val="20"/>
                <w:szCs w:val="20"/>
              </w:rPr>
            </w:pPr>
            <w:r>
              <w:rPr>
                <w:rFonts w:hint="eastAsia" w:ascii="宋体" w:hAnsi="宋体" w:eastAsia="宋体" w:cs="宋体"/>
                <w:sz w:val="20"/>
                <w:szCs w:val="20"/>
              </w:rPr>
              <w:t>低～一般</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683" w:type="dxa"/>
            <w:noWrap/>
            <w:tcMar>
              <w:top w:w="15" w:type="dxa"/>
              <w:left w:w="15" w:type="dxa"/>
              <w:right w:w="15" w:type="dxa"/>
            </w:tcMar>
            <w:vAlign w:val="center"/>
          </w:tcPr>
          <w:p>
            <w:pPr>
              <w:snapToGrid w:val="0"/>
              <w:jc w:val="center"/>
              <w:textAlignment w:val="center"/>
              <w:rPr>
                <w:rFonts w:ascii="宋体" w:hAnsi="宋体" w:eastAsia="宋体" w:cs="宋体"/>
                <w:sz w:val="20"/>
                <w:szCs w:val="20"/>
                <w:lang w:bidi="ar"/>
              </w:rPr>
            </w:pPr>
            <w:r>
              <w:rPr>
                <w:rFonts w:ascii="宋体" w:hAnsi="宋体" w:eastAsia="宋体" w:cs="宋体"/>
                <w:sz w:val="20"/>
                <w:szCs w:val="20"/>
                <w:lang w:bidi="ar"/>
              </w:rPr>
              <w:t>47</w:t>
            </w:r>
          </w:p>
        </w:tc>
        <w:tc>
          <w:tcPr>
            <w:tcW w:w="1064" w:type="dxa"/>
            <w:vMerge w:val="continue"/>
            <w:tcMar>
              <w:top w:w="15" w:type="dxa"/>
              <w:left w:w="15" w:type="dxa"/>
              <w:right w:w="15" w:type="dxa"/>
            </w:tcMar>
            <w:vAlign w:val="center"/>
          </w:tcPr>
          <w:p>
            <w:pPr>
              <w:widowControl w:val="0"/>
              <w:snapToGrid w:val="0"/>
              <w:jc w:val="center"/>
              <w:rPr>
                <w:rFonts w:ascii="宋体" w:hAnsi="宋体" w:eastAsia="宋体" w:cs="宋体"/>
                <w:kern w:val="2"/>
                <w:sz w:val="20"/>
                <w:szCs w:val="20"/>
              </w:rPr>
            </w:pPr>
          </w:p>
        </w:tc>
        <w:tc>
          <w:tcPr>
            <w:tcW w:w="1103" w:type="dxa"/>
            <w:vMerge w:val="continue"/>
            <w:tcMar>
              <w:top w:w="15" w:type="dxa"/>
              <w:left w:w="15" w:type="dxa"/>
              <w:right w:w="15" w:type="dxa"/>
            </w:tcMar>
            <w:vAlign w:val="center"/>
          </w:tcPr>
          <w:p>
            <w:pPr>
              <w:widowControl w:val="0"/>
              <w:snapToGrid w:val="0"/>
              <w:jc w:val="center"/>
              <w:rPr>
                <w:rFonts w:ascii="宋体" w:hAnsi="宋体" w:eastAsia="宋体" w:cs="宋体"/>
                <w:kern w:val="2"/>
                <w:sz w:val="20"/>
                <w:szCs w:val="20"/>
              </w:rPr>
            </w:pPr>
          </w:p>
        </w:tc>
        <w:tc>
          <w:tcPr>
            <w:tcW w:w="1707" w:type="dxa"/>
            <w:tcMar>
              <w:top w:w="15" w:type="dxa"/>
              <w:left w:w="15" w:type="dxa"/>
              <w:right w:w="15" w:type="dxa"/>
            </w:tcMar>
            <w:vAlign w:val="center"/>
          </w:tcPr>
          <w:p>
            <w:pPr>
              <w:snapToGrid w:val="0"/>
              <w:jc w:val="center"/>
              <w:rPr>
                <w:rFonts w:ascii="宋体" w:hAnsi="宋体" w:eastAsia="宋体" w:cs="宋体"/>
                <w:sz w:val="20"/>
                <w:szCs w:val="20"/>
                <w:lang w:bidi="ar"/>
              </w:rPr>
            </w:pPr>
            <w:r>
              <w:rPr>
                <w:rFonts w:hint="eastAsia" w:ascii="宋体" w:hAnsi="宋体" w:eastAsia="宋体" w:cs="宋体"/>
                <w:sz w:val="20"/>
                <w:szCs w:val="20"/>
              </w:rPr>
              <w:t>大功率电器使用</w:t>
            </w:r>
          </w:p>
        </w:tc>
        <w:tc>
          <w:tcPr>
            <w:tcW w:w="2410" w:type="dxa"/>
            <w:tcMar>
              <w:top w:w="15" w:type="dxa"/>
              <w:left w:w="15" w:type="dxa"/>
              <w:right w:w="15" w:type="dxa"/>
            </w:tcMar>
            <w:vAlign w:val="center"/>
          </w:tcPr>
          <w:p>
            <w:pPr>
              <w:snapToGrid w:val="0"/>
              <w:jc w:val="center"/>
              <w:rPr>
                <w:rFonts w:ascii="宋体" w:hAnsi="宋体" w:eastAsia="宋体" w:cs="宋体"/>
                <w:sz w:val="20"/>
                <w:szCs w:val="20"/>
                <w:lang w:bidi="ar"/>
              </w:rPr>
            </w:pPr>
            <w:r>
              <w:rPr>
                <w:rFonts w:hint="eastAsia" w:ascii="宋体" w:hAnsi="宋体" w:eastAsia="宋体" w:cs="宋体"/>
                <w:sz w:val="20"/>
                <w:szCs w:val="20"/>
              </w:rPr>
              <w:t>过载、线路老化、        电器质量不合格等</w:t>
            </w:r>
          </w:p>
        </w:tc>
        <w:tc>
          <w:tcPr>
            <w:tcW w:w="2165" w:type="dxa"/>
            <w:tcMar>
              <w:top w:w="15" w:type="dxa"/>
              <w:left w:w="15" w:type="dxa"/>
              <w:right w:w="15" w:type="dxa"/>
            </w:tcMar>
            <w:vAlign w:val="center"/>
          </w:tcPr>
          <w:p>
            <w:pPr>
              <w:snapToGrid w:val="0"/>
              <w:jc w:val="center"/>
              <w:rPr>
                <w:rFonts w:ascii="宋体" w:hAnsi="宋体" w:eastAsia="宋体" w:cs="宋体"/>
                <w:sz w:val="20"/>
                <w:szCs w:val="20"/>
                <w:lang w:bidi="ar"/>
              </w:rPr>
            </w:pPr>
            <w:r>
              <w:rPr>
                <w:rFonts w:hint="eastAsia" w:ascii="宋体" w:hAnsi="宋体" w:eastAsia="宋体" w:cs="宋体"/>
                <w:sz w:val="20"/>
                <w:szCs w:val="20"/>
              </w:rPr>
              <w:t>火灾</w:t>
            </w:r>
          </w:p>
        </w:tc>
        <w:tc>
          <w:tcPr>
            <w:tcW w:w="889" w:type="dxa"/>
            <w:noWrap/>
            <w:tcMar>
              <w:top w:w="15" w:type="dxa"/>
              <w:left w:w="15" w:type="dxa"/>
              <w:right w:w="15" w:type="dxa"/>
            </w:tcMar>
            <w:vAlign w:val="center"/>
          </w:tcPr>
          <w:p>
            <w:pPr>
              <w:snapToGrid w:val="0"/>
              <w:jc w:val="center"/>
              <w:rPr>
                <w:rFonts w:ascii="宋体" w:hAnsi="宋体" w:eastAsia="宋体" w:cs="宋体"/>
                <w:sz w:val="20"/>
                <w:szCs w:val="20"/>
                <w:lang w:bidi="ar"/>
              </w:rPr>
            </w:pPr>
            <w:r>
              <w:rPr>
                <w:rFonts w:hint="eastAsia" w:ascii="宋体" w:hAnsi="宋体" w:eastAsia="宋体" w:cs="宋体"/>
                <w:sz w:val="20"/>
                <w:szCs w:val="20"/>
              </w:rPr>
              <w:t>LEC法</w:t>
            </w:r>
          </w:p>
        </w:tc>
        <w:tc>
          <w:tcPr>
            <w:tcW w:w="904" w:type="dxa"/>
            <w:noWrap/>
            <w:tcMar>
              <w:top w:w="15" w:type="dxa"/>
              <w:left w:w="15" w:type="dxa"/>
              <w:right w:w="15" w:type="dxa"/>
            </w:tcMar>
            <w:vAlign w:val="center"/>
          </w:tcPr>
          <w:p>
            <w:pPr>
              <w:snapToGrid w:val="0"/>
              <w:jc w:val="center"/>
              <w:rPr>
                <w:rFonts w:ascii="宋体" w:hAnsi="宋体" w:eastAsia="宋体" w:cs="宋体"/>
                <w:sz w:val="20"/>
                <w:szCs w:val="20"/>
                <w:lang w:bidi="ar"/>
              </w:rPr>
            </w:pPr>
            <w:r>
              <w:rPr>
                <w:rFonts w:hint="eastAsia" w:ascii="宋体" w:hAnsi="宋体" w:eastAsia="宋体" w:cs="宋体"/>
                <w:sz w:val="20"/>
                <w:szCs w:val="20"/>
              </w:rPr>
              <w:t>0.5～3</w:t>
            </w:r>
          </w:p>
        </w:tc>
        <w:tc>
          <w:tcPr>
            <w:tcW w:w="715" w:type="dxa"/>
            <w:tcMar>
              <w:top w:w="15" w:type="dxa"/>
              <w:left w:w="15" w:type="dxa"/>
              <w:right w:w="15" w:type="dxa"/>
            </w:tcMar>
            <w:vAlign w:val="center"/>
          </w:tcPr>
          <w:p>
            <w:pPr>
              <w:snapToGrid w:val="0"/>
              <w:jc w:val="center"/>
              <w:rPr>
                <w:rFonts w:ascii="宋体" w:hAnsi="宋体" w:eastAsia="宋体" w:cs="宋体"/>
                <w:sz w:val="20"/>
                <w:szCs w:val="20"/>
                <w:lang w:bidi="ar"/>
              </w:rPr>
            </w:pPr>
            <w:r>
              <w:rPr>
                <w:rFonts w:hint="eastAsia" w:ascii="宋体" w:hAnsi="宋体" w:eastAsia="宋体" w:cs="宋体"/>
                <w:sz w:val="20"/>
                <w:szCs w:val="20"/>
              </w:rPr>
              <w:t>2～6</w:t>
            </w:r>
          </w:p>
        </w:tc>
        <w:tc>
          <w:tcPr>
            <w:tcW w:w="775" w:type="dxa"/>
            <w:noWrap/>
            <w:tcMar>
              <w:top w:w="15" w:type="dxa"/>
              <w:left w:w="15" w:type="dxa"/>
              <w:right w:w="15" w:type="dxa"/>
            </w:tcMar>
            <w:vAlign w:val="center"/>
          </w:tcPr>
          <w:p>
            <w:pPr>
              <w:snapToGrid w:val="0"/>
              <w:jc w:val="center"/>
              <w:rPr>
                <w:rFonts w:ascii="宋体" w:hAnsi="宋体" w:eastAsia="宋体" w:cs="宋体"/>
                <w:sz w:val="20"/>
                <w:szCs w:val="20"/>
                <w:lang w:bidi="ar"/>
              </w:rPr>
            </w:pPr>
            <w:r>
              <w:rPr>
                <w:rFonts w:hint="eastAsia" w:ascii="宋体" w:hAnsi="宋体" w:eastAsia="宋体" w:cs="宋体"/>
                <w:sz w:val="20"/>
                <w:szCs w:val="20"/>
              </w:rPr>
              <w:t>3～7</w:t>
            </w:r>
          </w:p>
        </w:tc>
        <w:tc>
          <w:tcPr>
            <w:tcW w:w="1014" w:type="dxa"/>
            <w:noWrap/>
            <w:tcMar>
              <w:top w:w="15" w:type="dxa"/>
              <w:left w:w="15" w:type="dxa"/>
              <w:right w:w="15" w:type="dxa"/>
            </w:tcMar>
            <w:vAlign w:val="center"/>
          </w:tcPr>
          <w:p>
            <w:pPr>
              <w:snapToGrid w:val="0"/>
              <w:jc w:val="center"/>
              <w:rPr>
                <w:rFonts w:ascii="宋体" w:hAnsi="宋体" w:eastAsia="宋体" w:cs="宋体"/>
                <w:sz w:val="20"/>
                <w:szCs w:val="20"/>
                <w:lang w:bidi="ar"/>
              </w:rPr>
            </w:pPr>
            <w:r>
              <w:rPr>
                <w:rFonts w:hint="eastAsia" w:ascii="宋体" w:hAnsi="宋体" w:eastAsia="宋体" w:cs="宋体"/>
                <w:sz w:val="20"/>
                <w:szCs w:val="20"/>
              </w:rPr>
              <w:t>3～126</w:t>
            </w:r>
          </w:p>
        </w:tc>
        <w:tc>
          <w:tcPr>
            <w:tcW w:w="894" w:type="dxa"/>
            <w:tcMar>
              <w:top w:w="15" w:type="dxa"/>
              <w:left w:w="15" w:type="dxa"/>
              <w:right w:w="15" w:type="dxa"/>
            </w:tcMar>
            <w:vAlign w:val="center"/>
          </w:tcPr>
          <w:p>
            <w:pPr>
              <w:snapToGrid w:val="0"/>
              <w:jc w:val="center"/>
              <w:rPr>
                <w:rFonts w:ascii="宋体" w:hAnsi="宋体" w:eastAsia="宋体" w:cs="宋体"/>
                <w:sz w:val="20"/>
                <w:szCs w:val="20"/>
                <w:lang w:bidi="ar"/>
              </w:rPr>
            </w:pPr>
            <w:r>
              <w:rPr>
                <w:rFonts w:hint="eastAsia" w:ascii="宋体" w:hAnsi="宋体" w:eastAsia="宋体" w:cs="宋体"/>
                <w:sz w:val="20"/>
                <w:szCs w:val="20"/>
              </w:rPr>
              <w:t>低～一般</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683" w:type="dxa"/>
            <w:noWrap/>
            <w:tcMar>
              <w:top w:w="15" w:type="dxa"/>
              <w:left w:w="15" w:type="dxa"/>
              <w:right w:w="15" w:type="dxa"/>
            </w:tcMar>
            <w:vAlign w:val="center"/>
          </w:tcPr>
          <w:p>
            <w:pPr>
              <w:snapToGrid w:val="0"/>
              <w:jc w:val="center"/>
              <w:textAlignment w:val="center"/>
              <w:rPr>
                <w:rFonts w:ascii="宋体" w:hAnsi="宋体" w:eastAsia="宋体" w:cs="宋体"/>
                <w:sz w:val="20"/>
                <w:szCs w:val="20"/>
                <w:lang w:bidi="ar"/>
              </w:rPr>
            </w:pPr>
            <w:r>
              <w:rPr>
                <w:rFonts w:ascii="宋体" w:hAnsi="宋体" w:eastAsia="宋体" w:cs="宋体"/>
                <w:sz w:val="20"/>
                <w:szCs w:val="20"/>
                <w:lang w:bidi="ar"/>
              </w:rPr>
              <w:t>48</w:t>
            </w:r>
          </w:p>
        </w:tc>
        <w:tc>
          <w:tcPr>
            <w:tcW w:w="1064" w:type="dxa"/>
            <w:vMerge w:val="continue"/>
            <w:tcMar>
              <w:top w:w="15" w:type="dxa"/>
              <w:left w:w="15" w:type="dxa"/>
              <w:right w:w="15" w:type="dxa"/>
            </w:tcMar>
            <w:vAlign w:val="center"/>
          </w:tcPr>
          <w:p>
            <w:pPr>
              <w:widowControl w:val="0"/>
              <w:snapToGrid w:val="0"/>
              <w:jc w:val="center"/>
              <w:rPr>
                <w:rFonts w:ascii="宋体" w:hAnsi="宋体" w:eastAsia="宋体" w:cs="宋体"/>
                <w:kern w:val="2"/>
                <w:sz w:val="20"/>
                <w:szCs w:val="20"/>
              </w:rPr>
            </w:pPr>
          </w:p>
        </w:tc>
        <w:tc>
          <w:tcPr>
            <w:tcW w:w="1103" w:type="dxa"/>
            <w:vMerge w:val="continue"/>
            <w:tcMar>
              <w:top w:w="15" w:type="dxa"/>
              <w:left w:w="15" w:type="dxa"/>
              <w:right w:w="15" w:type="dxa"/>
            </w:tcMar>
            <w:vAlign w:val="center"/>
          </w:tcPr>
          <w:p>
            <w:pPr>
              <w:widowControl w:val="0"/>
              <w:snapToGrid w:val="0"/>
              <w:jc w:val="center"/>
              <w:rPr>
                <w:rFonts w:ascii="宋体" w:hAnsi="宋体" w:eastAsia="宋体" w:cs="宋体"/>
                <w:kern w:val="2"/>
                <w:sz w:val="20"/>
                <w:szCs w:val="20"/>
              </w:rPr>
            </w:pPr>
          </w:p>
        </w:tc>
        <w:tc>
          <w:tcPr>
            <w:tcW w:w="1707" w:type="dxa"/>
            <w:tcMar>
              <w:top w:w="15" w:type="dxa"/>
              <w:left w:w="15" w:type="dxa"/>
              <w:right w:w="15" w:type="dxa"/>
            </w:tcMar>
            <w:vAlign w:val="center"/>
          </w:tcPr>
          <w:p>
            <w:pPr>
              <w:snapToGrid w:val="0"/>
              <w:jc w:val="center"/>
              <w:rPr>
                <w:rFonts w:ascii="宋体" w:hAnsi="宋体" w:eastAsia="宋体" w:cs="宋体"/>
                <w:sz w:val="20"/>
                <w:szCs w:val="20"/>
                <w:lang w:bidi="ar"/>
              </w:rPr>
            </w:pPr>
            <w:r>
              <w:rPr>
                <w:rFonts w:hint="eastAsia" w:ascii="宋体" w:hAnsi="宋体" w:eastAsia="宋体" w:cs="宋体"/>
                <w:sz w:val="20"/>
                <w:szCs w:val="20"/>
              </w:rPr>
              <w:t>景区堤段游客活动</w:t>
            </w:r>
          </w:p>
        </w:tc>
        <w:tc>
          <w:tcPr>
            <w:tcW w:w="2410" w:type="dxa"/>
            <w:tcMar>
              <w:top w:w="15" w:type="dxa"/>
              <w:left w:w="15" w:type="dxa"/>
              <w:right w:w="15" w:type="dxa"/>
            </w:tcMar>
            <w:vAlign w:val="center"/>
          </w:tcPr>
          <w:p>
            <w:pPr>
              <w:snapToGrid w:val="0"/>
              <w:jc w:val="center"/>
              <w:rPr>
                <w:rFonts w:ascii="宋体" w:hAnsi="宋体" w:eastAsia="宋体" w:cs="宋体"/>
                <w:sz w:val="20"/>
                <w:szCs w:val="20"/>
                <w:lang w:bidi="ar"/>
              </w:rPr>
            </w:pPr>
            <w:r>
              <w:rPr>
                <w:rFonts w:hint="eastAsia" w:ascii="宋体" w:hAnsi="宋体" w:eastAsia="宋体" w:cs="宋体"/>
                <w:sz w:val="20"/>
                <w:szCs w:val="20"/>
              </w:rPr>
              <w:t>防护或警示不到位</w:t>
            </w:r>
          </w:p>
        </w:tc>
        <w:tc>
          <w:tcPr>
            <w:tcW w:w="2165" w:type="dxa"/>
            <w:tcMar>
              <w:top w:w="15" w:type="dxa"/>
              <w:left w:w="15" w:type="dxa"/>
              <w:right w:w="15" w:type="dxa"/>
            </w:tcMar>
            <w:vAlign w:val="center"/>
          </w:tcPr>
          <w:p>
            <w:pPr>
              <w:snapToGrid w:val="0"/>
              <w:jc w:val="center"/>
              <w:rPr>
                <w:rFonts w:ascii="宋体" w:hAnsi="宋体" w:eastAsia="宋体" w:cs="宋体"/>
                <w:sz w:val="20"/>
                <w:szCs w:val="20"/>
                <w:lang w:bidi="ar"/>
              </w:rPr>
            </w:pPr>
            <w:r>
              <w:rPr>
                <w:rFonts w:hint="eastAsia" w:ascii="宋体" w:hAnsi="宋体" w:eastAsia="宋体" w:cs="宋体"/>
                <w:sz w:val="20"/>
                <w:szCs w:val="20"/>
              </w:rPr>
              <w:t>高处坠落、淹溺</w:t>
            </w:r>
          </w:p>
        </w:tc>
        <w:tc>
          <w:tcPr>
            <w:tcW w:w="889" w:type="dxa"/>
            <w:noWrap/>
            <w:tcMar>
              <w:top w:w="15" w:type="dxa"/>
              <w:left w:w="15" w:type="dxa"/>
              <w:right w:w="15" w:type="dxa"/>
            </w:tcMar>
            <w:vAlign w:val="center"/>
          </w:tcPr>
          <w:p>
            <w:pPr>
              <w:snapToGrid w:val="0"/>
              <w:jc w:val="center"/>
              <w:rPr>
                <w:rFonts w:ascii="宋体" w:hAnsi="宋体" w:eastAsia="宋体" w:cs="宋体"/>
                <w:sz w:val="20"/>
                <w:szCs w:val="20"/>
                <w:lang w:bidi="ar"/>
              </w:rPr>
            </w:pPr>
            <w:r>
              <w:rPr>
                <w:rFonts w:hint="eastAsia" w:ascii="宋体" w:hAnsi="宋体" w:eastAsia="宋体" w:cs="宋体"/>
                <w:sz w:val="20"/>
                <w:szCs w:val="20"/>
              </w:rPr>
              <w:t>LEC法</w:t>
            </w:r>
          </w:p>
        </w:tc>
        <w:tc>
          <w:tcPr>
            <w:tcW w:w="904" w:type="dxa"/>
            <w:noWrap/>
            <w:tcMar>
              <w:top w:w="15" w:type="dxa"/>
              <w:left w:w="15" w:type="dxa"/>
              <w:right w:w="15" w:type="dxa"/>
            </w:tcMar>
            <w:vAlign w:val="center"/>
          </w:tcPr>
          <w:p>
            <w:pPr>
              <w:snapToGrid w:val="0"/>
              <w:jc w:val="center"/>
              <w:rPr>
                <w:rFonts w:ascii="宋体" w:hAnsi="宋体" w:eastAsia="宋体" w:cs="宋体"/>
                <w:sz w:val="20"/>
                <w:szCs w:val="20"/>
                <w:lang w:bidi="ar"/>
              </w:rPr>
            </w:pPr>
            <w:r>
              <w:rPr>
                <w:rFonts w:hint="eastAsia" w:ascii="宋体" w:hAnsi="宋体" w:eastAsia="宋体" w:cs="宋体"/>
                <w:sz w:val="20"/>
                <w:szCs w:val="20"/>
              </w:rPr>
              <w:t>0.5～3</w:t>
            </w:r>
          </w:p>
        </w:tc>
        <w:tc>
          <w:tcPr>
            <w:tcW w:w="715" w:type="dxa"/>
            <w:tcMar>
              <w:top w:w="15" w:type="dxa"/>
              <w:left w:w="15" w:type="dxa"/>
              <w:right w:w="15" w:type="dxa"/>
            </w:tcMar>
            <w:vAlign w:val="center"/>
          </w:tcPr>
          <w:p>
            <w:pPr>
              <w:snapToGrid w:val="0"/>
              <w:jc w:val="center"/>
              <w:rPr>
                <w:rFonts w:ascii="宋体" w:hAnsi="宋体" w:eastAsia="宋体" w:cs="宋体"/>
                <w:sz w:val="20"/>
                <w:szCs w:val="20"/>
                <w:lang w:bidi="ar"/>
              </w:rPr>
            </w:pPr>
            <w:r>
              <w:rPr>
                <w:rFonts w:hint="eastAsia" w:ascii="宋体" w:hAnsi="宋体" w:eastAsia="宋体" w:cs="宋体"/>
                <w:sz w:val="20"/>
                <w:szCs w:val="20"/>
              </w:rPr>
              <w:t>2～6</w:t>
            </w:r>
          </w:p>
        </w:tc>
        <w:tc>
          <w:tcPr>
            <w:tcW w:w="775" w:type="dxa"/>
            <w:noWrap/>
            <w:tcMar>
              <w:top w:w="15" w:type="dxa"/>
              <w:left w:w="15" w:type="dxa"/>
              <w:right w:w="15" w:type="dxa"/>
            </w:tcMar>
            <w:vAlign w:val="center"/>
          </w:tcPr>
          <w:p>
            <w:pPr>
              <w:snapToGrid w:val="0"/>
              <w:jc w:val="center"/>
              <w:rPr>
                <w:rFonts w:ascii="宋体" w:hAnsi="宋体" w:eastAsia="宋体" w:cs="宋体"/>
                <w:sz w:val="20"/>
                <w:szCs w:val="20"/>
                <w:lang w:bidi="ar"/>
              </w:rPr>
            </w:pPr>
            <w:r>
              <w:rPr>
                <w:rFonts w:hint="eastAsia" w:ascii="宋体" w:hAnsi="宋体" w:eastAsia="宋体" w:cs="宋体"/>
                <w:sz w:val="20"/>
                <w:szCs w:val="20"/>
              </w:rPr>
              <w:t>3～7</w:t>
            </w:r>
          </w:p>
        </w:tc>
        <w:tc>
          <w:tcPr>
            <w:tcW w:w="1014" w:type="dxa"/>
            <w:noWrap/>
            <w:tcMar>
              <w:top w:w="15" w:type="dxa"/>
              <w:left w:w="15" w:type="dxa"/>
              <w:right w:w="15" w:type="dxa"/>
            </w:tcMar>
            <w:vAlign w:val="center"/>
          </w:tcPr>
          <w:p>
            <w:pPr>
              <w:snapToGrid w:val="0"/>
              <w:jc w:val="center"/>
              <w:rPr>
                <w:rFonts w:ascii="宋体" w:hAnsi="宋体" w:eastAsia="宋体" w:cs="宋体"/>
                <w:sz w:val="20"/>
                <w:szCs w:val="20"/>
                <w:lang w:bidi="ar"/>
              </w:rPr>
            </w:pPr>
            <w:r>
              <w:rPr>
                <w:rFonts w:hint="eastAsia" w:ascii="宋体" w:hAnsi="宋体" w:eastAsia="宋体" w:cs="宋体"/>
                <w:sz w:val="20"/>
                <w:szCs w:val="20"/>
              </w:rPr>
              <w:t>3～126</w:t>
            </w:r>
          </w:p>
        </w:tc>
        <w:tc>
          <w:tcPr>
            <w:tcW w:w="894" w:type="dxa"/>
            <w:tcMar>
              <w:top w:w="15" w:type="dxa"/>
              <w:left w:w="15" w:type="dxa"/>
              <w:right w:w="15" w:type="dxa"/>
            </w:tcMar>
            <w:vAlign w:val="center"/>
          </w:tcPr>
          <w:p>
            <w:pPr>
              <w:snapToGrid w:val="0"/>
              <w:jc w:val="center"/>
              <w:rPr>
                <w:rFonts w:ascii="宋体" w:hAnsi="宋体" w:eastAsia="宋体" w:cs="宋体"/>
                <w:sz w:val="20"/>
                <w:szCs w:val="20"/>
                <w:lang w:bidi="ar"/>
              </w:rPr>
            </w:pPr>
            <w:r>
              <w:rPr>
                <w:rFonts w:hint="eastAsia" w:ascii="宋体" w:hAnsi="宋体" w:eastAsia="宋体" w:cs="宋体"/>
                <w:sz w:val="20"/>
                <w:szCs w:val="20"/>
              </w:rPr>
              <w:t>低～一般</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683" w:type="dxa"/>
            <w:noWrap/>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ascii="宋体" w:hAnsi="宋体" w:eastAsia="宋体" w:cs="宋体"/>
                <w:sz w:val="20"/>
                <w:szCs w:val="20"/>
                <w:lang w:bidi="ar"/>
              </w:rPr>
              <w:t>49</w:t>
            </w:r>
          </w:p>
        </w:tc>
        <w:tc>
          <w:tcPr>
            <w:tcW w:w="1064" w:type="dxa"/>
            <w:vMerge w:val="continue"/>
            <w:tcMar>
              <w:top w:w="15" w:type="dxa"/>
              <w:left w:w="15" w:type="dxa"/>
              <w:right w:w="15" w:type="dxa"/>
            </w:tcMar>
            <w:vAlign w:val="center"/>
          </w:tcPr>
          <w:p>
            <w:pPr>
              <w:widowControl w:val="0"/>
              <w:snapToGrid w:val="0"/>
              <w:jc w:val="center"/>
              <w:rPr>
                <w:rFonts w:ascii="宋体" w:hAnsi="宋体" w:eastAsia="宋体" w:cs="宋体"/>
                <w:kern w:val="2"/>
                <w:sz w:val="20"/>
                <w:szCs w:val="20"/>
              </w:rPr>
            </w:pPr>
          </w:p>
        </w:tc>
        <w:tc>
          <w:tcPr>
            <w:tcW w:w="1103" w:type="dxa"/>
            <w:vMerge w:val="restart"/>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自然环境</w:t>
            </w:r>
          </w:p>
        </w:tc>
        <w:tc>
          <w:tcPr>
            <w:tcW w:w="1707" w:type="dxa"/>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老鼠、蛇、白蚁等</w:t>
            </w:r>
          </w:p>
        </w:tc>
        <w:tc>
          <w:tcPr>
            <w:tcW w:w="2410" w:type="dxa"/>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打洞、做窝</w:t>
            </w:r>
          </w:p>
        </w:tc>
        <w:tc>
          <w:tcPr>
            <w:tcW w:w="2165" w:type="dxa"/>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塌陷</w:t>
            </w:r>
          </w:p>
        </w:tc>
        <w:tc>
          <w:tcPr>
            <w:tcW w:w="889" w:type="dxa"/>
            <w:noWrap/>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LS法</w:t>
            </w:r>
          </w:p>
        </w:tc>
        <w:tc>
          <w:tcPr>
            <w:tcW w:w="904" w:type="dxa"/>
            <w:noWrap/>
            <w:tcMar>
              <w:top w:w="15" w:type="dxa"/>
              <w:left w:w="15" w:type="dxa"/>
              <w:right w:w="15" w:type="dxa"/>
            </w:tcMar>
            <w:vAlign w:val="center"/>
          </w:tcPr>
          <w:p>
            <w:pPr>
              <w:snapToGrid w:val="0"/>
              <w:jc w:val="center"/>
              <w:rPr>
                <w:rFonts w:ascii="宋体" w:hAnsi="宋体" w:eastAsia="宋体" w:cs="宋体"/>
                <w:kern w:val="2"/>
                <w:sz w:val="20"/>
                <w:szCs w:val="20"/>
              </w:rPr>
            </w:pPr>
            <w:r>
              <w:rPr>
                <w:rFonts w:hint="eastAsia" w:ascii="宋体" w:hAnsi="宋体" w:eastAsia="宋体" w:cs="宋体"/>
                <w:sz w:val="20"/>
                <w:szCs w:val="20"/>
                <w:lang w:bidi="ar"/>
              </w:rPr>
              <w:t>5～30</w:t>
            </w:r>
          </w:p>
        </w:tc>
        <w:tc>
          <w:tcPr>
            <w:tcW w:w="715" w:type="dxa"/>
            <w:noWrap/>
            <w:tcMar>
              <w:top w:w="15" w:type="dxa"/>
              <w:left w:w="15" w:type="dxa"/>
              <w:right w:w="15" w:type="dxa"/>
            </w:tcMar>
            <w:vAlign w:val="center"/>
          </w:tcPr>
          <w:p>
            <w:pPr>
              <w:snapToGrid w:val="0"/>
              <w:jc w:val="center"/>
              <w:rPr>
                <w:rFonts w:ascii="宋体" w:hAnsi="宋体" w:eastAsia="宋体" w:cs="宋体"/>
                <w:kern w:val="2"/>
                <w:sz w:val="20"/>
                <w:szCs w:val="20"/>
              </w:rPr>
            </w:pPr>
            <w:r>
              <w:rPr>
                <w:rFonts w:hint="eastAsia" w:ascii="宋体" w:hAnsi="宋体" w:eastAsia="宋体" w:cs="宋体"/>
                <w:kern w:val="2"/>
                <w:sz w:val="20"/>
                <w:szCs w:val="20"/>
              </w:rPr>
              <w:t>/</w:t>
            </w:r>
          </w:p>
        </w:tc>
        <w:tc>
          <w:tcPr>
            <w:tcW w:w="775" w:type="dxa"/>
            <w:noWrap/>
            <w:tcMar>
              <w:top w:w="15" w:type="dxa"/>
              <w:left w:w="15" w:type="dxa"/>
              <w:right w:w="15" w:type="dxa"/>
            </w:tcMar>
            <w:vAlign w:val="center"/>
          </w:tcPr>
          <w:p>
            <w:pPr>
              <w:snapToGrid w:val="0"/>
              <w:jc w:val="center"/>
              <w:rPr>
                <w:rFonts w:ascii="宋体" w:hAnsi="宋体" w:eastAsia="宋体" w:cs="宋体"/>
                <w:kern w:val="2"/>
                <w:sz w:val="20"/>
                <w:szCs w:val="20"/>
              </w:rPr>
            </w:pPr>
            <w:r>
              <w:rPr>
                <w:rFonts w:hint="eastAsia" w:ascii="宋体" w:hAnsi="宋体" w:eastAsia="宋体" w:cs="宋体"/>
                <w:sz w:val="20"/>
                <w:szCs w:val="20"/>
                <w:lang w:bidi="ar"/>
              </w:rPr>
              <w:t>3～15</w:t>
            </w:r>
          </w:p>
        </w:tc>
        <w:tc>
          <w:tcPr>
            <w:tcW w:w="1014" w:type="dxa"/>
            <w:noWrap/>
            <w:tcMar>
              <w:top w:w="15" w:type="dxa"/>
              <w:left w:w="15" w:type="dxa"/>
              <w:right w:w="15" w:type="dxa"/>
            </w:tcMar>
            <w:vAlign w:val="center"/>
          </w:tcPr>
          <w:p>
            <w:pPr>
              <w:snapToGrid w:val="0"/>
              <w:jc w:val="center"/>
              <w:rPr>
                <w:rFonts w:ascii="宋体" w:hAnsi="宋体" w:eastAsia="宋体" w:cs="宋体"/>
                <w:kern w:val="2"/>
                <w:sz w:val="20"/>
                <w:szCs w:val="20"/>
              </w:rPr>
            </w:pPr>
            <w:r>
              <w:rPr>
                <w:rFonts w:hint="eastAsia" w:ascii="宋体" w:hAnsi="宋体" w:eastAsia="宋体" w:cs="宋体"/>
                <w:sz w:val="20"/>
                <w:szCs w:val="20"/>
                <w:lang w:bidi="ar"/>
              </w:rPr>
              <w:t>15～450</w:t>
            </w:r>
          </w:p>
        </w:tc>
        <w:tc>
          <w:tcPr>
            <w:tcW w:w="894" w:type="dxa"/>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低～重大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683" w:type="dxa"/>
            <w:noWrap/>
            <w:tcMar>
              <w:top w:w="15" w:type="dxa"/>
              <w:left w:w="15" w:type="dxa"/>
              <w:right w:w="15" w:type="dxa"/>
            </w:tcMar>
            <w:vAlign w:val="center"/>
          </w:tcPr>
          <w:p>
            <w:pPr>
              <w:snapToGrid w:val="0"/>
              <w:jc w:val="center"/>
              <w:textAlignment w:val="center"/>
              <w:rPr>
                <w:rFonts w:ascii="宋体" w:hAnsi="宋体" w:eastAsia="宋体" w:cs="宋体"/>
                <w:sz w:val="20"/>
                <w:szCs w:val="20"/>
                <w:lang w:bidi="ar"/>
              </w:rPr>
            </w:pPr>
            <w:r>
              <w:rPr>
                <w:rFonts w:ascii="宋体" w:hAnsi="宋体" w:eastAsia="宋体" w:cs="宋体"/>
                <w:sz w:val="20"/>
                <w:szCs w:val="20"/>
                <w:lang w:bidi="ar"/>
              </w:rPr>
              <w:t>50</w:t>
            </w:r>
          </w:p>
        </w:tc>
        <w:tc>
          <w:tcPr>
            <w:tcW w:w="1064" w:type="dxa"/>
            <w:vMerge w:val="continue"/>
            <w:tcMar>
              <w:top w:w="15" w:type="dxa"/>
              <w:left w:w="15" w:type="dxa"/>
              <w:right w:w="15" w:type="dxa"/>
            </w:tcMar>
            <w:vAlign w:val="center"/>
          </w:tcPr>
          <w:p>
            <w:pPr>
              <w:widowControl w:val="0"/>
              <w:snapToGrid w:val="0"/>
              <w:jc w:val="center"/>
              <w:rPr>
                <w:rFonts w:ascii="宋体" w:hAnsi="宋体" w:eastAsia="宋体" w:cs="宋体"/>
                <w:kern w:val="2"/>
                <w:sz w:val="20"/>
                <w:szCs w:val="20"/>
              </w:rPr>
            </w:pPr>
          </w:p>
        </w:tc>
        <w:tc>
          <w:tcPr>
            <w:tcW w:w="1103" w:type="dxa"/>
            <w:vMerge w:val="continue"/>
            <w:tcMar>
              <w:top w:w="15" w:type="dxa"/>
              <w:left w:w="15" w:type="dxa"/>
              <w:right w:w="15" w:type="dxa"/>
            </w:tcMar>
            <w:vAlign w:val="center"/>
          </w:tcPr>
          <w:p>
            <w:pPr>
              <w:widowControl w:val="0"/>
              <w:snapToGrid w:val="0"/>
              <w:jc w:val="center"/>
              <w:rPr>
                <w:rFonts w:ascii="宋体" w:hAnsi="宋体" w:eastAsia="宋体" w:cs="宋体"/>
                <w:kern w:val="2"/>
                <w:sz w:val="20"/>
                <w:szCs w:val="20"/>
              </w:rPr>
            </w:pPr>
          </w:p>
        </w:tc>
        <w:tc>
          <w:tcPr>
            <w:tcW w:w="1707" w:type="dxa"/>
            <w:tcMar>
              <w:top w:w="15" w:type="dxa"/>
              <w:left w:w="15" w:type="dxa"/>
              <w:right w:w="15" w:type="dxa"/>
            </w:tcMar>
            <w:vAlign w:val="center"/>
          </w:tcPr>
          <w:p>
            <w:pPr>
              <w:snapToGrid w:val="0"/>
              <w:jc w:val="center"/>
              <w:rPr>
                <w:rFonts w:ascii="宋体" w:hAnsi="宋体" w:eastAsia="宋体" w:cs="宋体"/>
                <w:sz w:val="20"/>
                <w:szCs w:val="20"/>
                <w:lang w:bidi="ar"/>
              </w:rPr>
            </w:pPr>
            <w:r>
              <w:rPr>
                <w:rFonts w:hint="eastAsia" w:ascii="宋体" w:hAnsi="宋体" w:eastAsia="宋体" w:cs="宋体"/>
                <w:sz w:val="20"/>
                <w:szCs w:val="20"/>
              </w:rPr>
              <w:t>危险的动、植物</w:t>
            </w:r>
          </w:p>
        </w:tc>
        <w:tc>
          <w:tcPr>
            <w:tcW w:w="2410" w:type="dxa"/>
            <w:tcMar>
              <w:top w:w="15" w:type="dxa"/>
              <w:left w:w="15" w:type="dxa"/>
              <w:right w:w="15" w:type="dxa"/>
            </w:tcMar>
            <w:vAlign w:val="center"/>
          </w:tcPr>
          <w:p>
            <w:pPr>
              <w:snapToGrid w:val="0"/>
              <w:jc w:val="center"/>
              <w:rPr>
                <w:rFonts w:ascii="宋体" w:hAnsi="宋体" w:eastAsia="宋体" w:cs="宋体"/>
                <w:sz w:val="20"/>
                <w:szCs w:val="20"/>
                <w:lang w:bidi="ar"/>
              </w:rPr>
            </w:pPr>
            <w:r>
              <w:rPr>
                <w:rFonts w:hint="eastAsia" w:ascii="宋体" w:hAnsi="宋体" w:eastAsia="宋体" w:cs="宋体"/>
                <w:sz w:val="20"/>
                <w:szCs w:val="20"/>
              </w:rPr>
              <w:t>蜇伤、咬伤、扎伤等</w:t>
            </w:r>
          </w:p>
        </w:tc>
        <w:tc>
          <w:tcPr>
            <w:tcW w:w="2165" w:type="dxa"/>
            <w:tcMar>
              <w:top w:w="15" w:type="dxa"/>
              <w:left w:w="15" w:type="dxa"/>
              <w:right w:w="15" w:type="dxa"/>
            </w:tcMar>
            <w:vAlign w:val="center"/>
          </w:tcPr>
          <w:p>
            <w:pPr>
              <w:snapToGrid w:val="0"/>
              <w:jc w:val="center"/>
              <w:rPr>
                <w:rFonts w:ascii="宋体" w:hAnsi="宋体" w:eastAsia="宋体" w:cs="宋体"/>
                <w:sz w:val="20"/>
                <w:szCs w:val="20"/>
                <w:lang w:bidi="ar"/>
              </w:rPr>
            </w:pPr>
            <w:r>
              <w:rPr>
                <w:rFonts w:hint="eastAsia" w:ascii="宋体" w:hAnsi="宋体" w:eastAsia="宋体" w:cs="宋体"/>
                <w:sz w:val="20"/>
                <w:szCs w:val="20"/>
              </w:rPr>
              <w:t>影响人身安全</w:t>
            </w:r>
          </w:p>
        </w:tc>
        <w:tc>
          <w:tcPr>
            <w:tcW w:w="889" w:type="dxa"/>
            <w:noWrap/>
            <w:tcMar>
              <w:top w:w="15" w:type="dxa"/>
              <w:left w:w="15" w:type="dxa"/>
              <w:right w:w="15" w:type="dxa"/>
            </w:tcMar>
            <w:vAlign w:val="center"/>
          </w:tcPr>
          <w:p>
            <w:pPr>
              <w:snapToGrid w:val="0"/>
              <w:jc w:val="center"/>
              <w:rPr>
                <w:rFonts w:ascii="宋体" w:hAnsi="宋体" w:eastAsia="宋体" w:cs="宋体"/>
                <w:sz w:val="20"/>
                <w:szCs w:val="20"/>
                <w:lang w:bidi="ar"/>
              </w:rPr>
            </w:pPr>
            <w:r>
              <w:rPr>
                <w:rFonts w:hint="eastAsia" w:ascii="宋体" w:hAnsi="宋体" w:eastAsia="宋体" w:cs="宋体"/>
                <w:sz w:val="20"/>
                <w:szCs w:val="20"/>
              </w:rPr>
              <w:t>LEC法</w:t>
            </w:r>
          </w:p>
        </w:tc>
        <w:tc>
          <w:tcPr>
            <w:tcW w:w="904" w:type="dxa"/>
            <w:noWrap/>
            <w:tcMar>
              <w:top w:w="15" w:type="dxa"/>
              <w:left w:w="15" w:type="dxa"/>
              <w:right w:w="15" w:type="dxa"/>
            </w:tcMar>
            <w:vAlign w:val="center"/>
          </w:tcPr>
          <w:p>
            <w:pPr>
              <w:snapToGrid w:val="0"/>
              <w:jc w:val="center"/>
              <w:rPr>
                <w:rFonts w:ascii="宋体" w:hAnsi="宋体" w:eastAsia="宋体" w:cs="宋体"/>
                <w:sz w:val="20"/>
                <w:szCs w:val="20"/>
                <w:lang w:bidi="ar"/>
              </w:rPr>
            </w:pPr>
            <w:r>
              <w:rPr>
                <w:rFonts w:hint="eastAsia" w:ascii="宋体" w:hAnsi="宋体" w:eastAsia="宋体" w:cs="宋体"/>
                <w:sz w:val="20"/>
                <w:szCs w:val="20"/>
              </w:rPr>
              <w:t>0.5～3</w:t>
            </w:r>
          </w:p>
        </w:tc>
        <w:tc>
          <w:tcPr>
            <w:tcW w:w="715" w:type="dxa"/>
            <w:tcMar>
              <w:top w:w="15" w:type="dxa"/>
              <w:left w:w="15" w:type="dxa"/>
              <w:right w:w="15" w:type="dxa"/>
            </w:tcMar>
            <w:vAlign w:val="center"/>
          </w:tcPr>
          <w:p>
            <w:pPr>
              <w:snapToGrid w:val="0"/>
              <w:jc w:val="center"/>
              <w:rPr>
                <w:rFonts w:ascii="宋体" w:hAnsi="宋体" w:eastAsia="宋体" w:cs="宋体"/>
                <w:kern w:val="2"/>
                <w:sz w:val="20"/>
                <w:szCs w:val="20"/>
              </w:rPr>
            </w:pPr>
            <w:r>
              <w:rPr>
                <w:rFonts w:hint="eastAsia" w:ascii="宋体" w:hAnsi="宋体" w:eastAsia="宋体" w:cs="宋体"/>
                <w:sz w:val="20"/>
                <w:szCs w:val="20"/>
              </w:rPr>
              <w:t>2～6</w:t>
            </w:r>
          </w:p>
        </w:tc>
        <w:tc>
          <w:tcPr>
            <w:tcW w:w="775" w:type="dxa"/>
            <w:noWrap/>
            <w:tcMar>
              <w:top w:w="15" w:type="dxa"/>
              <w:left w:w="15" w:type="dxa"/>
              <w:right w:w="15" w:type="dxa"/>
            </w:tcMar>
            <w:vAlign w:val="center"/>
          </w:tcPr>
          <w:p>
            <w:pPr>
              <w:snapToGrid w:val="0"/>
              <w:jc w:val="center"/>
              <w:rPr>
                <w:rFonts w:ascii="宋体" w:hAnsi="宋体" w:eastAsia="宋体" w:cs="宋体"/>
                <w:sz w:val="20"/>
                <w:szCs w:val="20"/>
                <w:lang w:bidi="ar"/>
              </w:rPr>
            </w:pPr>
            <w:r>
              <w:rPr>
                <w:rFonts w:hint="eastAsia" w:ascii="宋体" w:hAnsi="宋体" w:eastAsia="宋体" w:cs="宋体"/>
                <w:sz w:val="20"/>
                <w:szCs w:val="20"/>
              </w:rPr>
              <w:t>3～7</w:t>
            </w:r>
          </w:p>
        </w:tc>
        <w:tc>
          <w:tcPr>
            <w:tcW w:w="1014" w:type="dxa"/>
            <w:noWrap/>
            <w:tcMar>
              <w:top w:w="15" w:type="dxa"/>
              <w:left w:w="15" w:type="dxa"/>
              <w:right w:w="15" w:type="dxa"/>
            </w:tcMar>
            <w:vAlign w:val="center"/>
          </w:tcPr>
          <w:p>
            <w:pPr>
              <w:snapToGrid w:val="0"/>
              <w:jc w:val="center"/>
              <w:rPr>
                <w:rFonts w:ascii="宋体" w:hAnsi="宋体" w:eastAsia="宋体" w:cs="宋体"/>
                <w:sz w:val="20"/>
                <w:szCs w:val="20"/>
                <w:lang w:bidi="ar"/>
              </w:rPr>
            </w:pPr>
            <w:r>
              <w:rPr>
                <w:rFonts w:hint="eastAsia" w:ascii="宋体" w:hAnsi="宋体" w:eastAsia="宋体" w:cs="宋体"/>
                <w:sz w:val="20"/>
                <w:szCs w:val="20"/>
              </w:rPr>
              <w:t>3～126</w:t>
            </w:r>
          </w:p>
        </w:tc>
        <w:tc>
          <w:tcPr>
            <w:tcW w:w="894" w:type="dxa"/>
            <w:noWrap/>
            <w:tcMar>
              <w:top w:w="15" w:type="dxa"/>
              <w:left w:w="15" w:type="dxa"/>
              <w:right w:w="15" w:type="dxa"/>
            </w:tcMar>
            <w:vAlign w:val="center"/>
          </w:tcPr>
          <w:p>
            <w:pPr>
              <w:snapToGrid w:val="0"/>
              <w:jc w:val="center"/>
              <w:rPr>
                <w:rFonts w:ascii="宋体" w:hAnsi="宋体" w:eastAsia="宋体" w:cs="宋体"/>
                <w:sz w:val="20"/>
                <w:szCs w:val="20"/>
                <w:lang w:bidi="ar"/>
              </w:rPr>
            </w:pPr>
            <w:r>
              <w:rPr>
                <w:rFonts w:hint="eastAsia" w:ascii="宋体" w:hAnsi="宋体" w:eastAsia="宋体" w:cs="宋体"/>
                <w:sz w:val="20"/>
                <w:szCs w:val="20"/>
              </w:rPr>
              <w:t>低～一般</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683" w:type="dxa"/>
            <w:noWrap/>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ascii="宋体" w:hAnsi="宋体" w:eastAsia="宋体" w:cs="宋体"/>
                <w:sz w:val="20"/>
                <w:szCs w:val="20"/>
                <w:lang w:bidi="ar"/>
              </w:rPr>
              <w:t>51</w:t>
            </w:r>
          </w:p>
        </w:tc>
        <w:tc>
          <w:tcPr>
            <w:tcW w:w="1064" w:type="dxa"/>
            <w:vMerge w:val="continue"/>
            <w:tcMar>
              <w:top w:w="15" w:type="dxa"/>
              <w:left w:w="15" w:type="dxa"/>
              <w:right w:w="15" w:type="dxa"/>
            </w:tcMar>
            <w:vAlign w:val="center"/>
          </w:tcPr>
          <w:p>
            <w:pPr>
              <w:widowControl w:val="0"/>
              <w:snapToGrid w:val="0"/>
              <w:jc w:val="center"/>
              <w:rPr>
                <w:rFonts w:ascii="宋体" w:hAnsi="宋体" w:eastAsia="宋体" w:cs="宋体"/>
                <w:kern w:val="2"/>
                <w:sz w:val="20"/>
                <w:szCs w:val="20"/>
              </w:rPr>
            </w:pPr>
          </w:p>
        </w:tc>
        <w:tc>
          <w:tcPr>
            <w:tcW w:w="1103" w:type="dxa"/>
            <w:vMerge w:val="continue"/>
            <w:tcMar>
              <w:top w:w="15" w:type="dxa"/>
              <w:left w:w="15" w:type="dxa"/>
              <w:right w:w="15" w:type="dxa"/>
            </w:tcMar>
            <w:vAlign w:val="center"/>
          </w:tcPr>
          <w:p>
            <w:pPr>
              <w:widowControl w:val="0"/>
              <w:snapToGrid w:val="0"/>
              <w:jc w:val="center"/>
              <w:rPr>
                <w:rFonts w:ascii="宋体" w:hAnsi="宋体" w:eastAsia="宋体" w:cs="宋体"/>
                <w:kern w:val="2"/>
                <w:sz w:val="20"/>
                <w:szCs w:val="20"/>
              </w:rPr>
            </w:pPr>
          </w:p>
        </w:tc>
        <w:tc>
          <w:tcPr>
            <w:tcW w:w="1707" w:type="dxa"/>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废弃物</w:t>
            </w:r>
          </w:p>
        </w:tc>
        <w:tc>
          <w:tcPr>
            <w:tcW w:w="2410" w:type="dxa"/>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处理不当</w:t>
            </w:r>
          </w:p>
        </w:tc>
        <w:tc>
          <w:tcPr>
            <w:tcW w:w="2165" w:type="dxa"/>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影响环境</w:t>
            </w:r>
          </w:p>
        </w:tc>
        <w:tc>
          <w:tcPr>
            <w:tcW w:w="889" w:type="dxa"/>
            <w:noWrap/>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rPr>
              <w:t>LS法</w:t>
            </w:r>
          </w:p>
        </w:tc>
        <w:tc>
          <w:tcPr>
            <w:tcW w:w="904" w:type="dxa"/>
            <w:noWrap/>
            <w:tcMar>
              <w:top w:w="15" w:type="dxa"/>
              <w:left w:w="15" w:type="dxa"/>
              <w:right w:w="15" w:type="dxa"/>
            </w:tcMar>
            <w:vAlign w:val="center"/>
          </w:tcPr>
          <w:p>
            <w:pPr>
              <w:snapToGrid w:val="0"/>
              <w:jc w:val="center"/>
              <w:rPr>
                <w:rFonts w:ascii="宋体" w:hAnsi="宋体" w:eastAsia="宋体" w:cs="宋体"/>
                <w:kern w:val="2"/>
                <w:sz w:val="20"/>
                <w:szCs w:val="20"/>
              </w:rPr>
            </w:pPr>
            <w:r>
              <w:rPr>
                <w:rFonts w:hint="eastAsia" w:ascii="宋体" w:hAnsi="宋体" w:eastAsia="宋体" w:cs="宋体"/>
                <w:sz w:val="20"/>
                <w:szCs w:val="20"/>
                <w:lang w:bidi="ar"/>
              </w:rPr>
              <w:t>5～30</w:t>
            </w:r>
          </w:p>
        </w:tc>
        <w:tc>
          <w:tcPr>
            <w:tcW w:w="715" w:type="dxa"/>
            <w:tcMar>
              <w:top w:w="15" w:type="dxa"/>
              <w:left w:w="15" w:type="dxa"/>
              <w:right w:w="15" w:type="dxa"/>
            </w:tcMar>
            <w:vAlign w:val="center"/>
          </w:tcPr>
          <w:p>
            <w:pPr>
              <w:snapToGrid w:val="0"/>
              <w:jc w:val="center"/>
              <w:rPr>
                <w:rFonts w:ascii="宋体" w:hAnsi="宋体" w:eastAsia="宋体" w:cs="宋体"/>
                <w:kern w:val="2"/>
                <w:sz w:val="20"/>
                <w:szCs w:val="20"/>
              </w:rPr>
            </w:pPr>
            <w:r>
              <w:rPr>
                <w:rFonts w:hint="eastAsia" w:ascii="宋体" w:hAnsi="宋体" w:eastAsia="宋体" w:cs="宋体"/>
                <w:kern w:val="2"/>
                <w:sz w:val="20"/>
                <w:szCs w:val="20"/>
              </w:rPr>
              <w:t>/</w:t>
            </w:r>
          </w:p>
        </w:tc>
        <w:tc>
          <w:tcPr>
            <w:tcW w:w="775" w:type="dxa"/>
            <w:noWrap/>
            <w:tcMar>
              <w:top w:w="15" w:type="dxa"/>
              <w:left w:w="15" w:type="dxa"/>
              <w:right w:w="15" w:type="dxa"/>
            </w:tcMar>
            <w:vAlign w:val="center"/>
          </w:tcPr>
          <w:p>
            <w:pPr>
              <w:snapToGrid w:val="0"/>
              <w:jc w:val="center"/>
              <w:rPr>
                <w:rFonts w:ascii="宋体" w:hAnsi="宋体" w:eastAsia="宋体" w:cs="宋体"/>
                <w:kern w:val="2"/>
                <w:sz w:val="20"/>
                <w:szCs w:val="20"/>
              </w:rPr>
            </w:pPr>
            <w:r>
              <w:rPr>
                <w:rFonts w:hint="eastAsia" w:ascii="宋体" w:hAnsi="宋体" w:eastAsia="宋体" w:cs="宋体"/>
                <w:sz w:val="20"/>
                <w:szCs w:val="20"/>
                <w:lang w:bidi="ar"/>
              </w:rPr>
              <w:t>3～15</w:t>
            </w:r>
          </w:p>
        </w:tc>
        <w:tc>
          <w:tcPr>
            <w:tcW w:w="1014" w:type="dxa"/>
            <w:noWrap/>
            <w:tcMar>
              <w:top w:w="15" w:type="dxa"/>
              <w:left w:w="15" w:type="dxa"/>
              <w:right w:w="15" w:type="dxa"/>
            </w:tcMar>
            <w:vAlign w:val="center"/>
          </w:tcPr>
          <w:p>
            <w:pPr>
              <w:snapToGrid w:val="0"/>
              <w:jc w:val="center"/>
              <w:rPr>
                <w:rFonts w:ascii="宋体" w:hAnsi="宋体" w:eastAsia="宋体" w:cs="宋体"/>
                <w:kern w:val="2"/>
                <w:sz w:val="20"/>
                <w:szCs w:val="20"/>
              </w:rPr>
            </w:pPr>
            <w:r>
              <w:rPr>
                <w:rFonts w:hint="eastAsia" w:ascii="宋体" w:hAnsi="宋体" w:eastAsia="宋体" w:cs="宋体"/>
                <w:sz w:val="20"/>
                <w:szCs w:val="20"/>
                <w:lang w:bidi="ar"/>
              </w:rPr>
              <w:t>15～450</w:t>
            </w:r>
          </w:p>
        </w:tc>
        <w:tc>
          <w:tcPr>
            <w:tcW w:w="894" w:type="dxa"/>
            <w:noWrap/>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低～重大</w:t>
            </w:r>
          </w:p>
        </w:tc>
      </w:tr>
    </w:tbl>
    <w:p>
      <w:pPr>
        <w:widowControl w:val="0"/>
        <w:rPr>
          <w:rFonts w:ascii="仿宋" w:hAnsi="仿宋" w:eastAsia="仿宋" w:cs="仿宋"/>
          <w:kern w:val="2"/>
        </w:rPr>
      </w:pPr>
      <w:r>
        <w:rPr>
          <w:rFonts w:hint="eastAsia" w:ascii="仿宋" w:hAnsi="仿宋" w:eastAsia="仿宋" w:cs="仿宋"/>
          <w:kern w:val="2"/>
        </w:rPr>
        <w:br w:type="page"/>
      </w:r>
    </w:p>
    <w:p>
      <w:pPr>
        <w:rPr>
          <w:rFonts w:asciiTheme="minorEastAsia" w:hAnsiTheme="minorEastAsia" w:eastAsiaTheme="minorEastAsia"/>
          <w:sz w:val="21"/>
          <w:szCs w:val="21"/>
        </w:rPr>
        <w:sectPr>
          <w:pgSz w:w="16838" w:h="11906" w:orient="landscape"/>
          <w:pgMar w:top="1797" w:right="1440" w:bottom="1797" w:left="1440" w:header="851" w:footer="992" w:gutter="0"/>
          <w:cols w:space="425" w:num="1"/>
          <w:docGrid w:type="lines" w:linePitch="435" w:charSpace="0"/>
        </w:sectPr>
      </w:pPr>
    </w:p>
    <w:p>
      <w:pPr>
        <w:jc w:val="center"/>
        <w:outlineLvl w:val="0"/>
        <w:rPr>
          <w:rFonts w:ascii="方正小标宋_GBK" w:hAnsi="黑体" w:eastAsia="方正小标宋_GBK"/>
          <w:b/>
          <w:bCs/>
          <w:sz w:val="28"/>
          <w:szCs w:val="28"/>
        </w:rPr>
      </w:pPr>
      <w:bookmarkStart w:id="138" w:name="_Toc117541319"/>
      <w:bookmarkStart w:id="139" w:name="_Toc119336600"/>
      <w:bookmarkStart w:id="140" w:name="_Hlk117456084"/>
      <w:r>
        <w:rPr>
          <w:rFonts w:hint="eastAsia" w:ascii="方正小标宋_GBK" w:hAnsi="黑体" w:eastAsia="方正小标宋_GBK"/>
          <w:b/>
          <w:bCs/>
          <w:sz w:val="28"/>
          <w:szCs w:val="28"/>
        </w:rPr>
        <w:t>附录A.14</w:t>
      </w:r>
      <w:bookmarkEnd w:id="138"/>
      <w:bookmarkEnd w:id="139"/>
    </w:p>
    <w:p>
      <w:pPr>
        <w:jc w:val="center"/>
        <w:rPr>
          <w:rFonts w:ascii="方正小标宋_GBK" w:hAnsi="黑体" w:eastAsia="方正小标宋_GBK"/>
          <w:b/>
          <w:bCs/>
          <w:sz w:val="28"/>
          <w:szCs w:val="28"/>
        </w:rPr>
      </w:pPr>
      <w:r>
        <w:rPr>
          <w:rFonts w:hint="eastAsia" w:ascii="方正小标宋_GBK" w:hAnsi="黑体" w:eastAsia="方正小标宋_GBK"/>
          <w:b/>
          <w:bCs/>
          <w:sz w:val="28"/>
          <w:szCs w:val="28"/>
        </w:rPr>
        <w:t>（</w:t>
      </w:r>
      <w:bookmarkEnd w:id="140"/>
      <w:r>
        <w:rPr>
          <w:rFonts w:hint="eastAsia" w:ascii="方正小标宋_GBK" w:hAnsi="黑体" w:eastAsia="方正小标宋_GBK"/>
          <w:b/>
          <w:bCs/>
          <w:sz w:val="28"/>
          <w:szCs w:val="28"/>
        </w:rPr>
        <w:t>资料性附录）</w:t>
      </w:r>
    </w:p>
    <w:p>
      <w:pPr>
        <w:jc w:val="center"/>
        <w:rPr>
          <w:rFonts w:ascii="方正小标宋_GBK" w:hAnsi="黑体" w:eastAsia="方正小标宋_GBK"/>
          <w:b/>
          <w:bCs/>
          <w:sz w:val="28"/>
          <w:szCs w:val="28"/>
        </w:rPr>
      </w:pPr>
    </w:p>
    <w:p>
      <w:pPr>
        <w:jc w:val="center"/>
        <w:outlineLvl w:val="1"/>
        <w:rPr>
          <w:rFonts w:ascii="方正小标宋_GBK" w:hAnsi="黑体" w:eastAsia="方正小标宋_GBK"/>
          <w:b/>
          <w:bCs/>
          <w:sz w:val="28"/>
          <w:szCs w:val="28"/>
        </w:rPr>
      </w:pPr>
      <w:bookmarkStart w:id="141" w:name="_Toc119336601"/>
      <w:bookmarkStart w:id="142" w:name="_Toc117541320"/>
      <w:r>
        <w:rPr>
          <w:rFonts w:hint="eastAsia" w:ascii="方正小标宋_GBK" w:hAnsi="黑体" w:eastAsia="方正小标宋_GBK"/>
          <w:b/>
          <w:bCs/>
          <w:sz w:val="28"/>
          <w:szCs w:val="28"/>
        </w:rPr>
        <w:t>淤地坝工程运行一般危险源风险评价赋分表（指南）</w:t>
      </w:r>
      <w:bookmarkEnd w:id="141"/>
      <w:bookmarkEnd w:id="142"/>
    </w:p>
    <w:p>
      <w:pPr>
        <w:widowControl w:val="0"/>
        <w:adjustRightInd w:val="0"/>
        <w:snapToGrid w:val="0"/>
        <w:ind w:firstLine="420" w:firstLineChars="200"/>
        <w:jc w:val="center"/>
        <w:rPr>
          <w:rFonts w:ascii="方正小标宋简体" w:hAnsi="方正小标宋简体" w:eastAsia="方正小标宋简体" w:cs="方正小标宋简体"/>
          <w:bCs/>
          <w:sz w:val="21"/>
          <w:szCs w:val="21"/>
        </w:rPr>
      </w:pPr>
    </w:p>
    <w:tbl>
      <w:tblPr>
        <w:tblStyle w:val="34"/>
        <w:tblW w:w="1441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74"/>
        <w:gridCol w:w="1095"/>
        <w:gridCol w:w="1184"/>
        <w:gridCol w:w="1607"/>
        <w:gridCol w:w="2437"/>
        <w:gridCol w:w="2189"/>
        <w:gridCol w:w="901"/>
        <w:gridCol w:w="901"/>
        <w:gridCol w:w="721"/>
        <w:gridCol w:w="781"/>
        <w:gridCol w:w="1021"/>
        <w:gridCol w:w="90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482" w:hRule="atLeast"/>
          <w:tblHeader/>
        </w:trPr>
        <w:tc>
          <w:tcPr>
            <w:tcW w:w="674" w:type="dxa"/>
            <w:noWrap/>
            <w:tcMar>
              <w:top w:w="15" w:type="dxa"/>
              <w:left w:w="15" w:type="dxa"/>
              <w:right w:w="15" w:type="dxa"/>
            </w:tcMar>
            <w:vAlign w:val="center"/>
          </w:tcPr>
          <w:p>
            <w:pPr>
              <w:snapToGrid w:val="0"/>
              <w:jc w:val="center"/>
              <w:textAlignment w:val="center"/>
              <w:rPr>
                <w:rFonts w:ascii="宋体" w:hAnsi="宋体" w:eastAsia="宋体" w:cs="黑体"/>
                <w:b/>
                <w:kern w:val="2"/>
                <w:sz w:val="20"/>
                <w:szCs w:val="20"/>
              </w:rPr>
            </w:pPr>
            <w:r>
              <w:rPr>
                <w:rFonts w:hint="eastAsia" w:ascii="宋体" w:hAnsi="宋体" w:eastAsia="宋体" w:cs="黑体"/>
                <w:b/>
                <w:sz w:val="20"/>
                <w:szCs w:val="20"/>
                <w:lang w:bidi="ar"/>
              </w:rPr>
              <w:t>序号</w:t>
            </w:r>
          </w:p>
        </w:tc>
        <w:tc>
          <w:tcPr>
            <w:tcW w:w="1095" w:type="dxa"/>
            <w:noWrap/>
            <w:tcMar>
              <w:top w:w="15" w:type="dxa"/>
              <w:left w:w="15" w:type="dxa"/>
              <w:right w:w="15" w:type="dxa"/>
            </w:tcMar>
            <w:vAlign w:val="center"/>
          </w:tcPr>
          <w:p>
            <w:pPr>
              <w:snapToGrid w:val="0"/>
              <w:jc w:val="center"/>
              <w:textAlignment w:val="center"/>
              <w:rPr>
                <w:rFonts w:ascii="宋体" w:hAnsi="宋体" w:eastAsia="宋体" w:cs="黑体"/>
                <w:b/>
                <w:kern w:val="2"/>
                <w:sz w:val="20"/>
                <w:szCs w:val="20"/>
              </w:rPr>
            </w:pPr>
            <w:r>
              <w:rPr>
                <w:rFonts w:hint="eastAsia" w:ascii="宋体" w:hAnsi="宋体" w:eastAsia="宋体" w:cs="黑体"/>
                <w:b/>
                <w:sz w:val="20"/>
                <w:szCs w:val="20"/>
                <w:lang w:bidi="ar"/>
              </w:rPr>
              <w:t>类别</w:t>
            </w:r>
          </w:p>
        </w:tc>
        <w:tc>
          <w:tcPr>
            <w:tcW w:w="1184" w:type="dxa"/>
            <w:noWrap/>
            <w:tcMar>
              <w:top w:w="15" w:type="dxa"/>
              <w:left w:w="15" w:type="dxa"/>
              <w:right w:w="15" w:type="dxa"/>
            </w:tcMar>
            <w:vAlign w:val="center"/>
          </w:tcPr>
          <w:p>
            <w:pPr>
              <w:snapToGrid w:val="0"/>
              <w:jc w:val="center"/>
              <w:textAlignment w:val="center"/>
              <w:rPr>
                <w:rFonts w:ascii="宋体" w:hAnsi="宋体" w:eastAsia="宋体" w:cs="黑体"/>
                <w:b/>
                <w:kern w:val="2"/>
                <w:sz w:val="20"/>
                <w:szCs w:val="20"/>
              </w:rPr>
            </w:pPr>
            <w:r>
              <w:rPr>
                <w:rFonts w:hint="eastAsia" w:ascii="宋体" w:hAnsi="宋体" w:eastAsia="宋体" w:cs="黑体"/>
                <w:b/>
                <w:sz w:val="20"/>
                <w:szCs w:val="20"/>
                <w:lang w:bidi="ar"/>
              </w:rPr>
              <w:t>项  目</w:t>
            </w:r>
          </w:p>
        </w:tc>
        <w:tc>
          <w:tcPr>
            <w:tcW w:w="1607" w:type="dxa"/>
            <w:tcMar>
              <w:top w:w="15" w:type="dxa"/>
              <w:left w:w="15" w:type="dxa"/>
              <w:right w:w="15" w:type="dxa"/>
            </w:tcMar>
            <w:vAlign w:val="center"/>
          </w:tcPr>
          <w:p>
            <w:pPr>
              <w:snapToGrid w:val="0"/>
              <w:jc w:val="center"/>
              <w:textAlignment w:val="center"/>
              <w:rPr>
                <w:rFonts w:ascii="宋体" w:hAnsi="宋体" w:eastAsia="宋体" w:cs="黑体"/>
                <w:b/>
                <w:kern w:val="2"/>
                <w:sz w:val="20"/>
                <w:szCs w:val="20"/>
              </w:rPr>
            </w:pPr>
            <w:r>
              <w:rPr>
                <w:rFonts w:hint="eastAsia" w:ascii="宋体" w:hAnsi="宋体" w:eastAsia="宋体" w:cs="黑体"/>
                <w:b/>
                <w:sz w:val="20"/>
                <w:szCs w:val="20"/>
                <w:lang w:bidi="ar"/>
              </w:rPr>
              <w:t>一般危险源</w:t>
            </w:r>
          </w:p>
        </w:tc>
        <w:tc>
          <w:tcPr>
            <w:tcW w:w="2437" w:type="dxa"/>
            <w:tcMar>
              <w:top w:w="15" w:type="dxa"/>
              <w:left w:w="15" w:type="dxa"/>
              <w:right w:w="15" w:type="dxa"/>
            </w:tcMar>
            <w:vAlign w:val="center"/>
          </w:tcPr>
          <w:p>
            <w:pPr>
              <w:snapToGrid w:val="0"/>
              <w:jc w:val="center"/>
              <w:textAlignment w:val="center"/>
              <w:rPr>
                <w:rFonts w:ascii="宋体" w:hAnsi="宋体" w:eastAsia="宋体" w:cs="黑体"/>
                <w:b/>
                <w:kern w:val="2"/>
                <w:sz w:val="20"/>
                <w:szCs w:val="20"/>
              </w:rPr>
            </w:pPr>
            <w:r>
              <w:rPr>
                <w:rFonts w:hint="eastAsia" w:ascii="宋体" w:hAnsi="宋体" w:eastAsia="宋体" w:cs="黑体"/>
                <w:b/>
                <w:sz w:val="20"/>
                <w:szCs w:val="20"/>
                <w:lang w:bidi="ar"/>
              </w:rPr>
              <w:t>事故诱因</w:t>
            </w:r>
          </w:p>
        </w:tc>
        <w:tc>
          <w:tcPr>
            <w:tcW w:w="2189" w:type="dxa"/>
            <w:noWrap/>
            <w:tcMar>
              <w:top w:w="15" w:type="dxa"/>
              <w:left w:w="15" w:type="dxa"/>
              <w:right w:w="15" w:type="dxa"/>
            </w:tcMar>
            <w:vAlign w:val="center"/>
          </w:tcPr>
          <w:p>
            <w:pPr>
              <w:snapToGrid w:val="0"/>
              <w:jc w:val="center"/>
              <w:textAlignment w:val="center"/>
              <w:rPr>
                <w:rFonts w:ascii="宋体" w:hAnsi="宋体" w:eastAsia="宋体" w:cs="黑体"/>
                <w:b/>
                <w:kern w:val="2"/>
                <w:sz w:val="20"/>
                <w:szCs w:val="20"/>
              </w:rPr>
            </w:pPr>
            <w:r>
              <w:rPr>
                <w:rFonts w:hint="eastAsia" w:ascii="宋体" w:hAnsi="宋体" w:eastAsia="宋体" w:cs="黑体"/>
                <w:b/>
                <w:sz w:val="20"/>
                <w:szCs w:val="20"/>
                <w:lang w:bidi="ar"/>
              </w:rPr>
              <w:t>可能导致的后果</w:t>
            </w:r>
          </w:p>
        </w:tc>
        <w:tc>
          <w:tcPr>
            <w:tcW w:w="901" w:type="dxa"/>
            <w:tcMar>
              <w:top w:w="15" w:type="dxa"/>
              <w:left w:w="15" w:type="dxa"/>
              <w:right w:w="15" w:type="dxa"/>
            </w:tcMar>
            <w:vAlign w:val="center"/>
          </w:tcPr>
          <w:p>
            <w:pPr>
              <w:snapToGrid w:val="0"/>
              <w:jc w:val="center"/>
              <w:textAlignment w:val="center"/>
              <w:rPr>
                <w:rFonts w:ascii="宋体" w:hAnsi="宋体" w:eastAsia="宋体" w:cs="黑体"/>
                <w:b/>
                <w:kern w:val="2"/>
                <w:sz w:val="20"/>
                <w:szCs w:val="20"/>
              </w:rPr>
            </w:pPr>
            <w:r>
              <w:rPr>
                <w:rFonts w:hint="eastAsia" w:ascii="宋体" w:hAnsi="宋体" w:eastAsia="宋体" w:cs="黑体"/>
                <w:b/>
                <w:sz w:val="20"/>
                <w:szCs w:val="20"/>
                <w:lang w:bidi="ar"/>
              </w:rPr>
              <w:t>风险评价方法</w:t>
            </w:r>
          </w:p>
        </w:tc>
        <w:tc>
          <w:tcPr>
            <w:tcW w:w="901" w:type="dxa"/>
            <w:tcMar>
              <w:top w:w="15" w:type="dxa"/>
              <w:left w:w="15" w:type="dxa"/>
              <w:right w:w="15" w:type="dxa"/>
            </w:tcMar>
            <w:vAlign w:val="center"/>
          </w:tcPr>
          <w:p>
            <w:pPr>
              <w:snapToGrid w:val="0"/>
              <w:jc w:val="center"/>
              <w:textAlignment w:val="center"/>
              <w:rPr>
                <w:rFonts w:ascii="宋体" w:hAnsi="宋体" w:eastAsia="宋体" w:cs="黑体"/>
                <w:b/>
                <w:sz w:val="20"/>
                <w:szCs w:val="20"/>
                <w:lang w:bidi="ar"/>
              </w:rPr>
            </w:pPr>
            <w:r>
              <w:rPr>
                <w:rFonts w:hint="eastAsia" w:ascii="宋体" w:hAnsi="宋体" w:eastAsia="宋体" w:cs="黑体"/>
                <w:b/>
                <w:sz w:val="20"/>
                <w:szCs w:val="20"/>
                <w:lang w:bidi="ar"/>
              </w:rPr>
              <w:t>L值</w:t>
            </w:r>
          </w:p>
          <w:p>
            <w:pPr>
              <w:snapToGrid w:val="0"/>
              <w:jc w:val="center"/>
              <w:textAlignment w:val="center"/>
              <w:rPr>
                <w:rFonts w:ascii="宋体" w:hAnsi="宋体" w:eastAsia="宋体" w:cs="黑体"/>
                <w:b/>
                <w:kern w:val="2"/>
                <w:sz w:val="20"/>
                <w:szCs w:val="20"/>
              </w:rPr>
            </w:pPr>
            <w:r>
              <w:rPr>
                <w:rFonts w:hint="eastAsia" w:ascii="宋体" w:hAnsi="宋体" w:eastAsia="宋体" w:cs="黑体"/>
                <w:b/>
                <w:sz w:val="20"/>
                <w:szCs w:val="20"/>
                <w:lang w:bidi="ar"/>
              </w:rPr>
              <w:t>范围</w:t>
            </w:r>
          </w:p>
        </w:tc>
        <w:tc>
          <w:tcPr>
            <w:tcW w:w="721" w:type="dxa"/>
            <w:tcMar>
              <w:top w:w="15" w:type="dxa"/>
              <w:left w:w="15" w:type="dxa"/>
              <w:right w:w="15" w:type="dxa"/>
            </w:tcMar>
            <w:vAlign w:val="center"/>
          </w:tcPr>
          <w:p>
            <w:pPr>
              <w:snapToGrid w:val="0"/>
              <w:jc w:val="center"/>
              <w:textAlignment w:val="center"/>
              <w:rPr>
                <w:rFonts w:ascii="宋体" w:hAnsi="宋体" w:eastAsia="宋体" w:cs="黑体"/>
                <w:b/>
                <w:kern w:val="2"/>
                <w:sz w:val="20"/>
                <w:szCs w:val="20"/>
              </w:rPr>
            </w:pPr>
            <w:r>
              <w:rPr>
                <w:rFonts w:hint="eastAsia" w:ascii="宋体" w:hAnsi="宋体" w:eastAsia="宋体" w:cs="黑体"/>
                <w:b/>
                <w:sz w:val="20"/>
                <w:szCs w:val="20"/>
                <w:lang w:bidi="ar"/>
              </w:rPr>
              <w:t>E值  范围</w:t>
            </w:r>
          </w:p>
        </w:tc>
        <w:tc>
          <w:tcPr>
            <w:tcW w:w="781" w:type="dxa"/>
            <w:tcMar>
              <w:top w:w="15" w:type="dxa"/>
              <w:left w:w="15" w:type="dxa"/>
              <w:right w:w="15" w:type="dxa"/>
            </w:tcMar>
            <w:vAlign w:val="center"/>
          </w:tcPr>
          <w:p>
            <w:pPr>
              <w:snapToGrid w:val="0"/>
              <w:jc w:val="center"/>
              <w:textAlignment w:val="center"/>
              <w:rPr>
                <w:rFonts w:ascii="宋体" w:hAnsi="宋体" w:eastAsia="宋体" w:cs="黑体"/>
                <w:b/>
                <w:sz w:val="20"/>
                <w:szCs w:val="20"/>
                <w:lang w:bidi="ar"/>
              </w:rPr>
            </w:pPr>
            <w:r>
              <w:rPr>
                <w:rFonts w:hint="eastAsia" w:ascii="宋体" w:hAnsi="宋体" w:eastAsia="宋体" w:cs="黑体"/>
                <w:b/>
                <w:sz w:val="20"/>
                <w:szCs w:val="20"/>
                <w:lang w:bidi="ar"/>
              </w:rPr>
              <w:t>S值或</w:t>
            </w:r>
          </w:p>
          <w:p>
            <w:pPr>
              <w:snapToGrid w:val="0"/>
              <w:jc w:val="center"/>
              <w:textAlignment w:val="center"/>
              <w:rPr>
                <w:rFonts w:ascii="宋体" w:hAnsi="宋体" w:eastAsia="宋体" w:cs="黑体"/>
                <w:b/>
                <w:kern w:val="2"/>
                <w:sz w:val="20"/>
                <w:szCs w:val="20"/>
              </w:rPr>
            </w:pPr>
            <w:r>
              <w:rPr>
                <w:rFonts w:hint="eastAsia" w:ascii="宋体" w:hAnsi="宋体" w:eastAsia="宋体" w:cs="黑体"/>
                <w:b/>
                <w:sz w:val="20"/>
                <w:szCs w:val="20"/>
                <w:lang w:bidi="ar"/>
              </w:rPr>
              <w:t>C值范围</w:t>
            </w:r>
          </w:p>
        </w:tc>
        <w:tc>
          <w:tcPr>
            <w:tcW w:w="1021" w:type="dxa"/>
            <w:tcMar>
              <w:top w:w="15" w:type="dxa"/>
              <w:left w:w="15" w:type="dxa"/>
              <w:right w:w="15" w:type="dxa"/>
            </w:tcMar>
            <w:vAlign w:val="center"/>
          </w:tcPr>
          <w:p>
            <w:pPr>
              <w:snapToGrid w:val="0"/>
              <w:jc w:val="center"/>
              <w:textAlignment w:val="center"/>
              <w:rPr>
                <w:rFonts w:ascii="宋体" w:hAnsi="宋体" w:eastAsia="宋体" w:cs="黑体"/>
                <w:b/>
                <w:sz w:val="20"/>
                <w:szCs w:val="20"/>
                <w:lang w:bidi="ar"/>
              </w:rPr>
            </w:pPr>
            <w:r>
              <w:rPr>
                <w:rFonts w:hint="eastAsia" w:ascii="宋体" w:hAnsi="宋体" w:eastAsia="宋体" w:cs="黑体"/>
                <w:b/>
                <w:sz w:val="20"/>
                <w:szCs w:val="20"/>
                <w:lang w:bidi="ar"/>
              </w:rPr>
              <w:t>R值或</w:t>
            </w:r>
          </w:p>
          <w:p>
            <w:pPr>
              <w:snapToGrid w:val="0"/>
              <w:jc w:val="center"/>
              <w:textAlignment w:val="center"/>
              <w:rPr>
                <w:rFonts w:ascii="宋体" w:hAnsi="宋体" w:eastAsia="宋体" w:cs="黑体"/>
                <w:b/>
                <w:kern w:val="2"/>
                <w:sz w:val="20"/>
                <w:szCs w:val="20"/>
              </w:rPr>
            </w:pPr>
            <w:r>
              <w:rPr>
                <w:rFonts w:hint="eastAsia" w:ascii="宋体" w:hAnsi="宋体" w:eastAsia="宋体" w:cs="黑体"/>
                <w:b/>
                <w:sz w:val="20"/>
                <w:szCs w:val="20"/>
                <w:lang w:bidi="ar"/>
              </w:rPr>
              <w:t>D值范围</w:t>
            </w:r>
          </w:p>
        </w:tc>
        <w:tc>
          <w:tcPr>
            <w:tcW w:w="901" w:type="dxa"/>
            <w:tcMar>
              <w:top w:w="15" w:type="dxa"/>
              <w:left w:w="15" w:type="dxa"/>
              <w:right w:w="15" w:type="dxa"/>
            </w:tcMar>
            <w:vAlign w:val="center"/>
          </w:tcPr>
          <w:p>
            <w:pPr>
              <w:snapToGrid w:val="0"/>
              <w:jc w:val="center"/>
              <w:textAlignment w:val="center"/>
              <w:rPr>
                <w:rFonts w:ascii="宋体" w:hAnsi="宋体" w:eastAsia="宋体" w:cs="黑体"/>
                <w:b/>
                <w:kern w:val="2"/>
                <w:sz w:val="20"/>
                <w:szCs w:val="20"/>
              </w:rPr>
            </w:pPr>
            <w:r>
              <w:rPr>
                <w:rFonts w:hint="eastAsia" w:ascii="宋体" w:hAnsi="宋体" w:eastAsia="宋体" w:cs="黑体"/>
                <w:b/>
                <w:sz w:val="20"/>
                <w:szCs w:val="20"/>
                <w:lang w:bidi="ar"/>
              </w:rPr>
              <w:t>风险等级范围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704" w:hRule="atLeast"/>
        </w:trPr>
        <w:tc>
          <w:tcPr>
            <w:tcW w:w="674" w:type="dxa"/>
            <w:noWrap/>
            <w:tcMar>
              <w:top w:w="15" w:type="dxa"/>
              <w:left w:w="15" w:type="dxa"/>
              <w:right w:w="15" w:type="dxa"/>
            </w:tcMar>
            <w:vAlign w:val="center"/>
          </w:tcPr>
          <w:p>
            <w:pPr>
              <w:snapToGrid w:val="0"/>
              <w:jc w:val="center"/>
              <w:textAlignment w:val="center"/>
              <w:rPr>
                <w:rFonts w:ascii="宋体" w:hAnsi="宋体" w:eastAsia="宋体" w:cs="宋体"/>
                <w:sz w:val="20"/>
                <w:szCs w:val="20"/>
                <w:lang w:bidi="ar"/>
              </w:rPr>
            </w:pPr>
            <w:r>
              <w:rPr>
                <w:rFonts w:hint="eastAsia" w:ascii="宋体" w:hAnsi="宋体" w:eastAsia="宋体" w:cs="宋体"/>
                <w:sz w:val="20"/>
                <w:szCs w:val="20"/>
                <w:lang w:bidi="ar"/>
              </w:rPr>
              <w:t>1</w:t>
            </w:r>
          </w:p>
        </w:tc>
        <w:tc>
          <w:tcPr>
            <w:tcW w:w="1095" w:type="dxa"/>
            <w:vMerge w:val="restart"/>
            <w:tcBorders>
              <w:top w:val="single" w:color="auto" w:sz="4" w:space="0"/>
            </w:tcBorders>
            <w:tcMar>
              <w:top w:w="15" w:type="dxa"/>
              <w:left w:w="15" w:type="dxa"/>
              <w:right w:w="15" w:type="dxa"/>
            </w:tcMar>
            <w:vAlign w:val="center"/>
          </w:tcPr>
          <w:p>
            <w:pPr>
              <w:widowControl w:val="0"/>
              <w:snapToGrid w:val="0"/>
              <w:jc w:val="center"/>
              <w:textAlignment w:val="center"/>
              <w:rPr>
                <w:rFonts w:ascii="宋体" w:hAnsi="宋体" w:eastAsia="宋体" w:cs="宋体"/>
                <w:sz w:val="20"/>
                <w:szCs w:val="20"/>
                <w:lang w:bidi="ar"/>
              </w:rPr>
            </w:pPr>
            <w:r>
              <w:rPr>
                <w:rFonts w:hint="eastAsia" w:ascii="宋体" w:hAnsi="宋体" w:eastAsia="宋体" w:cs="宋体"/>
                <w:sz w:val="20"/>
                <w:szCs w:val="20"/>
                <w:lang w:bidi="ar"/>
              </w:rPr>
              <w:t>构（建）   筑物类</w:t>
            </w:r>
          </w:p>
        </w:tc>
        <w:tc>
          <w:tcPr>
            <w:tcW w:w="1184" w:type="dxa"/>
            <w:vMerge w:val="restart"/>
            <w:tcBorders>
              <w:top w:val="single" w:color="auto" w:sz="4" w:space="0"/>
            </w:tcBorders>
            <w:tcMar>
              <w:top w:w="15" w:type="dxa"/>
              <w:left w:w="15" w:type="dxa"/>
              <w:right w:w="15" w:type="dxa"/>
            </w:tcMar>
            <w:vAlign w:val="center"/>
          </w:tcPr>
          <w:p>
            <w:pPr>
              <w:widowControl w:val="0"/>
              <w:snapToGrid w:val="0"/>
              <w:jc w:val="center"/>
              <w:textAlignment w:val="center"/>
              <w:rPr>
                <w:rFonts w:ascii="宋体" w:hAnsi="宋体" w:eastAsia="宋体" w:cs="宋体"/>
                <w:sz w:val="20"/>
                <w:szCs w:val="20"/>
                <w:lang w:bidi="ar"/>
              </w:rPr>
            </w:pPr>
            <w:r>
              <w:rPr>
                <w:rFonts w:hint="eastAsia" w:ascii="宋体" w:hAnsi="宋体" w:eastAsia="宋体" w:cs="宋体"/>
                <w:sz w:val="20"/>
                <w:szCs w:val="20"/>
                <w:lang w:bidi="ar"/>
              </w:rPr>
              <w:t>坝体</w:t>
            </w:r>
          </w:p>
        </w:tc>
        <w:tc>
          <w:tcPr>
            <w:tcW w:w="1607" w:type="dxa"/>
            <w:tcMar>
              <w:top w:w="15" w:type="dxa"/>
              <w:left w:w="15" w:type="dxa"/>
              <w:right w:w="15" w:type="dxa"/>
            </w:tcMar>
            <w:vAlign w:val="center"/>
          </w:tcPr>
          <w:p>
            <w:pPr>
              <w:snapToGrid w:val="0"/>
              <w:jc w:val="center"/>
              <w:textAlignment w:val="center"/>
              <w:rPr>
                <w:rFonts w:ascii="宋体" w:hAnsi="宋体" w:eastAsia="宋体" w:cs="宋体"/>
                <w:sz w:val="20"/>
                <w:szCs w:val="20"/>
                <w:lang w:bidi="ar"/>
              </w:rPr>
            </w:pPr>
            <w:r>
              <w:rPr>
                <w:rFonts w:hint="eastAsia" w:ascii="宋体" w:hAnsi="宋体" w:eastAsia="宋体" w:cs="宋体"/>
                <w:sz w:val="20"/>
                <w:szCs w:val="20"/>
              </w:rPr>
              <w:t>坝顶车辆行驶</w:t>
            </w:r>
          </w:p>
        </w:tc>
        <w:tc>
          <w:tcPr>
            <w:tcW w:w="2437" w:type="dxa"/>
            <w:tcMar>
              <w:top w:w="15" w:type="dxa"/>
              <w:left w:w="15" w:type="dxa"/>
              <w:right w:w="15" w:type="dxa"/>
            </w:tcMar>
            <w:vAlign w:val="center"/>
          </w:tcPr>
          <w:p>
            <w:pPr>
              <w:snapToGrid w:val="0"/>
              <w:jc w:val="center"/>
              <w:textAlignment w:val="center"/>
              <w:rPr>
                <w:rFonts w:ascii="宋体" w:hAnsi="宋体" w:eastAsia="宋体" w:cs="宋体"/>
                <w:sz w:val="20"/>
                <w:szCs w:val="20"/>
              </w:rPr>
            </w:pPr>
            <w:r>
              <w:rPr>
                <w:rFonts w:hint="eastAsia" w:ascii="宋体" w:hAnsi="宋体" w:eastAsia="宋体" w:cs="宋体"/>
                <w:sz w:val="20"/>
                <w:szCs w:val="20"/>
              </w:rPr>
              <w:t>车辆超载、碰撞</w:t>
            </w:r>
          </w:p>
        </w:tc>
        <w:tc>
          <w:tcPr>
            <w:tcW w:w="2189" w:type="dxa"/>
            <w:tcMar>
              <w:top w:w="15" w:type="dxa"/>
              <w:left w:w="15" w:type="dxa"/>
              <w:right w:w="15" w:type="dxa"/>
            </w:tcMar>
            <w:vAlign w:val="center"/>
          </w:tcPr>
          <w:p>
            <w:pPr>
              <w:snapToGrid w:val="0"/>
              <w:jc w:val="center"/>
              <w:textAlignment w:val="center"/>
              <w:rPr>
                <w:rFonts w:ascii="宋体" w:hAnsi="宋体" w:eastAsia="宋体" w:cs="宋体"/>
                <w:sz w:val="20"/>
                <w:szCs w:val="20"/>
              </w:rPr>
            </w:pPr>
            <w:r>
              <w:rPr>
                <w:rFonts w:hint="eastAsia" w:ascii="宋体" w:hAnsi="宋体" w:eastAsia="宋体" w:cs="宋体"/>
                <w:sz w:val="20"/>
                <w:szCs w:val="20"/>
              </w:rPr>
              <w:t>路面损坏、坝体结构   变形或破坏</w:t>
            </w:r>
          </w:p>
        </w:tc>
        <w:tc>
          <w:tcPr>
            <w:tcW w:w="901" w:type="dxa"/>
            <w:tcMar>
              <w:top w:w="15" w:type="dxa"/>
              <w:left w:w="15" w:type="dxa"/>
              <w:right w:w="15" w:type="dxa"/>
            </w:tcMar>
            <w:vAlign w:val="center"/>
          </w:tcPr>
          <w:p>
            <w:pPr>
              <w:snapToGrid w:val="0"/>
              <w:jc w:val="center"/>
              <w:textAlignment w:val="center"/>
              <w:rPr>
                <w:rFonts w:ascii="宋体" w:hAnsi="宋体" w:eastAsia="宋体" w:cs="宋体"/>
                <w:sz w:val="20"/>
                <w:szCs w:val="20"/>
                <w:lang w:bidi="ar"/>
              </w:rPr>
            </w:pPr>
            <w:r>
              <w:rPr>
                <w:rFonts w:hint="eastAsia" w:ascii="宋体" w:hAnsi="宋体" w:eastAsia="宋体" w:cs="宋体"/>
                <w:sz w:val="20"/>
                <w:szCs w:val="20"/>
              </w:rPr>
              <w:t>LS法</w:t>
            </w:r>
          </w:p>
        </w:tc>
        <w:tc>
          <w:tcPr>
            <w:tcW w:w="901" w:type="dxa"/>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5～30</w:t>
            </w:r>
          </w:p>
        </w:tc>
        <w:tc>
          <w:tcPr>
            <w:tcW w:w="721" w:type="dxa"/>
            <w:tcMar>
              <w:top w:w="15" w:type="dxa"/>
              <w:left w:w="15" w:type="dxa"/>
              <w:right w:w="15" w:type="dxa"/>
            </w:tcMar>
            <w:vAlign w:val="center"/>
          </w:tcPr>
          <w:p>
            <w:pPr>
              <w:widowControl w:val="0"/>
              <w:snapToGrid w:val="0"/>
              <w:jc w:val="center"/>
              <w:rPr>
                <w:rFonts w:ascii="宋体" w:hAnsi="宋体" w:eastAsia="宋体" w:cs="宋体"/>
                <w:kern w:val="2"/>
                <w:sz w:val="20"/>
                <w:szCs w:val="20"/>
              </w:rPr>
            </w:pPr>
            <w:r>
              <w:rPr>
                <w:rFonts w:hint="eastAsia" w:ascii="宋体" w:hAnsi="宋体" w:eastAsia="宋体" w:cs="宋体"/>
                <w:kern w:val="2"/>
                <w:sz w:val="20"/>
                <w:szCs w:val="20"/>
              </w:rPr>
              <w:t>/</w:t>
            </w:r>
          </w:p>
        </w:tc>
        <w:tc>
          <w:tcPr>
            <w:tcW w:w="781" w:type="dxa"/>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3～10</w:t>
            </w:r>
          </w:p>
        </w:tc>
        <w:tc>
          <w:tcPr>
            <w:tcW w:w="1021" w:type="dxa"/>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15～300</w:t>
            </w:r>
          </w:p>
        </w:tc>
        <w:tc>
          <w:tcPr>
            <w:tcW w:w="901" w:type="dxa"/>
            <w:noWrap/>
            <w:tcMar>
              <w:top w:w="15" w:type="dxa"/>
              <w:left w:w="15" w:type="dxa"/>
              <w:right w:w="15" w:type="dxa"/>
            </w:tcMar>
            <w:vAlign w:val="center"/>
          </w:tcPr>
          <w:p>
            <w:pPr>
              <w:snapToGrid w:val="0"/>
              <w:jc w:val="center"/>
              <w:textAlignment w:val="center"/>
              <w:rPr>
                <w:rFonts w:ascii="宋体" w:hAnsi="宋体" w:eastAsia="宋体" w:cs="宋体"/>
                <w:sz w:val="20"/>
                <w:szCs w:val="20"/>
                <w:lang w:bidi="ar"/>
              </w:rPr>
            </w:pPr>
            <w:r>
              <w:rPr>
                <w:rFonts w:hint="eastAsia" w:ascii="宋体" w:hAnsi="宋体" w:eastAsia="宋体" w:cs="宋体"/>
                <w:sz w:val="20"/>
                <w:szCs w:val="20"/>
              </w:rPr>
              <w:t>低～较大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734" w:hRule="atLeast"/>
        </w:trPr>
        <w:tc>
          <w:tcPr>
            <w:tcW w:w="674" w:type="dxa"/>
            <w:noWrap/>
            <w:tcMar>
              <w:top w:w="15" w:type="dxa"/>
              <w:left w:w="15" w:type="dxa"/>
              <w:right w:w="15" w:type="dxa"/>
            </w:tcMar>
            <w:vAlign w:val="center"/>
          </w:tcPr>
          <w:p>
            <w:pPr>
              <w:snapToGrid w:val="0"/>
              <w:jc w:val="center"/>
              <w:textAlignment w:val="center"/>
              <w:rPr>
                <w:rFonts w:ascii="宋体" w:hAnsi="宋体" w:eastAsia="宋体" w:cs="宋体"/>
                <w:sz w:val="20"/>
                <w:szCs w:val="20"/>
                <w:lang w:bidi="ar"/>
              </w:rPr>
            </w:pPr>
            <w:r>
              <w:rPr>
                <w:rFonts w:hint="eastAsia" w:ascii="宋体" w:hAnsi="宋体" w:eastAsia="宋体" w:cs="宋体"/>
                <w:sz w:val="20"/>
                <w:szCs w:val="20"/>
                <w:lang w:bidi="ar"/>
              </w:rPr>
              <w:t>2</w:t>
            </w:r>
          </w:p>
        </w:tc>
        <w:tc>
          <w:tcPr>
            <w:tcW w:w="1095" w:type="dxa"/>
            <w:vMerge w:val="continue"/>
            <w:tcBorders>
              <w:top w:val="single" w:color="auto" w:sz="4" w:space="0"/>
            </w:tcBorders>
            <w:tcMar>
              <w:top w:w="15" w:type="dxa"/>
              <w:left w:w="15" w:type="dxa"/>
              <w:right w:w="15" w:type="dxa"/>
            </w:tcMar>
            <w:vAlign w:val="center"/>
          </w:tcPr>
          <w:p>
            <w:pPr>
              <w:widowControl w:val="0"/>
              <w:snapToGrid w:val="0"/>
              <w:jc w:val="center"/>
              <w:textAlignment w:val="center"/>
              <w:rPr>
                <w:rFonts w:ascii="宋体" w:hAnsi="宋体" w:eastAsia="宋体" w:cs="宋体"/>
                <w:sz w:val="20"/>
                <w:szCs w:val="20"/>
                <w:lang w:bidi="ar"/>
              </w:rPr>
            </w:pPr>
          </w:p>
        </w:tc>
        <w:tc>
          <w:tcPr>
            <w:tcW w:w="1184" w:type="dxa"/>
            <w:vMerge w:val="continue"/>
            <w:tcBorders>
              <w:top w:val="single" w:color="auto" w:sz="4" w:space="0"/>
            </w:tcBorders>
            <w:tcMar>
              <w:top w:w="15" w:type="dxa"/>
              <w:left w:w="15" w:type="dxa"/>
              <w:right w:w="15" w:type="dxa"/>
            </w:tcMar>
            <w:vAlign w:val="center"/>
          </w:tcPr>
          <w:p>
            <w:pPr>
              <w:widowControl w:val="0"/>
              <w:snapToGrid w:val="0"/>
              <w:jc w:val="center"/>
              <w:textAlignment w:val="center"/>
              <w:rPr>
                <w:rFonts w:ascii="宋体" w:hAnsi="宋体" w:eastAsia="宋体" w:cs="宋体"/>
                <w:sz w:val="20"/>
                <w:szCs w:val="20"/>
                <w:lang w:bidi="ar"/>
              </w:rPr>
            </w:pPr>
          </w:p>
        </w:tc>
        <w:tc>
          <w:tcPr>
            <w:tcW w:w="1607" w:type="dxa"/>
            <w:tcMar>
              <w:top w:w="15" w:type="dxa"/>
              <w:left w:w="15" w:type="dxa"/>
              <w:right w:w="15" w:type="dxa"/>
            </w:tcMar>
            <w:vAlign w:val="center"/>
          </w:tcPr>
          <w:p>
            <w:pPr>
              <w:snapToGrid w:val="0"/>
              <w:jc w:val="center"/>
              <w:textAlignment w:val="center"/>
              <w:rPr>
                <w:rFonts w:ascii="宋体" w:hAnsi="宋体" w:eastAsia="宋体" w:cs="宋体"/>
                <w:sz w:val="20"/>
                <w:szCs w:val="20"/>
              </w:rPr>
            </w:pPr>
            <w:r>
              <w:rPr>
                <w:rFonts w:hint="eastAsia" w:ascii="宋体" w:hAnsi="宋体" w:eastAsia="宋体" w:cs="宋体"/>
                <w:sz w:val="20"/>
                <w:szCs w:val="20"/>
              </w:rPr>
              <w:t>坝坡</w:t>
            </w:r>
          </w:p>
        </w:tc>
        <w:tc>
          <w:tcPr>
            <w:tcW w:w="2437" w:type="dxa"/>
            <w:tcMar>
              <w:top w:w="15" w:type="dxa"/>
              <w:left w:w="15" w:type="dxa"/>
              <w:right w:w="15" w:type="dxa"/>
            </w:tcMar>
            <w:vAlign w:val="center"/>
          </w:tcPr>
          <w:p>
            <w:pPr>
              <w:snapToGrid w:val="0"/>
              <w:jc w:val="center"/>
              <w:textAlignment w:val="center"/>
              <w:rPr>
                <w:rFonts w:ascii="宋体" w:hAnsi="宋体" w:eastAsia="宋体" w:cs="宋体"/>
                <w:sz w:val="20"/>
                <w:szCs w:val="20"/>
              </w:rPr>
            </w:pPr>
            <w:r>
              <w:rPr>
                <w:rFonts w:hint="eastAsia" w:ascii="宋体" w:hAnsi="宋体" w:eastAsia="宋体" w:cs="宋体"/>
                <w:sz w:val="20"/>
                <w:szCs w:val="20"/>
              </w:rPr>
              <w:t>雨水冲刷、洪水浸泡、     水位骤降、坝坡栽树</w:t>
            </w:r>
          </w:p>
        </w:tc>
        <w:tc>
          <w:tcPr>
            <w:tcW w:w="2189" w:type="dxa"/>
            <w:tcMar>
              <w:top w:w="15" w:type="dxa"/>
              <w:left w:w="15" w:type="dxa"/>
              <w:right w:w="15" w:type="dxa"/>
            </w:tcMar>
            <w:vAlign w:val="center"/>
          </w:tcPr>
          <w:p>
            <w:pPr>
              <w:snapToGrid w:val="0"/>
              <w:jc w:val="center"/>
              <w:textAlignment w:val="center"/>
              <w:rPr>
                <w:rFonts w:ascii="宋体" w:hAnsi="宋体" w:eastAsia="宋体" w:cs="宋体"/>
                <w:sz w:val="20"/>
                <w:szCs w:val="20"/>
              </w:rPr>
            </w:pPr>
            <w:r>
              <w:rPr>
                <w:rFonts w:hint="eastAsia" w:ascii="宋体" w:hAnsi="宋体" w:eastAsia="宋体" w:cs="宋体"/>
                <w:sz w:val="20"/>
                <w:szCs w:val="20"/>
              </w:rPr>
              <w:t>冲沟，裂缝、滑坡、塌陷</w:t>
            </w:r>
          </w:p>
        </w:tc>
        <w:tc>
          <w:tcPr>
            <w:tcW w:w="901" w:type="dxa"/>
            <w:tcMar>
              <w:top w:w="15" w:type="dxa"/>
              <w:left w:w="15" w:type="dxa"/>
              <w:right w:w="15" w:type="dxa"/>
            </w:tcMar>
            <w:vAlign w:val="center"/>
          </w:tcPr>
          <w:p>
            <w:pPr>
              <w:snapToGrid w:val="0"/>
              <w:jc w:val="center"/>
              <w:textAlignment w:val="center"/>
              <w:rPr>
                <w:rFonts w:ascii="宋体" w:hAnsi="宋体" w:eastAsia="宋体" w:cs="宋体"/>
                <w:sz w:val="20"/>
                <w:szCs w:val="20"/>
              </w:rPr>
            </w:pPr>
            <w:r>
              <w:rPr>
                <w:rFonts w:hint="eastAsia" w:ascii="宋体" w:hAnsi="宋体" w:eastAsia="宋体" w:cs="宋体"/>
                <w:sz w:val="20"/>
                <w:szCs w:val="20"/>
              </w:rPr>
              <w:t>LS法</w:t>
            </w:r>
          </w:p>
        </w:tc>
        <w:tc>
          <w:tcPr>
            <w:tcW w:w="901" w:type="dxa"/>
            <w:tcMar>
              <w:top w:w="15" w:type="dxa"/>
              <w:left w:w="15" w:type="dxa"/>
              <w:right w:w="15" w:type="dxa"/>
            </w:tcMar>
            <w:vAlign w:val="center"/>
          </w:tcPr>
          <w:p>
            <w:pPr>
              <w:snapToGrid w:val="0"/>
              <w:jc w:val="center"/>
              <w:textAlignment w:val="center"/>
              <w:rPr>
                <w:rFonts w:ascii="宋体" w:hAnsi="宋体" w:eastAsia="宋体" w:cs="宋体"/>
                <w:sz w:val="20"/>
                <w:szCs w:val="20"/>
                <w:lang w:bidi="ar"/>
              </w:rPr>
            </w:pPr>
            <w:r>
              <w:rPr>
                <w:rFonts w:hint="eastAsia" w:ascii="宋体" w:hAnsi="宋体" w:eastAsia="宋体" w:cs="宋体"/>
                <w:sz w:val="20"/>
                <w:szCs w:val="20"/>
                <w:lang w:bidi="ar"/>
              </w:rPr>
              <w:t>5～60</w:t>
            </w:r>
          </w:p>
        </w:tc>
        <w:tc>
          <w:tcPr>
            <w:tcW w:w="721" w:type="dxa"/>
            <w:tcMar>
              <w:top w:w="15" w:type="dxa"/>
              <w:left w:w="15" w:type="dxa"/>
              <w:right w:w="15" w:type="dxa"/>
            </w:tcMar>
            <w:vAlign w:val="center"/>
          </w:tcPr>
          <w:p>
            <w:pPr>
              <w:widowControl w:val="0"/>
              <w:snapToGrid w:val="0"/>
              <w:jc w:val="center"/>
              <w:rPr>
                <w:rFonts w:ascii="宋体" w:hAnsi="宋体" w:eastAsia="宋体" w:cs="宋体"/>
                <w:kern w:val="2"/>
                <w:sz w:val="20"/>
                <w:szCs w:val="20"/>
              </w:rPr>
            </w:pPr>
            <w:r>
              <w:rPr>
                <w:rFonts w:hint="eastAsia" w:ascii="宋体" w:hAnsi="宋体" w:eastAsia="宋体" w:cs="宋体"/>
                <w:kern w:val="2"/>
                <w:sz w:val="20"/>
                <w:szCs w:val="20"/>
              </w:rPr>
              <w:t>/</w:t>
            </w:r>
          </w:p>
        </w:tc>
        <w:tc>
          <w:tcPr>
            <w:tcW w:w="781" w:type="dxa"/>
            <w:tcMar>
              <w:top w:w="15" w:type="dxa"/>
              <w:left w:w="15" w:type="dxa"/>
              <w:right w:w="15" w:type="dxa"/>
            </w:tcMar>
            <w:vAlign w:val="center"/>
          </w:tcPr>
          <w:p>
            <w:pPr>
              <w:snapToGrid w:val="0"/>
              <w:jc w:val="center"/>
              <w:textAlignment w:val="center"/>
              <w:rPr>
                <w:rFonts w:ascii="宋体" w:hAnsi="宋体" w:eastAsia="宋体" w:cs="宋体"/>
                <w:sz w:val="20"/>
                <w:szCs w:val="20"/>
                <w:lang w:bidi="ar"/>
              </w:rPr>
            </w:pPr>
            <w:r>
              <w:rPr>
                <w:rFonts w:hint="eastAsia" w:ascii="宋体" w:hAnsi="宋体" w:eastAsia="宋体" w:cs="宋体"/>
                <w:sz w:val="20"/>
                <w:szCs w:val="20"/>
                <w:lang w:bidi="ar"/>
              </w:rPr>
              <w:t>3～10</w:t>
            </w:r>
          </w:p>
        </w:tc>
        <w:tc>
          <w:tcPr>
            <w:tcW w:w="1021" w:type="dxa"/>
            <w:tcMar>
              <w:top w:w="15" w:type="dxa"/>
              <w:left w:w="15" w:type="dxa"/>
              <w:right w:w="15" w:type="dxa"/>
            </w:tcMar>
            <w:vAlign w:val="center"/>
          </w:tcPr>
          <w:p>
            <w:pPr>
              <w:snapToGrid w:val="0"/>
              <w:jc w:val="center"/>
              <w:textAlignment w:val="center"/>
              <w:rPr>
                <w:rFonts w:ascii="宋体" w:hAnsi="宋体" w:eastAsia="宋体" w:cs="宋体"/>
                <w:sz w:val="20"/>
                <w:szCs w:val="20"/>
                <w:lang w:bidi="ar"/>
              </w:rPr>
            </w:pPr>
            <w:r>
              <w:rPr>
                <w:rFonts w:hint="eastAsia" w:ascii="宋体" w:hAnsi="宋体" w:eastAsia="宋体" w:cs="宋体"/>
                <w:sz w:val="20"/>
                <w:szCs w:val="20"/>
                <w:lang w:bidi="ar"/>
              </w:rPr>
              <w:t>15～600</w:t>
            </w:r>
          </w:p>
        </w:tc>
        <w:tc>
          <w:tcPr>
            <w:tcW w:w="901" w:type="dxa"/>
            <w:noWrap/>
            <w:tcMar>
              <w:top w:w="15" w:type="dxa"/>
              <w:left w:w="15" w:type="dxa"/>
              <w:right w:w="15" w:type="dxa"/>
            </w:tcMar>
            <w:vAlign w:val="center"/>
          </w:tcPr>
          <w:p>
            <w:pPr>
              <w:snapToGrid w:val="0"/>
              <w:jc w:val="center"/>
              <w:textAlignment w:val="center"/>
              <w:rPr>
                <w:rFonts w:ascii="宋体" w:hAnsi="宋体" w:eastAsia="宋体" w:cs="宋体"/>
                <w:sz w:val="20"/>
                <w:szCs w:val="20"/>
              </w:rPr>
            </w:pPr>
            <w:r>
              <w:rPr>
                <w:rFonts w:hint="eastAsia" w:ascii="宋体" w:hAnsi="宋体" w:eastAsia="宋体" w:cs="宋体"/>
                <w:sz w:val="20"/>
                <w:szCs w:val="20"/>
              </w:rPr>
              <w:t>低～重大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677" w:hRule="atLeast"/>
        </w:trPr>
        <w:tc>
          <w:tcPr>
            <w:tcW w:w="674" w:type="dxa"/>
            <w:noWrap/>
            <w:tcMar>
              <w:top w:w="15" w:type="dxa"/>
              <w:left w:w="15" w:type="dxa"/>
              <w:right w:w="15" w:type="dxa"/>
            </w:tcMar>
            <w:vAlign w:val="center"/>
          </w:tcPr>
          <w:p>
            <w:pPr>
              <w:snapToGrid w:val="0"/>
              <w:jc w:val="center"/>
              <w:textAlignment w:val="center"/>
              <w:rPr>
                <w:rFonts w:ascii="宋体" w:hAnsi="宋体" w:eastAsia="宋体" w:cs="宋体"/>
                <w:sz w:val="20"/>
                <w:szCs w:val="20"/>
                <w:lang w:bidi="ar"/>
              </w:rPr>
            </w:pPr>
            <w:r>
              <w:rPr>
                <w:rFonts w:ascii="宋体" w:hAnsi="宋体" w:eastAsia="宋体" w:cs="宋体"/>
                <w:sz w:val="20"/>
                <w:szCs w:val="20"/>
                <w:lang w:bidi="ar"/>
              </w:rPr>
              <w:t>3</w:t>
            </w:r>
          </w:p>
        </w:tc>
        <w:tc>
          <w:tcPr>
            <w:tcW w:w="1095" w:type="dxa"/>
            <w:vMerge w:val="continue"/>
            <w:tcMar>
              <w:top w:w="15" w:type="dxa"/>
              <w:left w:w="15" w:type="dxa"/>
              <w:right w:w="15" w:type="dxa"/>
            </w:tcMar>
            <w:vAlign w:val="center"/>
          </w:tcPr>
          <w:p>
            <w:pPr>
              <w:widowControl w:val="0"/>
              <w:snapToGrid w:val="0"/>
              <w:jc w:val="center"/>
              <w:rPr>
                <w:rFonts w:ascii="宋体" w:hAnsi="宋体" w:eastAsia="宋体" w:cs="宋体"/>
                <w:sz w:val="20"/>
                <w:szCs w:val="20"/>
                <w:lang w:bidi="ar"/>
              </w:rPr>
            </w:pPr>
          </w:p>
        </w:tc>
        <w:tc>
          <w:tcPr>
            <w:tcW w:w="1184" w:type="dxa"/>
            <w:vMerge w:val="continue"/>
            <w:tcMar>
              <w:top w:w="15" w:type="dxa"/>
              <w:left w:w="15" w:type="dxa"/>
              <w:right w:w="15" w:type="dxa"/>
            </w:tcMar>
            <w:vAlign w:val="center"/>
          </w:tcPr>
          <w:p>
            <w:pPr>
              <w:snapToGrid w:val="0"/>
              <w:jc w:val="center"/>
              <w:textAlignment w:val="center"/>
              <w:rPr>
                <w:rFonts w:ascii="宋体" w:hAnsi="宋体" w:eastAsia="宋体" w:cs="宋体"/>
                <w:sz w:val="20"/>
                <w:szCs w:val="20"/>
                <w:lang w:bidi="ar"/>
              </w:rPr>
            </w:pPr>
          </w:p>
        </w:tc>
        <w:tc>
          <w:tcPr>
            <w:tcW w:w="1607" w:type="dxa"/>
            <w:tcMar>
              <w:top w:w="15" w:type="dxa"/>
              <w:left w:w="15" w:type="dxa"/>
              <w:right w:w="15" w:type="dxa"/>
            </w:tcMar>
            <w:vAlign w:val="center"/>
          </w:tcPr>
          <w:p>
            <w:pPr>
              <w:snapToGrid w:val="0"/>
              <w:jc w:val="center"/>
              <w:textAlignment w:val="center"/>
              <w:rPr>
                <w:rFonts w:ascii="宋体" w:hAnsi="宋体" w:eastAsia="宋体" w:cs="宋体"/>
                <w:sz w:val="20"/>
                <w:szCs w:val="20"/>
                <w:lang w:bidi="ar"/>
              </w:rPr>
            </w:pPr>
            <w:r>
              <w:rPr>
                <w:rFonts w:hint="eastAsia" w:ascii="宋体" w:hAnsi="宋体" w:eastAsia="宋体" w:cs="宋体"/>
                <w:sz w:val="20"/>
                <w:szCs w:val="20"/>
              </w:rPr>
              <w:t>坡面排水</w:t>
            </w:r>
          </w:p>
        </w:tc>
        <w:tc>
          <w:tcPr>
            <w:tcW w:w="2437" w:type="dxa"/>
            <w:tcMar>
              <w:top w:w="15" w:type="dxa"/>
              <w:left w:w="15" w:type="dxa"/>
              <w:right w:w="15" w:type="dxa"/>
            </w:tcMar>
            <w:vAlign w:val="center"/>
          </w:tcPr>
          <w:p>
            <w:pPr>
              <w:snapToGrid w:val="0"/>
              <w:jc w:val="center"/>
              <w:textAlignment w:val="center"/>
              <w:rPr>
                <w:rFonts w:ascii="宋体" w:hAnsi="宋体" w:eastAsia="宋体" w:cs="宋体"/>
                <w:sz w:val="20"/>
                <w:szCs w:val="20"/>
              </w:rPr>
            </w:pPr>
            <w:r>
              <w:rPr>
                <w:rFonts w:hint="eastAsia" w:ascii="宋体" w:hAnsi="宋体" w:eastAsia="宋体" w:cs="宋体"/>
                <w:sz w:val="20"/>
                <w:szCs w:val="20"/>
              </w:rPr>
              <w:t>排水设施损坏、淤堵</w:t>
            </w:r>
          </w:p>
        </w:tc>
        <w:tc>
          <w:tcPr>
            <w:tcW w:w="2189" w:type="dxa"/>
            <w:tcMar>
              <w:top w:w="15" w:type="dxa"/>
              <w:left w:w="15" w:type="dxa"/>
              <w:right w:w="15" w:type="dxa"/>
            </w:tcMar>
            <w:vAlign w:val="center"/>
          </w:tcPr>
          <w:p>
            <w:pPr>
              <w:snapToGrid w:val="0"/>
              <w:jc w:val="center"/>
              <w:textAlignment w:val="center"/>
              <w:rPr>
                <w:rFonts w:ascii="宋体" w:hAnsi="宋体" w:eastAsia="宋体" w:cs="宋体"/>
                <w:sz w:val="20"/>
                <w:szCs w:val="20"/>
              </w:rPr>
            </w:pPr>
            <w:r>
              <w:rPr>
                <w:rFonts w:hint="eastAsia" w:ascii="宋体" w:hAnsi="宋体" w:eastAsia="宋体" w:cs="宋体"/>
                <w:sz w:val="20"/>
                <w:szCs w:val="20"/>
              </w:rPr>
              <w:t>冲刷，塌陷，坝体受损</w:t>
            </w:r>
          </w:p>
        </w:tc>
        <w:tc>
          <w:tcPr>
            <w:tcW w:w="901" w:type="dxa"/>
            <w:tcMar>
              <w:top w:w="15" w:type="dxa"/>
              <w:left w:w="15" w:type="dxa"/>
              <w:right w:w="15" w:type="dxa"/>
            </w:tcMar>
            <w:vAlign w:val="center"/>
          </w:tcPr>
          <w:p>
            <w:pPr>
              <w:snapToGrid w:val="0"/>
              <w:jc w:val="center"/>
              <w:textAlignment w:val="center"/>
              <w:rPr>
                <w:rFonts w:ascii="宋体" w:hAnsi="宋体" w:eastAsia="宋体" w:cs="宋体"/>
                <w:sz w:val="20"/>
                <w:szCs w:val="20"/>
                <w:lang w:bidi="ar"/>
              </w:rPr>
            </w:pPr>
            <w:r>
              <w:rPr>
                <w:rFonts w:hint="eastAsia" w:ascii="宋体" w:hAnsi="宋体" w:eastAsia="宋体" w:cs="宋体"/>
                <w:sz w:val="20"/>
                <w:szCs w:val="20"/>
              </w:rPr>
              <w:t>LS法</w:t>
            </w:r>
          </w:p>
        </w:tc>
        <w:tc>
          <w:tcPr>
            <w:tcW w:w="901" w:type="dxa"/>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5～30</w:t>
            </w:r>
          </w:p>
        </w:tc>
        <w:tc>
          <w:tcPr>
            <w:tcW w:w="721" w:type="dxa"/>
            <w:tcMar>
              <w:top w:w="15" w:type="dxa"/>
              <w:left w:w="15" w:type="dxa"/>
              <w:right w:w="15" w:type="dxa"/>
            </w:tcMar>
            <w:vAlign w:val="center"/>
          </w:tcPr>
          <w:p>
            <w:pPr>
              <w:widowControl w:val="0"/>
              <w:snapToGrid w:val="0"/>
              <w:jc w:val="center"/>
              <w:rPr>
                <w:rFonts w:ascii="宋体" w:hAnsi="宋体" w:eastAsia="宋体" w:cs="宋体"/>
                <w:kern w:val="2"/>
                <w:sz w:val="20"/>
                <w:szCs w:val="20"/>
              </w:rPr>
            </w:pPr>
            <w:r>
              <w:rPr>
                <w:rFonts w:hint="eastAsia" w:ascii="宋体" w:hAnsi="宋体" w:eastAsia="宋体" w:cs="宋体"/>
                <w:kern w:val="2"/>
                <w:sz w:val="20"/>
                <w:szCs w:val="20"/>
              </w:rPr>
              <w:t>/</w:t>
            </w:r>
          </w:p>
        </w:tc>
        <w:tc>
          <w:tcPr>
            <w:tcW w:w="781" w:type="dxa"/>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3～10</w:t>
            </w:r>
          </w:p>
        </w:tc>
        <w:tc>
          <w:tcPr>
            <w:tcW w:w="1021" w:type="dxa"/>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15～300</w:t>
            </w:r>
          </w:p>
        </w:tc>
        <w:tc>
          <w:tcPr>
            <w:tcW w:w="901" w:type="dxa"/>
            <w:noWrap/>
            <w:tcMar>
              <w:top w:w="15" w:type="dxa"/>
              <w:left w:w="15" w:type="dxa"/>
              <w:right w:w="15" w:type="dxa"/>
            </w:tcMar>
            <w:vAlign w:val="center"/>
          </w:tcPr>
          <w:p>
            <w:pPr>
              <w:snapToGrid w:val="0"/>
              <w:jc w:val="center"/>
              <w:textAlignment w:val="center"/>
              <w:rPr>
                <w:rFonts w:ascii="宋体" w:hAnsi="宋体" w:eastAsia="宋体" w:cs="宋体"/>
                <w:sz w:val="20"/>
                <w:szCs w:val="20"/>
                <w:lang w:bidi="ar"/>
              </w:rPr>
            </w:pPr>
            <w:r>
              <w:rPr>
                <w:rFonts w:hint="eastAsia" w:ascii="宋体" w:hAnsi="宋体" w:eastAsia="宋体" w:cs="宋体"/>
                <w:sz w:val="20"/>
                <w:szCs w:val="20"/>
              </w:rPr>
              <w:t>低～较大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642" w:hRule="atLeast"/>
        </w:trPr>
        <w:tc>
          <w:tcPr>
            <w:tcW w:w="674" w:type="dxa"/>
            <w:shd w:val="clear" w:color="auto" w:fill="auto"/>
            <w:noWrap/>
            <w:tcMar>
              <w:top w:w="15" w:type="dxa"/>
              <w:left w:w="15" w:type="dxa"/>
              <w:right w:w="15" w:type="dxa"/>
            </w:tcMar>
            <w:vAlign w:val="center"/>
          </w:tcPr>
          <w:p>
            <w:pPr>
              <w:snapToGrid w:val="0"/>
              <w:jc w:val="center"/>
              <w:textAlignment w:val="center"/>
              <w:rPr>
                <w:rFonts w:ascii="宋体" w:hAnsi="宋体" w:eastAsia="宋体" w:cs="宋体"/>
                <w:sz w:val="20"/>
                <w:szCs w:val="20"/>
                <w:lang w:bidi="ar"/>
              </w:rPr>
            </w:pPr>
            <w:r>
              <w:rPr>
                <w:rFonts w:ascii="宋体" w:hAnsi="宋体" w:eastAsia="宋体" w:cs="宋体"/>
                <w:sz w:val="20"/>
                <w:szCs w:val="20"/>
                <w:lang w:bidi="ar"/>
              </w:rPr>
              <w:t>4</w:t>
            </w:r>
          </w:p>
        </w:tc>
        <w:tc>
          <w:tcPr>
            <w:tcW w:w="1095" w:type="dxa"/>
            <w:vMerge w:val="continue"/>
            <w:shd w:val="clear" w:color="auto" w:fill="auto"/>
            <w:tcMar>
              <w:top w:w="15" w:type="dxa"/>
              <w:left w:w="15" w:type="dxa"/>
              <w:right w:w="15" w:type="dxa"/>
            </w:tcMar>
            <w:vAlign w:val="center"/>
          </w:tcPr>
          <w:p>
            <w:pPr>
              <w:widowControl w:val="0"/>
              <w:snapToGrid w:val="0"/>
              <w:jc w:val="center"/>
              <w:rPr>
                <w:rFonts w:ascii="宋体" w:hAnsi="宋体" w:eastAsia="宋体" w:cs="宋体"/>
                <w:kern w:val="2"/>
                <w:sz w:val="20"/>
                <w:szCs w:val="20"/>
              </w:rPr>
            </w:pPr>
          </w:p>
        </w:tc>
        <w:tc>
          <w:tcPr>
            <w:tcW w:w="1184" w:type="dxa"/>
            <w:vMerge w:val="restart"/>
            <w:tcBorders>
              <w:top w:val="single" w:color="auto" w:sz="4" w:space="0"/>
            </w:tcBorders>
            <w:shd w:val="clear" w:color="auto" w:fill="auto"/>
            <w:tcMar>
              <w:top w:w="15" w:type="dxa"/>
              <w:left w:w="15" w:type="dxa"/>
              <w:right w:w="15" w:type="dxa"/>
            </w:tcMar>
            <w:vAlign w:val="center"/>
          </w:tcPr>
          <w:p>
            <w:pPr>
              <w:widowControl w:val="0"/>
              <w:snapToGrid w:val="0"/>
              <w:jc w:val="center"/>
              <w:rPr>
                <w:rFonts w:ascii="宋体" w:hAnsi="宋体" w:eastAsia="宋体" w:cs="宋体"/>
                <w:kern w:val="2"/>
                <w:sz w:val="20"/>
                <w:szCs w:val="20"/>
              </w:rPr>
            </w:pPr>
            <w:r>
              <w:rPr>
                <w:rFonts w:hint="eastAsia" w:ascii="宋体" w:hAnsi="宋体" w:eastAsia="宋体" w:cs="宋体"/>
                <w:kern w:val="2"/>
                <w:sz w:val="20"/>
                <w:szCs w:val="20"/>
              </w:rPr>
              <w:t>放水建筑物</w:t>
            </w:r>
          </w:p>
        </w:tc>
        <w:tc>
          <w:tcPr>
            <w:tcW w:w="1607" w:type="dxa"/>
            <w:shd w:val="clear" w:color="auto" w:fill="auto"/>
            <w:tcMar>
              <w:top w:w="15" w:type="dxa"/>
              <w:left w:w="15" w:type="dxa"/>
              <w:right w:w="15" w:type="dxa"/>
            </w:tcMar>
            <w:vAlign w:val="center"/>
          </w:tcPr>
          <w:p>
            <w:pPr>
              <w:snapToGrid w:val="0"/>
              <w:jc w:val="center"/>
              <w:textAlignment w:val="center"/>
              <w:rPr>
                <w:rFonts w:ascii="宋体" w:hAnsi="宋体" w:eastAsia="宋体" w:cs="宋体"/>
                <w:sz w:val="20"/>
                <w:szCs w:val="20"/>
                <w:lang w:bidi="ar"/>
              </w:rPr>
            </w:pPr>
            <w:r>
              <w:rPr>
                <w:rFonts w:hint="eastAsia" w:ascii="宋体" w:hAnsi="宋体" w:eastAsia="宋体" w:cs="宋体"/>
                <w:sz w:val="20"/>
                <w:szCs w:val="20"/>
              </w:rPr>
              <w:t>孔塞（插板）</w:t>
            </w:r>
          </w:p>
        </w:tc>
        <w:tc>
          <w:tcPr>
            <w:tcW w:w="2437" w:type="dxa"/>
            <w:shd w:val="clear" w:color="auto" w:fill="auto"/>
            <w:tcMar>
              <w:top w:w="15" w:type="dxa"/>
              <w:left w:w="15" w:type="dxa"/>
              <w:right w:w="15" w:type="dxa"/>
            </w:tcMar>
            <w:vAlign w:val="center"/>
          </w:tcPr>
          <w:p>
            <w:pPr>
              <w:snapToGrid w:val="0"/>
              <w:jc w:val="center"/>
              <w:textAlignment w:val="center"/>
              <w:rPr>
                <w:rFonts w:ascii="宋体" w:hAnsi="宋体" w:eastAsia="宋体" w:cs="宋体"/>
                <w:sz w:val="20"/>
                <w:szCs w:val="20"/>
                <w:lang w:bidi="ar"/>
              </w:rPr>
            </w:pPr>
            <w:r>
              <w:rPr>
                <w:rFonts w:hint="eastAsia" w:ascii="宋体" w:hAnsi="宋体" w:eastAsia="宋体" w:cs="宋体"/>
                <w:sz w:val="20"/>
                <w:szCs w:val="20"/>
              </w:rPr>
              <w:t>缺失</w:t>
            </w:r>
          </w:p>
        </w:tc>
        <w:tc>
          <w:tcPr>
            <w:tcW w:w="2189" w:type="dxa"/>
            <w:shd w:val="clear" w:color="auto" w:fill="auto"/>
            <w:tcMar>
              <w:top w:w="15" w:type="dxa"/>
              <w:left w:w="15" w:type="dxa"/>
              <w:right w:w="15" w:type="dxa"/>
            </w:tcMar>
            <w:vAlign w:val="center"/>
          </w:tcPr>
          <w:p>
            <w:pPr>
              <w:snapToGrid w:val="0"/>
              <w:jc w:val="center"/>
              <w:textAlignment w:val="center"/>
              <w:rPr>
                <w:rFonts w:ascii="宋体" w:hAnsi="宋体" w:eastAsia="宋体" w:cs="宋体"/>
                <w:sz w:val="20"/>
                <w:szCs w:val="20"/>
                <w:lang w:bidi="ar"/>
              </w:rPr>
            </w:pPr>
            <w:r>
              <w:rPr>
                <w:rFonts w:hint="eastAsia" w:ascii="宋体" w:hAnsi="宋体" w:eastAsia="宋体" w:cs="宋体"/>
                <w:sz w:val="20"/>
                <w:szCs w:val="20"/>
              </w:rPr>
              <w:t>影响安全运行</w:t>
            </w:r>
          </w:p>
        </w:tc>
        <w:tc>
          <w:tcPr>
            <w:tcW w:w="901" w:type="dxa"/>
            <w:shd w:val="clear" w:color="auto" w:fill="auto"/>
            <w:tcMar>
              <w:top w:w="15" w:type="dxa"/>
              <w:left w:w="15" w:type="dxa"/>
              <w:right w:w="15" w:type="dxa"/>
            </w:tcMar>
            <w:vAlign w:val="center"/>
          </w:tcPr>
          <w:p>
            <w:pPr>
              <w:snapToGrid w:val="0"/>
              <w:jc w:val="center"/>
              <w:textAlignment w:val="center"/>
              <w:rPr>
                <w:rFonts w:ascii="宋体" w:hAnsi="宋体" w:eastAsia="宋体" w:cs="宋体"/>
                <w:sz w:val="20"/>
                <w:szCs w:val="20"/>
                <w:lang w:bidi="ar"/>
              </w:rPr>
            </w:pPr>
            <w:r>
              <w:rPr>
                <w:rFonts w:hint="eastAsia" w:ascii="宋体" w:hAnsi="宋体" w:eastAsia="宋体" w:cs="宋体"/>
                <w:sz w:val="20"/>
                <w:szCs w:val="20"/>
              </w:rPr>
              <w:t>LS法</w:t>
            </w:r>
          </w:p>
        </w:tc>
        <w:tc>
          <w:tcPr>
            <w:tcW w:w="901" w:type="dxa"/>
            <w:shd w:val="clear" w:color="auto" w:fill="auto"/>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5～30</w:t>
            </w:r>
          </w:p>
        </w:tc>
        <w:tc>
          <w:tcPr>
            <w:tcW w:w="721" w:type="dxa"/>
            <w:shd w:val="clear" w:color="auto" w:fill="auto"/>
            <w:tcMar>
              <w:top w:w="15" w:type="dxa"/>
              <w:left w:w="15" w:type="dxa"/>
              <w:right w:w="15" w:type="dxa"/>
            </w:tcMar>
            <w:vAlign w:val="center"/>
          </w:tcPr>
          <w:p>
            <w:pPr>
              <w:widowControl w:val="0"/>
              <w:snapToGrid w:val="0"/>
              <w:jc w:val="center"/>
              <w:rPr>
                <w:rFonts w:ascii="宋体" w:hAnsi="宋体" w:eastAsia="宋体" w:cs="宋体"/>
                <w:kern w:val="2"/>
                <w:sz w:val="20"/>
                <w:szCs w:val="20"/>
              </w:rPr>
            </w:pPr>
            <w:r>
              <w:rPr>
                <w:rFonts w:hint="eastAsia" w:ascii="宋体" w:hAnsi="宋体" w:eastAsia="宋体" w:cs="宋体"/>
                <w:kern w:val="2"/>
                <w:sz w:val="20"/>
                <w:szCs w:val="20"/>
              </w:rPr>
              <w:t>/</w:t>
            </w:r>
          </w:p>
        </w:tc>
        <w:tc>
          <w:tcPr>
            <w:tcW w:w="781" w:type="dxa"/>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3～10</w:t>
            </w:r>
          </w:p>
        </w:tc>
        <w:tc>
          <w:tcPr>
            <w:tcW w:w="1021" w:type="dxa"/>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15～300</w:t>
            </w:r>
          </w:p>
        </w:tc>
        <w:tc>
          <w:tcPr>
            <w:tcW w:w="901" w:type="dxa"/>
            <w:noWrap/>
            <w:tcMar>
              <w:top w:w="15" w:type="dxa"/>
              <w:left w:w="15" w:type="dxa"/>
              <w:right w:w="15" w:type="dxa"/>
            </w:tcMar>
            <w:vAlign w:val="center"/>
          </w:tcPr>
          <w:p>
            <w:pPr>
              <w:snapToGrid w:val="0"/>
              <w:jc w:val="center"/>
              <w:textAlignment w:val="center"/>
              <w:rPr>
                <w:rFonts w:ascii="宋体" w:hAnsi="宋体" w:eastAsia="宋体" w:cs="宋体"/>
                <w:sz w:val="20"/>
                <w:szCs w:val="20"/>
                <w:lang w:bidi="ar"/>
              </w:rPr>
            </w:pPr>
            <w:r>
              <w:rPr>
                <w:rFonts w:hint="eastAsia" w:ascii="宋体" w:hAnsi="宋体" w:eastAsia="宋体" w:cs="宋体"/>
                <w:sz w:val="20"/>
                <w:szCs w:val="20"/>
              </w:rPr>
              <w:t>低～较大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667" w:hRule="atLeast"/>
        </w:trPr>
        <w:tc>
          <w:tcPr>
            <w:tcW w:w="674" w:type="dxa"/>
            <w:shd w:val="clear" w:color="auto" w:fill="auto"/>
            <w:noWrap/>
            <w:tcMar>
              <w:top w:w="15" w:type="dxa"/>
              <w:left w:w="15" w:type="dxa"/>
              <w:right w:w="15" w:type="dxa"/>
            </w:tcMar>
            <w:vAlign w:val="center"/>
          </w:tcPr>
          <w:p>
            <w:pPr>
              <w:snapToGrid w:val="0"/>
              <w:jc w:val="center"/>
              <w:textAlignment w:val="center"/>
              <w:rPr>
                <w:rFonts w:ascii="宋体" w:hAnsi="宋体" w:eastAsia="宋体" w:cs="宋体"/>
                <w:sz w:val="20"/>
                <w:szCs w:val="20"/>
                <w:lang w:bidi="ar"/>
              </w:rPr>
            </w:pPr>
            <w:r>
              <w:rPr>
                <w:rFonts w:hint="eastAsia" w:ascii="宋体" w:hAnsi="宋体" w:eastAsia="宋体" w:cs="宋体"/>
                <w:sz w:val="20"/>
                <w:szCs w:val="20"/>
                <w:lang w:bidi="ar"/>
              </w:rPr>
              <w:t>5</w:t>
            </w:r>
          </w:p>
        </w:tc>
        <w:tc>
          <w:tcPr>
            <w:tcW w:w="1095" w:type="dxa"/>
            <w:vMerge w:val="continue"/>
            <w:shd w:val="clear" w:color="auto" w:fill="auto"/>
            <w:tcMar>
              <w:top w:w="15" w:type="dxa"/>
              <w:left w:w="15" w:type="dxa"/>
              <w:right w:w="15" w:type="dxa"/>
            </w:tcMar>
            <w:vAlign w:val="center"/>
          </w:tcPr>
          <w:p>
            <w:pPr>
              <w:widowControl w:val="0"/>
              <w:snapToGrid w:val="0"/>
              <w:jc w:val="center"/>
              <w:rPr>
                <w:rFonts w:ascii="宋体" w:hAnsi="宋体" w:eastAsia="宋体" w:cs="宋体"/>
                <w:kern w:val="2"/>
                <w:sz w:val="20"/>
                <w:szCs w:val="20"/>
              </w:rPr>
            </w:pPr>
          </w:p>
        </w:tc>
        <w:tc>
          <w:tcPr>
            <w:tcW w:w="1184" w:type="dxa"/>
            <w:vMerge w:val="continue"/>
            <w:tcBorders>
              <w:top w:val="single" w:color="auto" w:sz="4" w:space="0"/>
            </w:tcBorders>
            <w:shd w:val="clear" w:color="auto" w:fill="auto"/>
            <w:tcMar>
              <w:top w:w="15" w:type="dxa"/>
              <w:left w:w="15" w:type="dxa"/>
              <w:right w:w="15" w:type="dxa"/>
            </w:tcMar>
            <w:vAlign w:val="center"/>
          </w:tcPr>
          <w:p>
            <w:pPr>
              <w:widowControl w:val="0"/>
              <w:snapToGrid w:val="0"/>
              <w:jc w:val="center"/>
              <w:rPr>
                <w:rFonts w:ascii="宋体" w:hAnsi="宋体" w:eastAsia="宋体" w:cs="宋体"/>
                <w:kern w:val="2"/>
                <w:sz w:val="20"/>
                <w:szCs w:val="20"/>
              </w:rPr>
            </w:pPr>
          </w:p>
        </w:tc>
        <w:tc>
          <w:tcPr>
            <w:tcW w:w="1607" w:type="dxa"/>
            <w:shd w:val="clear" w:color="auto" w:fill="auto"/>
            <w:tcMar>
              <w:top w:w="15" w:type="dxa"/>
              <w:left w:w="15" w:type="dxa"/>
              <w:right w:w="15" w:type="dxa"/>
            </w:tcMar>
            <w:vAlign w:val="center"/>
          </w:tcPr>
          <w:p>
            <w:pPr>
              <w:snapToGrid w:val="0"/>
              <w:jc w:val="center"/>
              <w:textAlignment w:val="center"/>
              <w:rPr>
                <w:rFonts w:ascii="宋体" w:hAnsi="宋体" w:eastAsia="宋体" w:cs="宋体"/>
                <w:sz w:val="20"/>
                <w:szCs w:val="20"/>
              </w:rPr>
            </w:pPr>
            <w:r>
              <w:rPr>
                <w:rFonts w:hint="eastAsia" w:ascii="宋体" w:hAnsi="宋体" w:eastAsia="宋体" w:cs="宋体"/>
                <w:sz w:val="20"/>
                <w:szCs w:val="20"/>
              </w:rPr>
              <w:t>通气设施</w:t>
            </w:r>
          </w:p>
        </w:tc>
        <w:tc>
          <w:tcPr>
            <w:tcW w:w="2437" w:type="dxa"/>
            <w:shd w:val="clear" w:color="auto" w:fill="auto"/>
            <w:tcMar>
              <w:top w:w="15" w:type="dxa"/>
              <w:left w:w="15" w:type="dxa"/>
              <w:right w:w="15" w:type="dxa"/>
            </w:tcMar>
            <w:vAlign w:val="center"/>
          </w:tcPr>
          <w:p>
            <w:pPr>
              <w:snapToGrid w:val="0"/>
              <w:jc w:val="center"/>
              <w:textAlignment w:val="center"/>
              <w:rPr>
                <w:rFonts w:ascii="宋体" w:hAnsi="宋体" w:eastAsia="宋体" w:cs="宋体"/>
                <w:sz w:val="20"/>
                <w:szCs w:val="20"/>
              </w:rPr>
            </w:pPr>
            <w:r>
              <w:rPr>
                <w:rFonts w:hint="eastAsia" w:ascii="宋体" w:hAnsi="宋体" w:eastAsia="宋体" w:cs="宋体"/>
                <w:sz w:val="20"/>
                <w:szCs w:val="20"/>
              </w:rPr>
              <w:t>通气通道堵塞</w:t>
            </w:r>
          </w:p>
        </w:tc>
        <w:tc>
          <w:tcPr>
            <w:tcW w:w="2189" w:type="dxa"/>
            <w:shd w:val="clear" w:color="auto" w:fill="auto"/>
            <w:tcMar>
              <w:top w:w="15" w:type="dxa"/>
              <w:left w:w="15" w:type="dxa"/>
              <w:right w:w="15" w:type="dxa"/>
            </w:tcMar>
            <w:vAlign w:val="center"/>
          </w:tcPr>
          <w:p>
            <w:pPr>
              <w:snapToGrid w:val="0"/>
              <w:jc w:val="center"/>
              <w:textAlignment w:val="center"/>
              <w:rPr>
                <w:rFonts w:ascii="宋体" w:hAnsi="宋体" w:eastAsia="宋体" w:cs="宋体"/>
                <w:sz w:val="20"/>
                <w:szCs w:val="20"/>
              </w:rPr>
            </w:pPr>
            <w:r>
              <w:rPr>
                <w:rFonts w:hint="eastAsia" w:ascii="宋体" w:hAnsi="宋体" w:eastAsia="宋体" w:cs="宋体"/>
                <w:sz w:val="20"/>
                <w:szCs w:val="20"/>
              </w:rPr>
              <w:t>影响安全运行</w:t>
            </w:r>
          </w:p>
        </w:tc>
        <w:tc>
          <w:tcPr>
            <w:tcW w:w="901" w:type="dxa"/>
            <w:shd w:val="clear" w:color="auto" w:fill="auto"/>
            <w:tcMar>
              <w:top w:w="15" w:type="dxa"/>
              <w:left w:w="15" w:type="dxa"/>
              <w:right w:w="15" w:type="dxa"/>
            </w:tcMar>
            <w:vAlign w:val="center"/>
          </w:tcPr>
          <w:p>
            <w:pPr>
              <w:snapToGrid w:val="0"/>
              <w:jc w:val="center"/>
              <w:textAlignment w:val="center"/>
              <w:rPr>
                <w:rFonts w:ascii="宋体" w:hAnsi="宋体" w:eastAsia="宋体" w:cs="宋体"/>
                <w:sz w:val="20"/>
                <w:szCs w:val="20"/>
              </w:rPr>
            </w:pPr>
            <w:r>
              <w:rPr>
                <w:rFonts w:hint="eastAsia" w:ascii="宋体" w:hAnsi="宋体" w:eastAsia="宋体" w:cs="宋体"/>
                <w:sz w:val="20"/>
                <w:szCs w:val="20"/>
                <w:lang w:bidi="ar"/>
              </w:rPr>
              <w:t>LS法</w:t>
            </w:r>
          </w:p>
        </w:tc>
        <w:tc>
          <w:tcPr>
            <w:tcW w:w="901" w:type="dxa"/>
            <w:shd w:val="clear" w:color="auto" w:fill="auto"/>
            <w:tcMar>
              <w:top w:w="15" w:type="dxa"/>
              <w:left w:w="15" w:type="dxa"/>
              <w:right w:w="15" w:type="dxa"/>
            </w:tcMar>
            <w:vAlign w:val="center"/>
          </w:tcPr>
          <w:p>
            <w:pPr>
              <w:snapToGrid w:val="0"/>
              <w:jc w:val="center"/>
              <w:textAlignment w:val="center"/>
              <w:rPr>
                <w:rFonts w:ascii="宋体" w:hAnsi="宋体" w:eastAsia="宋体" w:cs="宋体"/>
                <w:sz w:val="20"/>
                <w:szCs w:val="20"/>
                <w:lang w:bidi="ar"/>
              </w:rPr>
            </w:pPr>
            <w:r>
              <w:rPr>
                <w:rFonts w:hint="eastAsia" w:ascii="宋体" w:hAnsi="宋体" w:eastAsia="宋体" w:cs="宋体"/>
                <w:sz w:val="20"/>
                <w:szCs w:val="20"/>
                <w:lang w:bidi="ar"/>
              </w:rPr>
              <w:t>5～30</w:t>
            </w:r>
          </w:p>
        </w:tc>
        <w:tc>
          <w:tcPr>
            <w:tcW w:w="721" w:type="dxa"/>
            <w:shd w:val="clear" w:color="auto" w:fill="auto"/>
            <w:tcMar>
              <w:top w:w="15" w:type="dxa"/>
              <w:left w:w="15" w:type="dxa"/>
              <w:right w:w="15" w:type="dxa"/>
            </w:tcMar>
            <w:vAlign w:val="center"/>
          </w:tcPr>
          <w:p>
            <w:pPr>
              <w:widowControl w:val="0"/>
              <w:snapToGrid w:val="0"/>
              <w:jc w:val="center"/>
              <w:rPr>
                <w:rFonts w:ascii="宋体" w:hAnsi="宋体" w:eastAsia="宋体" w:cs="宋体"/>
                <w:kern w:val="2"/>
                <w:sz w:val="20"/>
                <w:szCs w:val="20"/>
              </w:rPr>
            </w:pPr>
            <w:r>
              <w:rPr>
                <w:rFonts w:hint="eastAsia" w:ascii="宋体" w:hAnsi="宋体" w:eastAsia="宋体" w:cs="宋体"/>
                <w:kern w:val="2"/>
                <w:sz w:val="20"/>
                <w:szCs w:val="20"/>
              </w:rPr>
              <w:t>/</w:t>
            </w:r>
          </w:p>
        </w:tc>
        <w:tc>
          <w:tcPr>
            <w:tcW w:w="781" w:type="dxa"/>
            <w:tcMar>
              <w:top w:w="15" w:type="dxa"/>
              <w:left w:w="15" w:type="dxa"/>
              <w:right w:w="15" w:type="dxa"/>
            </w:tcMar>
            <w:vAlign w:val="center"/>
          </w:tcPr>
          <w:p>
            <w:pPr>
              <w:snapToGrid w:val="0"/>
              <w:jc w:val="center"/>
              <w:textAlignment w:val="center"/>
              <w:rPr>
                <w:rFonts w:ascii="宋体" w:hAnsi="宋体" w:eastAsia="宋体" w:cs="宋体"/>
                <w:sz w:val="20"/>
                <w:szCs w:val="20"/>
                <w:lang w:bidi="ar"/>
              </w:rPr>
            </w:pPr>
            <w:r>
              <w:rPr>
                <w:rFonts w:hint="eastAsia" w:ascii="宋体" w:hAnsi="宋体" w:eastAsia="宋体" w:cs="宋体"/>
                <w:sz w:val="20"/>
                <w:szCs w:val="20"/>
                <w:lang w:bidi="ar"/>
              </w:rPr>
              <w:t>3～10</w:t>
            </w:r>
          </w:p>
        </w:tc>
        <w:tc>
          <w:tcPr>
            <w:tcW w:w="1021" w:type="dxa"/>
            <w:tcMar>
              <w:top w:w="15" w:type="dxa"/>
              <w:left w:w="15" w:type="dxa"/>
              <w:right w:w="15" w:type="dxa"/>
            </w:tcMar>
            <w:vAlign w:val="center"/>
          </w:tcPr>
          <w:p>
            <w:pPr>
              <w:snapToGrid w:val="0"/>
              <w:jc w:val="center"/>
              <w:textAlignment w:val="center"/>
              <w:rPr>
                <w:rFonts w:ascii="宋体" w:hAnsi="宋体" w:eastAsia="宋体" w:cs="宋体"/>
                <w:sz w:val="20"/>
                <w:szCs w:val="20"/>
                <w:lang w:bidi="ar"/>
              </w:rPr>
            </w:pPr>
            <w:r>
              <w:rPr>
                <w:rFonts w:hint="eastAsia" w:ascii="宋体" w:hAnsi="宋体" w:eastAsia="宋体" w:cs="宋体"/>
                <w:sz w:val="20"/>
                <w:szCs w:val="20"/>
                <w:lang w:bidi="ar"/>
              </w:rPr>
              <w:t>15～300</w:t>
            </w:r>
          </w:p>
        </w:tc>
        <w:tc>
          <w:tcPr>
            <w:tcW w:w="901" w:type="dxa"/>
            <w:noWrap/>
            <w:tcMar>
              <w:top w:w="15" w:type="dxa"/>
              <w:left w:w="15" w:type="dxa"/>
              <w:right w:w="15" w:type="dxa"/>
            </w:tcMar>
            <w:vAlign w:val="center"/>
          </w:tcPr>
          <w:p>
            <w:pPr>
              <w:snapToGrid w:val="0"/>
              <w:jc w:val="center"/>
              <w:textAlignment w:val="center"/>
              <w:rPr>
                <w:rFonts w:ascii="宋体" w:hAnsi="宋体" w:eastAsia="宋体" w:cs="宋体"/>
                <w:sz w:val="20"/>
                <w:szCs w:val="20"/>
              </w:rPr>
            </w:pPr>
            <w:r>
              <w:rPr>
                <w:rFonts w:hint="eastAsia" w:ascii="宋体" w:hAnsi="宋体" w:eastAsia="宋体" w:cs="宋体"/>
                <w:sz w:val="20"/>
                <w:szCs w:val="20"/>
                <w:lang w:bidi="ar"/>
              </w:rPr>
              <w:t>低～较大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622" w:hRule="atLeast"/>
        </w:trPr>
        <w:tc>
          <w:tcPr>
            <w:tcW w:w="674" w:type="dxa"/>
            <w:shd w:val="clear" w:color="auto" w:fill="auto"/>
            <w:noWrap/>
            <w:tcMar>
              <w:top w:w="15" w:type="dxa"/>
              <w:left w:w="15" w:type="dxa"/>
              <w:right w:w="15" w:type="dxa"/>
            </w:tcMar>
            <w:vAlign w:val="center"/>
          </w:tcPr>
          <w:p>
            <w:pPr>
              <w:snapToGrid w:val="0"/>
              <w:jc w:val="center"/>
              <w:textAlignment w:val="center"/>
              <w:rPr>
                <w:rFonts w:ascii="宋体" w:hAnsi="宋体" w:eastAsia="宋体" w:cs="宋体"/>
                <w:sz w:val="20"/>
                <w:szCs w:val="20"/>
                <w:lang w:bidi="ar"/>
              </w:rPr>
            </w:pPr>
            <w:r>
              <w:rPr>
                <w:rFonts w:hint="eastAsia" w:ascii="宋体" w:hAnsi="宋体" w:eastAsia="宋体" w:cs="宋体"/>
                <w:sz w:val="20"/>
                <w:szCs w:val="20"/>
                <w:lang w:bidi="ar"/>
              </w:rPr>
              <w:t>6</w:t>
            </w:r>
          </w:p>
        </w:tc>
        <w:tc>
          <w:tcPr>
            <w:tcW w:w="1095" w:type="dxa"/>
            <w:vMerge w:val="continue"/>
            <w:shd w:val="clear" w:color="auto" w:fill="auto"/>
            <w:tcMar>
              <w:top w:w="15" w:type="dxa"/>
              <w:left w:w="15" w:type="dxa"/>
              <w:right w:w="15" w:type="dxa"/>
            </w:tcMar>
            <w:vAlign w:val="center"/>
          </w:tcPr>
          <w:p>
            <w:pPr>
              <w:widowControl w:val="0"/>
              <w:snapToGrid w:val="0"/>
              <w:jc w:val="center"/>
              <w:rPr>
                <w:rFonts w:ascii="宋体" w:hAnsi="宋体" w:eastAsia="宋体" w:cs="宋体"/>
                <w:kern w:val="2"/>
                <w:sz w:val="20"/>
                <w:szCs w:val="20"/>
              </w:rPr>
            </w:pPr>
          </w:p>
        </w:tc>
        <w:tc>
          <w:tcPr>
            <w:tcW w:w="1184" w:type="dxa"/>
            <w:vMerge w:val="continue"/>
            <w:tcBorders>
              <w:top w:val="single" w:color="auto" w:sz="4" w:space="0"/>
            </w:tcBorders>
            <w:shd w:val="clear" w:color="auto" w:fill="auto"/>
            <w:tcMar>
              <w:top w:w="15" w:type="dxa"/>
              <w:left w:w="15" w:type="dxa"/>
              <w:right w:w="15" w:type="dxa"/>
            </w:tcMar>
            <w:vAlign w:val="center"/>
          </w:tcPr>
          <w:p>
            <w:pPr>
              <w:widowControl w:val="0"/>
              <w:snapToGrid w:val="0"/>
              <w:jc w:val="center"/>
              <w:rPr>
                <w:rFonts w:ascii="宋体" w:hAnsi="宋体" w:eastAsia="宋体" w:cs="宋体"/>
                <w:kern w:val="2"/>
                <w:sz w:val="20"/>
                <w:szCs w:val="20"/>
              </w:rPr>
            </w:pPr>
          </w:p>
        </w:tc>
        <w:tc>
          <w:tcPr>
            <w:tcW w:w="1607" w:type="dxa"/>
            <w:shd w:val="clear" w:color="auto" w:fill="auto"/>
            <w:tcMar>
              <w:top w:w="15" w:type="dxa"/>
              <w:left w:w="15" w:type="dxa"/>
              <w:right w:w="15" w:type="dxa"/>
            </w:tcMar>
            <w:vAlign w:val="center"/>
          </w:tcPr>
          <w:p>
            <w:pPr>
              <w:snapToGrid w:val="0"/>
              <w:jc w:val="center"/>
              <w:textAlignment w:val="center"/>
              <w:rPr>
                <w:rFonts w:ascii="宋体" w:hAnsi="宋体" w:eastAsia="宋体" w:cs="宋体"/>
                <w:sz w:val="20"/>
                <w:szCs w:val="20"/>
              </w:rPr>
            </w:pPr>
            <w:r>
              <w:rPr>
                <w:rFonts w:hint="eastAsia" w:ascii="宋体" w:hAnsi="宋体" w:eastAsia="宋体" w:cs="宋体"/>
                <w:sz w:val="20"/>
                <w:szCs w:val="20"/>
              </w:rPr>
              <w:t>明渠</w:t>
            </w:r>
          </w:p>
        </w:tc>
        <w:tc>
          <w:tcPr>
            <w:tcW w:w="2437" w:type="dxa"/>
            <w:shd w:val="clear" w:color="auto" w:fill="auto"/>
            <w:tcMar>
              <w:top w:w="15" w:type="dxa"/>
              <w:left w:w="15" w:type="dxa"/>
              <w:right w:w="15" w:type="dxa"/>
            </w:tcMar>
            <w:vAlign w:val="center"/>
          </w:tcPr>
          <w:p>
            <w:pPr>
              <w:snapToGrid w:val="0"/>
              <w:jc w:val="center"/>
              <w:textAlignment w:val="center"/>
              <w:rPr>
                <w:rFonts w:ascii="宋体" w:hAnsi="宋体" w:eastAsia="宋体" w:cs="宋体"/>
                <w:sz w:val="20"/>
                <w:szCs w:val="20"/>
              </w:rPr>
            </w:pPr>
            <w:r>
              <w:rPr>
                <w:rFonts w:hint="eastAsia" w:ascii="宋体" w:hAnsi="宋体" w:eastAsia="宋体" w:cs="宋体"/>
                <w:sz w:val="20"/>
                <w:szCs w:val="20"/>
              </w:rPr>
              <w:t>水流冲刷、淤积</w:t>
            </w:r>
          </w:p>
        </w:tc>
        <w:tc>
          <w:tcPr>
            <w:tcW w:w="2189" w:type="dxa"/>
            <w:shd w:val="clear" w:color="auto" w:fill="auto"/>
            <w:tcMar>
              <w:top w:w="15" w:type="dxa"/>
              <w:left w:w="15" w:type="dxa"/>
              <w:right w:w="15" w:type="dxa"/>
            </w:tcMar>
            <w:vAlign w:val="center"/>
          </w:tcPr>
          <w:p>
            <w:pPr>
              <w:snapToGrid w:val="0"/>
              <w:jc w:val="center"/>
              <w:textAlignment w:val="center"/>
              <w:rPr>
                <w:rFonts w:ascii="宋体" w:hAnsi="宋体" w:eastAsia="宋体" w:cs="宋体"/>
                <w:sz w:val="20"/>
                <w:szCs w:val="20"/>
              </w:rPr>
            </w:pPr>
            <w:r>
              <w:rPr>
                <w:rFonts w:hint="eastAsia" w:ascii="宋体" w:hAnsi="宋体" w:eastAsia="宋体" w:cs="宋体"/>
                <w:sz w:val="20"/>
                <w:szCs w:val="20"/>
              </w:rPr>
              <w:t>滑坡、崩岸、堵塞</w:t>
            </w:r>
          </w:p>
        </w:tc>
        <w:tc>
          <w:tcPr>
            <w:tcW w:w="901" w:type="dxa"/>
            <w:shd w:val="clear" w:color="auto" w:fill="auto"/>
            <w:tcMar>
              <w:top w:w="15" w:type="dxa"/>
              <w:left w:w="15" w:type="dxa"/>
              <w:right w:w="15" w:type="dxa"/>
            </w:tcMar>
            <w:vAlign w:val="center"/>
          </w:tcPr>
          <w:p>
            <w:pPr>
              <w:snapToGrid w:val="0"/>
              <w:jc w:val="center"/>
              <w:textAlignment w:val="center"/>
              <w:rPr>
                <w:rFonts w:ascii="宋体" w:hAnsi="宋体" w:eastAsia="宋体" w:cs="宋体"/>
                <w:sz w:val="20"/>
                <w:szCs w:val="20"/>
                <w:lang w:bidi="ar"/>
              </w:rPr>
            </w:pPr>
            <w:r>
              <w:rPr>
                <w:rFonts w:hint="eastAsia" w:ascii="宋体" w:hAnsi="宋体" w:eastAsia="宋体" w:cs="宋体"/>
                <w:sz w:val="20"/>
                <w:szCs w:val="20"/>
              </w:rPr>
              <w:t>LS法</w:t>
            </w:r>
          </w:p>
        </w:tc>
        <w:tc>
          <w:tcPr>
            <w:tcW w:w="901" w:type="dxa"/>
            <w:shd w:val="clear" w:color="auto" w:fill="auto"/>
            <w:tcMar>
              <w:top w:w="15" w:type="dxa"/>
              <w:left w:w="15" w:type="dxa"/>
              <w:right w:w="15" w:type="dxa"/>
            </w:tcMar>
            <w:vAlign w:val="center"/>
          </w:tcPr>
          <w:p>
            <w:pPr>
              <w:snapToGrid w:val="0"/>
              <w:jc w:val="center"/>
              <w:textAlignment w:val="center"/>
              <w:rPr>
                <w:rFonts w:ascii="宋体" w:hAnsi="宋体" w:eastAsia="宋体" w:cs="宋体"/>
                <w:sz w:val="20"/>
                <w:szCs w:val="20"/>
                <w:lang w:bidi="ar"/>
              </w:rPr>
            </w:pPr>
            <w:r>
              <w:rPr>
                <w:rFonts w:hint="eastAsia" w:ascii="宋体" w:hAnsi="宋体" w:eastAsia="宋体" w:cs="宋体"/>
                <w:sz w:val="20"/>
                <w:szCs w:val="20"/>
              </w:rPr>
              <w:t>5～</w:t>
            </w:r>
            <w:r>
              <w:rPr>
                <w:rFonts w:ascii="宋体" w:hAnsi="宋体" w:eastAsia="宋体" w:cs="宋体"/>
                <w:sz w:val="20"/>
                <w:szCs w:val="20"/>
              </w:rPr>
              <w:t>30</w:t>
            </w:r>
          </w:p>
        </w:tc>
        <w:tc>
          <w:tcPr>
            <w:tcW w:w="721" w:type="dxa"/>
            <w:shd w:val="clear" w:color="auto" w:fill="auto"/>
            <w:tcMar>
              <w:top w:w="15" w:type="dxa"/>
              <w:left w:w="15" w:type="dxa"/>
              <w:right w:w="15" w:type="dxa"/>
            </w:tcMar>
            <w:vAlign w:val="center"/>
          </w:tcPr>
          <w:p>
            <w:pPr>
              <w:widowControl w:val="0"/>
              <w:snapToGrid w:val="0"/>
              <w:jc w:val="center"/>
              <w:rPr>
                <w:rFonts w:ascii="宋体" w:hAnsi="宋体" w:eastAsia="宋体" w:cs="宋体"/>
                <w:kern w:val="2"/>
                <w:sz w:val="20"/>
                <w:szCs w:val="20"/>
              </w:rPr>
            </w:pPr>
            <w:r>
              <w:rPr>
                <w:rFonts w:hint="eastAsia" w:ascii="宋体" w:hAnsi="宋体" w:eastAsia="宋体" w:cs="宋体"/>
                <w:sz w:val="20"/>
                <w:szCs w:val="20"/>
              </w:rPr>
              <w:t>/</w:t>
            </w:r>
          </w:p>
        </w:tc>
        <w:tc>
          <w:tcPr>
            <w:tcW w:w="781" w:type="dxa"/>
            <w:tcMar>
              <w:top w:w="15" w:type="dxa"/>
              <w:left w:w="15" w:type="dxa"/>
              <w:right w:w="15" w:type="dxa"/>
            </w:tcMar>
            <w:vAlign w:val="center"/>
          </w:tcPr>
          <w:p>
            <w:pPr>
              <w:snapToGrid w:val="0"/>
              <w:jc w:val="center"/>
              <w:textAlignment w:val="center"/>
              <w:rPr>
                <w:rFonts w:ascii="宋体" w:hAnsi="宋体" w:eastAsia="宋体" w:cs="宋体"/>
                <w:sz w:val="20"/>
                <w:szCs w:val="20"/>
                <w:lang w:bidi="ar"/>
              </w:rPr>
            </w:pPr>
            <w:r>
              <w:rPr>
                <w:rFonts w:hint="eastAsia" w:ascii="宋体" w:hAnsi="宋体" w:eastAsia="宋体" w:cs="宋体"/>
                <w:sz w:val="20"/>
                <w:szCs w:val="20"/>
              </w:rPr>
              <w:t>3～10</w:t>
            </w:r>
          </w:p>
        </w:tc>
        <w:tc>
          <w:tcPr>
            <w:tcW w:w="1021" w:type="dxa"/>
            <w:tcMar>
              <w:top w:w="15" w:type="dxa"/>
              <w:left w:w="15" w:type="dxa"/>
              <w:right w:w="15" w:type="dxa"/>
            </w:tcMar>
            <w:vAlign w:val="center"/>
          </w:tcPr>
          <w:p>
            <w:pPr>
              <w:snapToGrid w:val="0"/>
              <w:jc w:val="center"/>
              <w:textAlignment w:val="center"/>
              <w:rPr>
                <w:rFonts w:ascii="宋体" w:hAnsi="宋体" w:eastAsia="宋体" w:cs="宋体"/>
                <w:sz w:val="20"/>
                <w:szCs w:val="20"/>
                <w:lang w:bidi="ar"/>
              </w:rPr>
            </w:pPr>
            <w:r>
              <w:rPr>
                <w:rFonts w:hint="eastAsia" w:ascii="宋体" w:hAnsi="宋体" w:eastAsia="宋体" w:cs="宋体"/>
                <w:sz w:val="20"/>
                <w:szCs w:val="20"/>
              </w:rPr>
              <w:t>15～</w:t>
            </w:r>
            <w:r>
              <w:rPr>
                <w:rFonts w:ascii="宋体" w:hAnsi="宋体" w:eastAsia="宋体" w:cs="宋体"/>
                <w:sz w:val="20"/>
                <w:szCs w:val="20"/>
              </w:rPr>
              <w:t>300</w:t>
            </w:r>
          </w:p>
        </w:tc>
        <w:tc>
          <w:tcPr>
            <w:tcW w:w="901" w:type="dxa"/>
            <w:noWrap/>
            <w:tcMar>
              <w:top w:w="15" w:type="dxa"/>
              <w:left w:w="15" w:type="dxa"/>
              <w:right w:w="15" w:type="dxa"/>
            </w:tcMar>
            <w:vAlign w:val="center"/>
          </w:tcPr>
          <w:p>
            <w:pPr>
              <w:snapToGrid w:val="0"/>
              <w:jc w:val="center"/>
              <w:textAlignment w:val="center"/>
              <w:rPr>
                <w:rFonts w:ascii="宋体" w:hAnsi="宋体" w:eastAsia="宋体" w:cs="宋体"/>
                <w:sz w:val="20"/>
                <w:szCs w:val="20"/>
                <w:lang w:bidi="ar"/>
              </w:rPr>
            </w:pPr>
            <w:r>
              <w:rPr>
                <w:rFonts w:hint="eastAsia" w:ascii="宋体" w:hAnsi="宋体" w:eastAsia="宋体" w:cs="宋体"/>
                <w:sz w:val="20"/>
                <w:szCs w:val="20"/>
              </w:rPr>
              <w:t>低～较大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62" w:hRule="atLeast"/>
        </w:trPr>
        <w:tc>
          <w:tcPr>
            <w:tcW w:w="674" w:type="dxa"/>
            <w:shd w:val="clear" w:color="auto" w:fill="auto"/>
            <w:noWrap/>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ascii="宋体" w:hAnsi="宋体" w:eastAsia="宋体" w:cs="宋体"/>
                <w:kern w:val="2"/>
                <w:sz w:val="20"/>
                <w:szCs w:val="20"/>
              </w:rPr>
              <w:t>7</w:t>
            </w:r>
          </w:p>
        </w:tc>
        <w:tc>
          <w:tcPr>
            <w:tcW w:w="1095" w:type="dxa"/>
            <w:vMerge w:val="continue"/>
            <w:shd w:val="clear" w:color="auto" w:fill="auto"/>
            <w:tcMar>
              <w:top w:w="15" w:type="dxa"/>
              <w:left w:w="15" w:type="dxa"/>
              <w:right w:w="15" w:type="dxa"/>
            </w:tcMar>
            <w:vAlign w:val="center"/>
          </w:tcPr>
          <w:p>
            <w:pPr>
              <w:widowControl w:val="0"/>
              <w:snapToGrid w:val="0"/>
              <w:jc w:val="center"/>
              <w:rPr>
                <w:rFonts w:ascii="宋体" w:hAnsi="宋体" w:eastAsia="宋体" w:cs="宋体"/>
                <w:kern w:val="2"/>
                <w:sz w:val="20"/>
                <w:szCs w:val="20"/>
              </w:rPr>
            </w:pPr>
          </w:p>
        </w:tc>
        <w:tc>
          <w:tcPr>
            <w:tcW w:w="1184" w:type="dxa"/>
            <w:vMerge w:val="continue"/>
            <w:shd w:val="clear" w:color="auto" w:fill="auto"/>
            <w:tcMar>
              <w:top w:w="15" w:type="dxa"/>
              <w:left w:w="15" w:type="dxa"/>
              <w:right w:w="15" w:type="dxa"/>
            </w:tcMar>
            <w:vAlign w:val="center"/>
          </w:tcPr>
          <w:p>
            <w:pPr>
              <w:widowControl w:val="0"/>
              <w:snapToGrid w:val="0"/>
              <w:jc w:val="center"/>
              <w:rPr>
                <w:rFonts w:ascii="宋体" w:hAnsi="宋体" w:eastAsia="宋体" w:cs="宋体"/>
                <w:kern w:val="2"/>
                <w:sz w:val="20"/>
                <w:szCs w:val="20"/>
              </w:rPr>
            </w:pPr>
          </w:p>
        </w:tc>
        <w:tc>
          <w:tcPr>
            <w:tcW w:w="1607" w:type="dxa"/>
            <w:shd w:val="clear" w:color="auto" w:fill="auto"/>
            <w:tcMar>
              <w:top w:w="15" w:type="dxa"/>
              <w:left w:w="15" w:type="dxa"/>
              <w:right w:w="15" w:type="dxa"/>
            </w:tcMar>
            <w:vAlign w:val="center"/>
          </w:tcPr>
          <w:p>
            <w:pPr>
              <w:snapToGrid w:val="0"/>
              <w:jc w:val="center"/>
              <w:textAlignment w:val="center"/>
              <w:rPr>
                <w:rFonts w:ascii="宋体" w:hAnsi="宋体" w:eastAsia="宋体" w:cs="宋体"/>
                <w:sz w:val="20"/>
                <w:szCs w:val="20"/>
              </w:rPr>
            </w:pPr>
            <w:r>
              <w:rPr>
                <w:rFonts w:hint="eastAsia" w:ascii="宋体" w:hAnsi="宋体" w:eastAsia="宋体" w:cs="宋体"/>
                <w:sz w:val="20"/>
                <w:szCs w:val="20"/>
              </w:rPr>
              <w:t>消能设施</w:t>
            </w:r>
          </w:p>
        </w:tc>
        <w:tc>
          <w:tcPr>
            <w:tcW w:w="2437" w:type="dxa"/>
            <w:shd w:val="clear" w:color="auto" w:fill="auto"/>
            <w:tcMar>
              <w:top w:w="15" w:type="dxa"/>
              <w:left w:w="15" w:type="dxa"/>
              <w:right w:w="15" w:type="dxa"/>
            </w:tcMar>
            <w:vAlign w:val="center"/>
          </w:tcPr>
          <w:p>
            <w:pPr>
              <w:snapToGrid w:val="0"/>
              <w:jc w:val="center"/>
              <w:textAlignment w:val="center"/>
              <w:rPr>
                <w:rFonts w:ascii="宋体" w:hAnsi="宋体" w:eastAsia="宋体" w:cs="宋体"/>
                <w:sz w:val="20"/>
                <w:szCs w:val="20"/>
              </w:rPr>
            </w:pPr>
            <w:r>
              <w:rPr>
                <w:rFonts w:hint="eastAsia" w:ascii="宋体" w:hAnsi="宋体" w:eastAsia="宋体" w:cs="宋体"/>
                <w:sz w:val="20"/>
                <w:szCs w:val="20"/>
              </w:rPr>
              <w:t>底部淘刷、淤积</w:t>
            </w:r>
          </w:p>
        </w:tc>
        <w:tc>
          <w:tcPr>
            <w:tcW w:w="2189" w:type="dxa"/>
            <w:shd w:val="clear" w:color="auto" w:fill="auto"/>
            <w:tcMar>
              <w:top w:w="15" w:type="dxa"/>
              <w:left w:w="15" w:type="dxa"/>
              <w:right w:w="15" w:type="dxa"/>
            </w:tcMar>
            <w:vAlign w:val="center"/>
          </w:tcPr>
          <w:p>
            <w:pPr>
              <w:snapToGrid w:val="0"/>
              <w:jc w:val="center"/>
              <w:textAlignment w:val="center"/>
              <w:rPr>
                <w:rFonts w:ascii="宋体" w:hAnsi="宋体" w:eastAsia="宋体" w:cs="宋体"/>
                <w:sz w:val="20"/>
                <w:szCs w:val="20"/>
              </w:rPr>
            </w:pPr>
            <w:r>
              <w:rPr>
                <w:rFonts w:hint="eastAsia" w:ascii="宋体" w:hAnsi="宋体" w:eastAsia="宋体" w:cs="宋体"/>
                <w:sz w:val="20"/>
                <w:szCs w:val="20"/>
              </w:rPr>
              <w:t>开裂、破坏、沉陷</w:t>
            </w:r>
          </w:p>
        </w:tc>
        <w:tc>
          <w:tcPr>
            <w:tcW w:w="901" w:type="dxa"/>
            <w:shd w:val="clear" w:color="auto" w:fill="auto"/>
            <w:tcMar>
              <w:top w:w="15" w:type="dxa"/>
              <w:left w:w="15" w:type="dxa"/>
              <w:right w:w="15" w:type="dxa"/>
            </w:tcMar>
            <w:vAlign w:val="center"/>
          </w:tcPr>
          <w:p>
            <w:pPr>
              <w:snapToGrid w:val="0"/>
              <w:jc w:val="center"/>
              <w:textAlignment w:val="center"/>
              <w:rPr>
                <w:rFonts w:ascii="宋体" w:hAnsi="宋体" w:eastAsia="宋体" w:cs="宋体"/>
                <w:sz w:val="20"/>
                <w:szCs w:val="20"/>
              </w:rPr>
            </w:pPr>
            <w:r>
              <w:rPr>
                <w:rFonts w:hint="eastAsia" w:ascii="宋体" w:hAnsi="宋体" w:eastAsia="宋体" w:cs="宋体"/>
                <w:sz w:val="20"/>
                <w:szCs w:val="20"/>
              </w:rPr>
              <w:t>LS法</w:t>
            </w:r>
          </w:p>
        </w:tc>
        <w:tc>
          <w:tcPr>
            <w:tcW w:w="901" w:type="dxa"/>
            <w:shd w:val="clear" w:color="auto" w:fill="auto"/>
            <w:tcMar>
              <w:top w:w="15" w:type="dxa"/>
              <w:left w:w="15" w:type="dxa"/>
              <w:right w:w="15" w:type="dxa"/>
            </w:tcMar>
            <w:vAlign w:val="center"/>
          </w:tcPr>
          <w:p>
            <w:pPr>
              <w:snapToGrid w:val="0"/>
              <w:jc w:val="center"/>
              <w:textAlignment w:val="center"/>
              <w:rPr>
                <w:rFonts w:ascii="宋体" w:hAnsi="宋体" w:eastAsia="宋体" w:cs="宋体"/>
                <w:sz w:val="20"/>
                <w:szCs w:val="20"/>
              </w:rPr>
            </w:pPr>
            <w:r>
              <w:rPr>
                <w:rFonts w:hint="eastAsia" w:ascii="宋体" w:hAnsi="宋体" w:eastAsia="宋体" w:cs="宋体"/>
                <w:sz w:val="20"/>
                <w:szCs w:val="20"/>
              </w:rPr>
              <w:t>5～60</w:t>
            </w:r>
          </w:p>
        </w:tc>
        <w:tc>
          <w:tcPr>
            <w:tcW w:w="721" w:type="dxa"/>
            <w:shd w:val="clear" w:color="auto" w:fill="auto"/>
            <w:tcMar>
              <w:top w:w="15" w:type="dxa"/>
              <w:left w:w="15" w:type="dxa"/>
              <w:right w:w="15" w:type="dxa"/>
            </w:tcMar>
            <w:vAlign w:val="center"/>
          </w:tcPr>
          <w:p>
            <w:pPr>
              <w:widowControl w:val="0"/>
              <w:snapToGrid w:val="0"/>
              <w:jc w:val="center"/>
              <w:rPr>
                <w:rFonts w:ascii="宋体" w:hAnsi="宋体" w:eastAsia="宋体" w:cs="宋体"/>
                <w:sz w:val="20"/>
                <w:szCs w:val="20"/>
              </w:rPr>
            </w:pPr>
            <w:r>
              <w:rPr>
                <w:rFonts w:hint="eastAsia" w:ascii="宋体" w:hAnsi="宋体" w:eastAsia="宋体" w:cs="宋体"/>
                <w:sz w:val="20"/>
                <w:szCs w:val="20"/>
              </w:rPr>
              <w:t>/</w:t>
            </w:r>
          </w:p>
        </w:tc>
        <w:tc>
          <w:tcPr>
            <w:tcW w:w="781" w:type="dxa"/>
            <w:tcMar>
              <w:top w:w="15" w:type="dxa"/>
              <w:left w:w="15" w:type="dxa"/>
              <w:right w:w="15" w:type="dxa"/>
            </w:tcMar>
            <w:vAlign w:val="center"/>
          </w:tcPr>
          <w:p>
            <w:pPr>
              <w:snapToGrid w:val="0"/>
              <w:jc w:val="center"/>
              <w:textAlignment w:val="center"/>
              <w:rPr>
                <w:rFonts w:ascii="宋体" w:hAnsi="宋体" w:eastAsia="宋体" w:cs="宋体"/>
                <w:sz w:val="20"/>
                <w:szCs w:val="20"/>
              </w:rPr>
            </w:pPr>
            <w:r>
              <w:rPr>
                <w:rFonts w:hint="eastAsia" w:ascii="宋体" w:hAnsi="宋体" w:eastAsia="宋体" w:cs="宋体"/>
                <w:sz w:val="20"/>
                <w:szCs w:val="20"/>
              </w:rPr>
              <w:t>3～10</w:t>
            </w:r>
          </w:p>
        </w:tc>
        <w:tc>
          <w:tcPr>
            <w:tcW w:w="1021" w:type="dxa"/>
            <w:tcMar>
              <w:top w:w="15" w:type="dxa"/>
              <w:left w:w="15" w:type="dxa"/>
              <w:right w:w="15" w:type="dxa"/>
            </w:tcMar>
            <w:vAlign w:val="center"/>
          </w:tcPr>
          <w:p>
            <w:pPr>
              <w:snapToGrid w:val="0"/>
              <w:jc w:val="center"/>
              <w:textAlignment w:val="center"/>
              <w:rPr>
                <w:rFonts w:ascii="宋体" w:hAnsi="宋体" w:eastAsia="宋体" w:cs="宋体"/>
                <w:sz w:val="20"/>
                <w:szCs w:val="20"/>
              </w:rPr>
            </w:pPr>
            <w:r>
              <w:rPr>
                <w:rFonts w:hint="eastAsia" w:ascii="宋体" w:hAnsi="宋体" w:eastAsia="宋体" w:cs="宋体"/>
                <w:sz w:val="20"/>
                <w:szCs w:val="20"/>
              </w:rPr>
              <w:t>15～600</w:t>
            </w:r>
          </w:p>
        </w:tc>
        <w:tc>
          <w:tcPr>
            <w:tcW w:w="901" w:type="dxa"/>
            <w:noWrap/>
            <w:tcMar>
              <w:top w:w="15" w:type="dxa"/>
              <w:left w:w="15" w:type="dxa"/>
              <w:right w:w="15" w:type="dxa"/>
            </w:tcMar>
            <w:vAlign w:val="center"/>
          </w:tcPr>
          <w:p>
            <w:pPr>
              <w:snapToGrid w:val="0"/>
              <w:jc w:val="center"/>
              <w:textAlignment w:val="center"/>
              <w:rPr>
                <w:rFonts w:ascii="宋体" w:hAnsi="宋体" w:eastAsia="宋体" w:cs="宋体"/>
                <w:sz w:val="20"/>
                <w:szCs w:val="20"/>
              </w:rPr>
            </w:pPr>
            <w:r>
              <w:rPr>
                <w:rFonts w:hint="eastAsia" w:ascii="宋体" w:hAnsi="宋体" w:eastAsia="宋体" w:cs="宋体"/>
                <w:sz w:val="20"/>
                <w:szCs w:val="20"/>
              </w:rPr>
              <w:t>低～重大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47" w:hRule="atLeast"/>
        </w:trPr>
        <w:tc>
          <w:tcPr>
            <w:tcW w:w="674" w:type="dxa"/>
            <w:noWrap/>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ascii="宋体" w:hAnsi="宋体" w:eastAsia="宋体" w:cs="宋体"/>
                <w:kern w:val="2"/>
                <w:sz w:val="20"/>
                <w:szCs w:val="20"/>
              </w:rPr>
              <w:t>8</w:t>
            </w:r>
          </w:p>
        </w:tc>
        <w:tc>
          <w:tcPr>
            <w:tcW w:w="1095" w:type="dxa"/>
            <w:vMerge w:val="continue"/>
            <w:tcMar>
              <w:top w:w="15" w:type="dxa"/>
              <w:left w:w="15" w:type="dxa"/>
              <w:right w:w="15" w:type="dxa"/>
            </w:tcMar>
            <w:vAlign w:val="center"/>
          </w:tcPr>
          <w:p>
            <w:pPr>
              <w:widowControl w:val="0"/>
              <w:snapToGrid w:val="0"/>
              <w:jc w:val="center"/>
              <w:rPr>
                <w:rFonts w:ascii="宋体" w:hAnsi="宋体" w:eastAsia="宋体" w:cs="宋体"/>
                <w:kern w:val="2"/>
                <w:sz w:val="20"/>
                <w:szCs w:val="20"/>
              </w:rPr>
            </w:pPr>
          </w:p>
        </w:tc>
        <w:tc>
          <w:tcPr>
            <w:tcW w:w="1184" w:type="dxa"/>
            <w:vMerge w:val="restart"/>
            <w:tcBorders>
              <w:top w:val="single" w:color="auto" w:sz="4" w:space="0"/>
            </w:tcBorders>
            <w:tcMar>
              <w:top w:w="15" w:type="dxa"/>
              <w:left w:w="15" w:type="dxa"/>
              <w:right w:w="15" w:type="dxa"/>
            </w:tcMar>
            <w:vAlign w:val="center"/>
          </w:tcPr>
          <w:p>
            <w:pPr>
              <w:widowControl w:val="0"/>
              <w:snapToGrid w:val="0"/>
              <w:jc w:val="center"/>
              <w:rPr>
                <w:rFonts w:ascii="宋体" w:hAnsi="宋体" w:eastAsia="宋体" w:cs="宋体"/>
                <w:kern w:val="2"/>
                <w:sz w:val="20"/>
                <w:szCs w:val="20"/>
              </w:rPr>
            </w:pPr>
            <w:r>
              <w:rPr>
                <w:rFonts w:hint="eastAsia" w:ascii="宋体" w:hAnsi="宋体" w:eastAsia="宋体" w:cs="宋体"/>
                <w:kern w:val="2"/>
                <w:sz w:val="20"/>
                <w:szCs w:val="20"/>
              </w:rPr>
              <w:t>泄洪建筑物</w:t>
            </w:r>
          </w:p>
        </w:tc>
        <w:tc>
          <w:tcPr>
            <w:tcW w:w="1607" w:type="dxa"/>
            <w:tcMar>
              <w:top w:w="15" w:type="dxa"/>
              <w:left w:w="15" w:type="dxa"/>
              <w:right w:w="15" w:type="dxa"/>
            </w:tcMar>
            <w:vAlign w:val="center"/>
          </w:tcPr>
          <w:p>
            <w:pPr>
              <w:snapToGrid w:val="0"/>
              <w:jc w:val="center"/>
              <w:textAlignment w:val="center"/>
              <w:rPr>
                <w:rFonts w:ascii="宋体" w:hAnsi="宋体" w:eastAsia="宋体" w:cs="宋体"/>
                <w:sz w:val="20"/>
                <w:szCs w:val="20"/>
              </w:rPr>
            </w:pPr>
            <w:r>
              <w:rPr>
                <w:rFonts w:hint="eastAsia" w:ascii="宋体" w:hAnsi="宋体" w:eastAsia="宋体" w:cs="宋体"/>
                <w:sz w:val="20"/>
                <w:szCs w:val="20"/>
              </w:rPr>
              <w:t>溢洪道结构表面</w:t>
            </w:r>
          </w:p>
        </w:tc>
        <w:tc>
          <w:tcPr>
            <w:tcW w:w="2437" w:type="dxa"/>
            <w:tcMar>
              <w:top w:w="15" w:type="dxa"/>
              <w:left w:w="15" w:type="dxa"/>
              <w:right w:w="15" w:type="dxa"/>
            </w:tcMar>
            <w:vAlign w:val="center"/>
          </w:tcPr>
          <w:p>
            <w:pPr>
              <w:snapToGrid w:val="0"/>
              <w:jc w:val="center"/>
              <w:textAlignment w:val="center"/>
              <w:rPr>
                <w:rFonts w:ascii="宋体" w:hAnsi="宋体" w:eastAsia="宋体" w:cs="宋体"/>
                <w:sz w:val="20"/>
                <w:szCs w:val="20"/>
              </w:rPr>
            </w:pPr>
            <w:r>
              <w:rPr>
                <w:rFonts w:hint="eastAsia" w:ascii="宋体" w:hAnsi="宋体" w:eastAsia="宋体" w:cs="宋体"/>
                <w:sz w:val="20"/>
                <w:szCs w:val="20"/>
              </w:rPr>
              <w:t>水流冲刷</w:t>
            </w:r>
          </w:p>
        </w:tc>
        <w:tc>
          <w:tcPr>
            <w:tcW w:w="2189" w:type="dxa"/>
            <w:tcMar>
              <w:top w:w="15" w:type="dxa"/>
              <w:left w:w="15" w:type="dxa"/>
              <w:right w:w="15" w:type="dxa"/>
            </w:tcMar>
            <w:vAlign w:val="center"/>
          </w:tcPr>
          <w:p>
            <w:pPr>
              <w:snapToGrid w:val="0"/>
              <w:jc w:val="center"/>
              <w:textAlignment w:val="center"/>
              <w:rPr>
                <w:rFonts w:ascii="宋体" w:hAnsi="宋体" w:eastAsia="宋体" w:cs="宋体"/>
                <w:sz w:val="20"/>
                <w:szCs w:val="20"/>
              </w:rPr>
            </w:pPr>
            <w:r>
              <w:rPr>
                <w:rFonts w:hint="eastAsia" w:ascii="宋体" w:hAnsi="宋体" w:eastAsia="宋体" w:cs="宋体"/>
                <w:sz w:val="20"/>
                <w:szCs w:val="20"/>
              </w:rPr>
              <w:t>结构破坏、裂缝、剥蚀</w:t>
            </w:r>
          </w:p>
        </w:tc>
        <w:tc>
          <w:tcPr>
            <w:tcW w:w="901" w:type="dxa"/>
            <w:tcMar>
              <w:top w:w="15" w:type="dxa"/>
              <w:left w:w="15" w:type="dxa"/>
              <w:right w:w="15" w:type="dxa"/>
            </w:tcMar>
            <w:vAlign w:val="center"/>
          </w:tcPr>
          <w:p>
            <w:pPr>
              <w:snapToGrid w:val="0"/>
              <w:jc w:val="center"/>
              <w:textAlignment w:val="center"/>
              <w:rPr>
                <w:rFonts w:ascii="宋体" w:hAnsi="宋体" w:eastAsia="宋体" w:cs="宋体"/>
                <w:sz w:val="20"/>
                <w:szCs w:val="20"/>
              </w:rPr>
            </w:pPr>
            <w:r>
              <w:rPr>
                <w:rFonts w:hint="eastAsia" w:ascii="宋体" w:hAnsi="宋体" w:eastAsia="宋体" w:cs="宋体"/>
                <w:sz w:val="20"/>
                <w:szCs w:val="20"/>
              </w:rPr>
              <w:t>LS法</w:t>
            </w:r>
          </w:p>
        </w:tc>
        <w:tc>
          <w:tcPr>
            <w:tcW w:w="901" w:type="dxa"/>
            <w:tcMar>
              <w:top w:w="15" w:type="dxa"/>
              <w:left w:w="15" w:type="dxa"/>
              <w:right w:w="15" w:type="dxa"/>
            </w:tcMar>
            <w:vAlign w:val="center"/>
          </w:tcPr>
          <w:p>
            <w:pPr>
              <w:snapToGrid w:val="0"/>
              <w:jc w:val="center"/>
              <w:textAlignment w:val="center"/>
              <w:rPr>
                <w:rFonts w:ascii="宋体" w:hAnsi="宋体" w:eastAsia="宋体" w:cs="宋体"/>
                <w:sz w:val="20"/>
                <w:szCs w:val="20"/>
              </w:rPr>
            </w:pPr>
            <w:r>
              <w:rPr>
                <w:rFonts w:hint="eastAsia" w:ascii="宋体" w:hAnsi="宋体" w:eastAsia="宋体" w:cs="宋体"/>
                <w:sz w:val="20"/>
                <w:szCs w:val="20"/>
              </w:rPr>
              <w:t>5～30</w:t>
            </w:r>
          </w:p>
        </w:tc>
        <w:tc>
          <w:tcPr>
            <w:tcW w:w="721" w:type="dxa"/>
            <w:tcMar>
              <w:top w:w="15" w:type="dxa"/>
              <w:left w:w="15" w:type="dxa"/>
              <w:right w:w="15" w:type="dxa"/>
            </w:tcMar>
            <w:vAlign w:val="center"/>
          </w:tcPr>
          <w:p>
            <w:pPr>
              <w:widowControl w:val="0"/>
              <w:snapToGrid w:val="0"/>
              <w:jc w:val="center"/>
              <w:rPr>
                <w:rFonts w:ascii="宋体" w:hAnsi="宋体" w:eastAsia="宋体" w:cs="宋体"/>
                <w:sz w:val="20"/>
                <w:szCs w:val="20"/>
              </w:rPr>
            </w:pPr>
            <w:r>
              <w:rPr>
                <w:rFonts w:hint="eastAsia" w:ascii="宋体" w:hAnsi="宋体" w:eastAsia="宋体" w:cs="宋体"/>
                <w:sz w:val="20"/>
                <w:szCs w:val="20"/>
              </w:rPr>
              <w:t>/</w:t>
            </w:r>
          </w:p>
        </w:tc>
        <w:tc>
          <w:tcPr>
            <w:tcW w:w="781" w:type="dxa"/>
            <w:tcMar>
              <w:top w:w="15" w:type="dxa"/>
              <w:left w:w="15" w:type="dxa"/>
              <w:right w:w="15" w:type="dxa"/>
            </w:tcMar>
            <w:vAlign w:val="center"/>
          </w:tcPr>
          <w:p>
            <w:pPr>
              <w:snapToGrid w:val="0"/>
              <w:jc w:val="center"/>
              <w:textAlignment w:val="center"/>
              <w:rPr>
                <w:rFonts w:ascii="宋体" w:hAnsi="宋体" w:eastAsia="宋体" w:cs="宋体"/>
                <w:sz w:val="20"/>
                <w:szCs w:val="20"/>
              </w:rPr>
            </w:pPr>
            <w:r>
              <w:rPr>
                <w:rFonts w:hint="eastAsia" w:ascii="宋体" w:hAnsi="宋体" w:eastAsia="宋体" w:cs="宋体"/>
                <w:sz w:val="20"/>
                <w:szCs w:val="20"/>
              </w:rPr>
              <w:t>3～10</w:t>
            </w:r>
          </w:p>
        </w:tc>
        <w:tc>
          <w:tcPr>
            <w:tcW w:w="1021" w:type="dxa"/>
            <w:tcMar>
              <w:top w:w="15" w:type="dxa"/>
              <w:left w:w="15" w:type="dxa"/>
              <w:right w:w="15" w:type="dxa"/>
            </w:tcMar>
            <w:vAlign w:val="center"/>
          </w:tcPr>
          <w:p>
            <w:pPr>
              <w:snapToGrid w:val="0"/>
              <w:jc w:val="center"/>
              <w:textAlignment w:val="center"/>
              <w:rPr>
                <w:rFonts w:ascii="宋体" w:hAnsi="宋体" w:eastAsia="宋体" w:cs="宋体"/>
                <w:sz w:val="20"/>
                <w:szCs w:val="20"/>
              </w:rPr>
            </w:pPr>
            <w:r>
              <w:rPr>
                <w:rFonts w:hint="eastAsia" w:ascii="宋体" w:hAnsi="宋体" w:eastAsia="宋体" w:cs="宋体"/>
                <w:sz w:val="20"/>
                <w:szCs w:val="20"/>
              </w:rPr>
              <w:t>15～300</w:t>
            </w:r>
          </w:p>
        </w:tc>
        <w:tc>
          <w:tcPr>
            <w:tcW w:w="901" w:type="dxa"/>
            <w:noWrap/>
            <w:tcMar>
              <w:top w:w="15" w:type="dxa"/>
              <w:left w:w="15" w:type="dxa"/>
              <w:right w:w="15" w:type="dxa"/>
            </w:tcMar>
            <w:vAlign w:val="center"/>
          </w:tcPr>
          <w:p>
            <w:pPr>
              <w:snapToGrid w:val="0"/>
              <w:jc w:val="center"/>
              <w:textAlignment w:val="center"/>
              <w:rPr>
                <w:rFonts w:ascii="宋体" w:hAnsi="宋体" w:eastAsia="宋体" w:cs="宋体"/>
                <w:sz w:val="20"/>
                <w:szCs w:val="20"/>
              </w:rPr>
            </w:pPr>
            <w:r>
              <w:rPr>
                <w:rFonts w:hint="eastAsia" w:ascii="宋体" w:hAnsi="宋体" w:eastAsia="宋体" w:cs="宋体"/>
                <w:sz w:val="20"/>
                <w:szCs w:val="20"/>
              </w:rPr>
              <w:t>低～较大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32" w:hRule="atLeast"/>
        </w:trPr>
        <w:tc>
          <w:tcPr>
            <w:tcW w:w="674" w:type="dxa"/>
            <w:noWrap/>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ascii="宋体" w:hAnsi="宋体" w:eastAsia="宋体" w:cs="宋体"/>
                <w:kern w:val="2"/>
                <w:sz w:val="20"/>
                <w:szCs w:val="20"/>
              </w:rPr>
              <w:t>9</w:t>
            </w:r>
          </w:p>
        </w:tc>
        <w:tc>
          <w:tcPr>
            <w:tcW w:w="1095" w:type="dxa"/>
            <w:vMerge w:val="continue"/>
            <w:tcMar>
              <w:top w:w="15" w:type="dxa"/>
              <w:left w:w="15" w:type="dxa"/>
              <w:right w:w="15" w:type="dxa"/>
            </w:tcMar>
            <w:vAlign w:val="center"/>
          </w:tcPr>
          <w:p>
            <w:pPr>
              <w:widowControl w:val="0"/>
              <w:snapToGrid w:val="0"/>
              <w:jc w:val="center"/>
              <w:rPr>
                <w:rFonts w:ascii="宋体" w:hAnsi="宋体" w:eastAsia="宋体" w:cs="宋体"/>
                <w:kern w:val="2"/>
                <w:sz w:val="20"/>
                <w:szCs w:val="20"/>
              </w:rPr>
            </w:pPr>
          </w:p>
        </w:tc>
        <w:tc>
          <w:tcPr>
            <w:tcW w:w="1184" w:type="dxa"/>
            <w:vMerge w:val="continue"/>
            <w:tcMar>
              <w:top w:w="15" w:type="dxa"/>
              <w:left w:w="15" w:type="dxa"/>
              <w:right w:w="15" w:type="dxa"/>
            </w:tcMar>
            <w:vAlign w:val="center"/>
          </w:tcPr>
          <w:p>
            <w:pPr>
              <w:snapToGrid w:val="0"/>
              <w:jc w:val="center"/>
              <w:textAlignment w:val="center"/>
              <w:rPr>
                <w:rFonts w:ascii="宋体" w:hAnsi="宋体" w:eastAsia="宋体" w:cs="宋体"/>
                <w:kern w:val="2"/>
                <w:sz w:val="20"/>
                <w:szCs w:val="20"/>
              </w:rPr>
            </w:pPr>
          </w:p>
        </w:tc>
        <w:tc>
          <w:tcPr>
            <w:tcW w:w="1607" w:type="dxa"/>
            <w:tcMar>
              <w:top w:w="15" w:type="dxa"/>
              <w:left w:w="15" w:type="dxa"/>
              <w:right w:w="15" w:type="dxa"/>
            </w:tcMar>
            <w:vAlign w:val="center"/>
          </w:tcPr>
          <w:p>
            <w:pPr>
              <w:snapToGrid w:val="0"/>
              <w:jc w:val="center"/>
              <w:textAlignment w:val="center"/>
              <w:rPr>
                <w:rFonts w:ascii="宋体" w:hAnsi="宋体" w:eastAsia="宋体" w:cs="宋体"/>
                <w:sz w:val="20"/>
                <w:szCs w:val="20"/>
              </w:rPr>
            </w:pPr>
            <w:r>
              <w:rPr>
                <w:rFonts w:hint="eastAsia" w:ascii="宋体" w:hAnsi="宋体" w:eastAsia="宋体" w:cs="宋体"/>
                <w:sz w:val="20"/>
                <w:szCs w:val="20"/>
              </w:rPr>
              <w:t>溢洪道</w:t>
            </w:r>
          </w:p>
        </w:tc>
        <w:tc>
          <w:tcPr>
            <w:tcW w:w="2437" w:type="dxa"/>
            <w:tcMar>
              <w:top w:w="15" w:type="dxa"/>
              <w:left w:w="15" w:type="dxa"/>
              <w:right w:w="15" w:type="dxa"/>
            </w:tcMar>
            <w:vAlign w:val="center"/>
          </w:tcPr>
          <w:p>
            <w:pPr>
              <w:snapToGrid w:val="0"/>
              <w:jc w:val="center"/>
              <w:textAlignment w:val="center"/>
              <w:rPr>
                <w:rFonts w:ascii="宋体" w:hAnsi="宋体" w:eastAsia="宋体" w:cs="宋体"/>
                <w:sz w:val="20"/>
                <w:szCs w:val="20"/>
              </w:rPr>
            </w:pPr>
            <w:r>
              <w:rPr>
                <w:rFonts w:hint="eastAsia" w:ascii="宋体" w:hAnsi="宋体" w:eastAsia="宋体" w:cs="宋体"/>
                <w:sz w:val="20"/>
                <w:szCs w:val="20"/>
              </w:rPr>
              <w:t>滑坡、坍塌</w:t>
            </w:r>
          </w:p>
        </w:tc>
        <w:tc>
          <w:tcPr>
            <w:tcW w:w="2189" w:type="dxa"/>
            <w:tcMar>
              <w:top w:w="15" w:type="dxa"/>
              <w:left w:w="15" w:type="dxa"/>
              <w:right w:w="15" w:type="dxa"/>
            </w:tcMar>
            <w:vAlign w:val="center"/>
          </w:tcPr>
          <w:p>
            <w:pPr>
              <w:snapToGrid w:val="0"/>
              <w:jc w:val="center"/>
              <w:textAlignment w:val="center"/>
              <w:rPr>
                <w:rFonts w:ascii="宋体" w:hAnsi="宋体" w:eastAsia="宋体" w:cs="宋体"/>
                <w:sz w:val="20"/>
                <w:szCs w:val="20"/>
              </w:rPr>
            </w:pPr>
            <w:r>
              <w:rPr>
                <w:rFonts w:hint="eastAsia" w:ascii="宋体" w:hAnsi="宋体" w:eastAsia="宋体" w:cs="宋体"/>
                <w:sz w:val="20"/>
                <w:szCs w:val="20"/>
              </w:rPr>
              <w:t>堵塞</w:t>
            </w:r>
          </w:p>
        </w:tc>
        <w:tc>
          <w:tcPr>
            <w:tcW w:w="901" w:type="dxa"/>
            <w:noWrap/>
            <w:tcMar>
              <w:top w:w="15" w:type="dxa"/>
              <w:left w:w="15" w:type="dxa"/>
              <w:right w:w="15" w:type="dxa"/>
            </w:tcMar>
            <w:vAlign w:val="center"/>
          </w:tcPr>
          <w:p>
            <w:pPr>
              <w:snapToGrid w:val="0"/>
              <w:jc w:val="center"/>
              <w:textAlignment w:val="center"/>
              <w:rPr>
                <w:rFonts w:ascii="宋体" w:hAnsi="宋体" w:eastAsia="宋体" w:cs="宋体"/>
                <w:sz w:val="20"/>
                <w:szCs w:val="20"/>
              </w:rPr>
            </w:pPr>
            <w:r>
              <w:rPr>
                <w:rFonts w:hint="eastAsia" w:ascii="宋体" w:hAnsi="宋体" w:eastAsia="宋体" w:cs="宋体"/>
                <w:sz w:val="20"/>
                <w:szCs w:val="20"/>
              </w:rPr>
              <w:t>LS法</w:t>
            </w:r>
          </w:p>
        </w:tc>
        <w:tc>
          <w:tcPr>
            <w:tcW w:w="901" w:type="dxa"/>
            <w:tcMar>
              <w:top w:w="15" w:type="dxa"/>
              <w:left w:w="15" w:type="dxa"/>
              <w:right w:w="15" w:type="dxa"/>
            </w:tcMar>
            <w:vAlign w:val="center"/>
          </w:tcPr>
          <w:p>
            <w:pPr>
              <w:snapToGrid w:val="0"/>
              <w:jc w:val="center"/>
              <w:textAlignment w:val="center"/>
              <w:rPr>
                <w:rFonts w:ascii="宋体" w:hAnsi="宋体" w:eastAsia="宋体" w:cs="宋体"/>
                <w:sz w:val="20"/>
                <w:szCs w:val="20"/>
              </w:rPr>
            </w:pPr>
            <w:r>
              <w:rPr>
                <w:rFonts w:hint="eastAsia" w:ascii="宋体" w:hAnsi="宋体" w:eastAsia="宋体" w:cs="宋体"/>
                <w:sz w:val="20"/>
                <w:szCs w:val="20"/>
              </w:rPr>
              <w:t>5～30</w:t>
            </w:r>
          </w:p>
        </w:tc>
        <w:tc>
          <w:tcPr>
            <w:tcW w:w="721" w:type="dxa"/>
            <w:tcMar>
              <w:top w:w="15" w:type="dxa"/>
              <w:left w:w="15" w:type="dxa"/>
              <w:right w:w="15" w:type="dxa"/>
            </w:tcMar>
            <w:vAlign w:val="center"/>
          </w:tcPr>
          <w:p>
            <w:pPr>
              <w:widowControl w:val="0"/>
              <w:snapToGrid w:val="0"/>
              <w:jc w:val="center"/>
              <w:rPr>
                <w:rFonts w:ascii="宋体" w:hAnsi="宋体" w:eastAsia="宋体" w:cs="宋体"/>
                <w:sz w:val="20"/>
                <w:szCs w:val="20"/>
              </w:rPr>
            </w:pPr>
            <w:r>
              <w:rPr>
                <w:rFonts w:hint="eastAsia" w:ascii="宋体" w:hAnsi="宋体" w:eastAsia="宋体" w:cs="宋体"/>
                <w:sz w:val="20"/>
                <w:szCs w:val="20"/>
              </w:rPr>
              <w:t>/</w:t>
            </w:r>
          </w:p>
        </w:tc>
        <w:tc>
          <w:tcPr>
            <w:tcW w:w="781" w:type="dxa"/>
            <w:tcMar>
              <w:top w:w="15" w:type="dxa"/>
              <w:left w:w="15" w:type="dxa"/>
              <w:right w:w="15" w:type="dxa"/>
            </w:tcMar>
            <w:vAlign w:val="center"/>
          </w:tcPr>
          <w:p>
            <w:pPr>
              <w:snapToGrid w:val="0"/>
              <w:jc w:val="center"/>
              <w:textAlignment w:val="center"/>
              <w:rPr>
                <w:rFonts w:ascii="宋体" w:hAnsi="宋体" w:eastAsia="宋体" w:cs="宋体"/>
                <w:sz w:val="20"/>
                <w:szCs w:val="20"/>
              </w:rPr>
            </w:pPr>
            <w:r>
              <w:rPr>
                <w:rFonts w:hint="eastAsia" w:ascii="宋体" w:hAnsi="宋体" w:eastAsia="宋体" w:cs="宋体"/>
                <w:sz w:val="20"/>
                <w:szCs w:val="20"/>
              </w:rPr>
              <w:t>3～10</w:t>
            </w:r>
          </w:p>
        </w:tc>
        <w:tc>
          <w:tcPr>
            <w:tcW w:w="1021" w:type="dxa"/>
            <w:tcMar>
              <w:top w:w="15" w:type="dxa"/>
              <w:left w:w="15" w:type="dxa"/>
              <w:right w:w="15" w:type="dxa"/>
            </w:tcMar>
            <w:vAlign w:val="center"/>
          </w:tcPr>
          <w:p>
            <w:pPr>
              <w:snapToGrid w:val="0"/>
              <w:jc w:val="center"/>
              <w:textAlignment w:val="center"/>
              <w:rPr>
                <w:rFonts w:ascii="宋体" w:hAnsi="宋体" w:eastAsia="宋体" w:cs="宋体"/>
                <w:sz w:val="20"/>
                <w:szCs w:val="20"/>
              </w:rPr>
            </w:pPr>
            <w:r>
              <w:rPr>
                <w:rFonts w:hint="eastAsia" w:ascii="宋体" w:hAnsi="宋体" w:eastAsia="宋体" w:cs="宋体"/>
                <w:sz w:val="20"/>
                <w:szCs w:val="20"/>
              </w:rPr>
              <w:t>15～300</w:t>
            </w:r>
          </w:p>
        </w:tc>
        <w:tc>
          <w:tcPr>
            <w:tcW w:w="901" w:type="dxa"/>
            <w:noWrap/>
            <w:tcMar>
              <w:top w:w="15" w:type="dxa"/>
              <w:left w:w="15" w:type="dxa"/>
              <w:right w:w="15" w:type="dxa"/>
            </w:tcMar>
            <w:vAlign w:val="center"/>
          </w:tcPr>
          <w:p>
            <w:pPr>
              <w:snapToGrid w:val="0"/>
              <w:jc w:val="center"/>
              <w:textAlignment w:val="center"/>
              <w:rPr>
                <w:rFonts w:ascii="宋体" w:hAnsi="宋体" w:eastAsia="宋体" w:cs="宋体"/>
                <w:sz w:val="20"/>
                <w:szCs w:val="20"/>
              </w:rPr>
            </w:pPr>
            <w:r>
              <w:rPr>
                <w:rFonts w:hint="eastAsia" w:ascii="宋体" w:hAnsi="宋体" w:eastAsia="宋体" w:cs="宋体"/>
                <w:sz w:val="20"/>
                <w:szCs w:val="20"/>
              </w:rPr>
              <w:t>低～较大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77" w:hRule="atLeast"/>
        </w:trPr>
        <w:tc>
          <w:tcPr>
            <w:tcW w:w="674" w:type="dxa"/>
            <w:noWrap/>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kern w:val="2"/>
                <w:sz w:val="20"/>
                <w:szCs w:val="20"/>
              </w:rPr>
              <w:t>1</w:t>
            </w:r>
            <w:r>
              <w:rPr>
                <w:rFonts w:ascii="宋体" w:hAnsi="宋体" w:eastAsia="宋体" w:cs="宋体"/>
                <w:kern w:val="2"/>
                <w:sz w:val="20"/>
                <w:szCs w:val="20"/>
              </w:rPr>
              <w:t>0</w:t>
            </w:r>
          </w:p>
        </w:tc>
        <w:tc>
          <w:tcPr>
            <w:tcW w:w="1095" w:type="dxa"/>
            <w:vMerge w:val="continue"/>
            <w:tcMar>
              <w:top w:w="15" w:type="dxa"/>
              <w:left w:w="15" w:type="dxa"/>
              <w:right w:w="15" w:type="dxa"/>
            </w:tcMar>
            <w:vAlign w:val="center"/>
          </w:tcPr>
          <w:p>
            <w:pPr>
              <w:widowControl w:val="0"/>
              <w:snapToGrid w:val="0"/>
              <w:jc w:val="center"/>
              <w:rPr>
                <w:rFonts w:ascii="宋体" w:hAnsi="宋体" w:eastAsia="宋体" w:cs="宋体"/>
                <w:kern w:val="2"/>
                <w:sz w:val="20"/>
                <w:szCs w:val="20"/>
              </w:rPr>
            </w:pPr>
          </w:p>
        </w:tc>
        <w:tc>
          <w:tcPr>
            <w:tcW w:w="1184" w:type="dxa"/>
            <w:vMerge w:val="continue"/>
            <w:tcMar>
              <w:top w:w="15" w:type="dxa"/>
              <w:left w:w="15" w:type="dxa"/>
              <w:right w:w="15" w:type="dxa"/>
            </w:tcMar>
            <w:vAlign w:val="center"/>
          </w:tcPr>
          <w:p>
            <w:pPr>
              <w:snapToGrid w:val="0"/>
              <w:jc w:val="center"/>
              <w:textAlignment w:val="center"/>
              <w:rPr>
                <w:rFonts w:ascii="宋体" w:hAnsi="宋体" w:eastAsia="宋体" w:cs="宋体"/>
                <w:kern w:val="2"/>
                <w:sz w:val="20"/>
                <w:szCs w:val="20"/>
              </w:rPr>
            </w:pPr>
          </w:p>
        </w:tc>
        <w:tc>
          <w:tcPr>
            <w:tcW w:w="1607" w:type="dxa"/>
            <w:tcMar>
              <w:top w:w="15" w:type="dxa"/>
              <w:left w:w="15" w:type="dxa"/>
              <w:right w:w="15" w:type="dxa"/>
            </w:tcMar>
            <w:vAlign w:val="center"/>
          </w:tcPr>
          <w:p>
            <w:pPr>
              <w:snapToGrid w:val="0"/>
              <w:jc w:val="center"/>
              <w:textAlignment w:val="center"/>
              <w:rPr>
                <w:rFonts w:ascii="宋体" w:hAnsi="宋体" w:eastAsia="宋体" w:cs="宋体"/>
                <w:sz w:val="20"/>
                <w:szCs w:val="20"/>
              </w:rPr>
            </w:pPr>
            <w:r>
              <w:rPr>
                <w:rFonts w:hint="eastAsia" w:ascii="宋体" w:hAnsi="宋体" w:eastAsia="宋体" w:cs="宋体"/>
                <w:sz w:val="20"/>
                <w:szCs w:val="20"/>
              </w:rPr>
              <w:t>泄洪洞通气设施</w:t>
            </w:r>
          </w:p>
        </w:tc>
        <w:tc>
          <w:tcPr>
            <w:tcW w:w="2437" w:type="dxa"/>
            <w:tcMar>
              <w:top w:w="15" w:type="dxa"/>
              <w:left w:w="15" w:type="dxa"/>
              <w:right w:w="15" w:type="dxa"/>
            </w:tcMar>
            <w:vAlign w:val="center"/>
          </w:tcPr>
          <w:p>
            <w:pPr>
              <w:snapToGrid w:val="0"/>
              <w:jc w:val="center"/>
              <w:textAlignment w:val="center"/>
              <w:rPr>
                <w:rFonts w:ascii="宋体" w:hAnsi="宋体" w:eastAsia="宋体" w:cs="宋体"/>
                <w:sz w:val="20"/>
                <w:szCs w:val="20"/>
              </w:rPr>
            </w:pPr>
            <w:r>
              <w:rPr>
                <w:rFonts w:hint="eastAsia" w:ascii="宋体" w:hAnsi="宋体" w:eastAsia="宋体" w:cs="宋体"/>
                <w:sz w:val="20"/>
                <w:szCs w:val="20"/>
              </w:rPr>
              <w:t>通气通道堵塞</w:t>
            </w:r>
          </w:p>
        </w:tc>
        <w:tc>
          <w:tcPr>
            <w:tcW w:w="2189" w:type="dxa"/>
            <w:tcMar>
              <w:top w:w="15" w:type="dxa"/>
              <w:left w:w="15" w:type="dxa"/>
              <w:right w:w="15" w:type="dxa"/>
            </w:tcMar>
            <w:vAlign w:val="center"/>
          </w:tcPr>
          <w:p>
            <w:pPr>
              <w:snapToGrid w:val="0"/>
              <w:jc w:val="center"/>
              <w:textAlignment w:val="center"/>
              <w:rPr>
                <w:rFonts w:ascii="宋体" w:hAnsi="宋体" w:eastAsia="宋体" w:cs="宋体"/>
                <w:sz w:val="20"/>
                <w:szCs w:val="20"/>
              </w:rPr>
            </w:pPr>
            <w:r>
              <w:rPr>
                <w:rFonts w:hint="eastAsia" w:ascii="宋体" w:hAnsi="宋体" w:eastAsia="宋体" w:cs="宋体"/>
                <w:sz w:val="20"/>
                <w:szCs w:val="20"/>
              </w:rPr>
              <w:t>空蚀破坏、振动</w:t>
            </w:r>
          </w:p>
        </w:tc>
        <w:tc>
          <w:tcPr>
            <w:tcW w:w="901" w:type="dxa"/>
            <w:noWrap/>
            <w:tcMar>
              <w:top w:w="15" w:type="dxa"/>
              <w:left w:w="15" w:type="dxa"/>
              <w:right w:w="15" w:type="dxa"/>
            </w:tcMar>
            <w:vAlign w:val="center"/>
          </w:tcPr>
          <w:p>
            <w:pPr>
              <w:snapToGrid w:val="0"/>
              <w:jc w:val="center"/>
              <w:textAlignment w:val="center"/>
              <w:rPr>
                <w:rFonts w:ascii="宋体" w:hAnsi="宋体" w:eastAsia="宋体" w:cs="宋体"/>
                <w:sz w:val="20"/>
                <w:szCs w:val="20"/>
              </w:rPr>
            </w:pPr>
            <w:r>
              <w:rPr>
                <w:rFonts w:hint="eastAsia" w:ascii="宋体" w:hAnsi="宋体" w:eastAsia="宋体" w:cs="宋体"/>
                <w:sz w:val="20"/>
                <w:szCs w:val="20"/>
              </w:rPr>
              <w:t>LS法</w:t>
            </w:r>
          </w:p>
        </w:tc>
        <w:tc>
          <w:tcPr>
            <w:tcW w:w="901" w:type="dxa"/>
            <w:tcMar>
              <w:top w:w="15" w:type="dxa"/>
              <w:left w:w="15" w:type="dxa"/>
              <w:right w:w="15" w:type="dxa"/>
            </w:tcMar>
            <w:vAlign w:val="center"/>
          </w:tcPr>
          <w:p>
            <w:pPr>
              <w:snapToGrid w:val="0"/>
              <w:jc w:val="center"/>
              <w:textAlignment w:val="center"/>
              <w:rPr>
                <w:rFonts w:ascii="宋体" w:hAnsi="宋体" w:eastAsia="宋体" w:cs="宋体"/>
                <w:sz w:val="20"/>
                <w:szCs w:val="20"/>
              </w:rPr>
            </w:pPr>
            <w:r>
              <w:rPr>
                <w:rFonts w:hint="eastAsia" w:ascii="宋体" w:hAnsi="宋体" w:eastAsia="宋体" w:cs="宋体"/>
                <w:sz w:val="20"/>
                <w:szCs w:val="20"/>
              </w:rPr>
              <w:t>5～30</w:t>
            </w:r>
          </w:p>
        </w:tc>
        <w:tc>
          <w:tcPr>
            <w:tcW w:w="721" w:type="dxa"/>
            <w:tcMar>
              <w:top w:w="15" w:type="dxa"/>
              <w:left w:w="15" w:type="dxa"/>
              <w:right w:w="15" w:type="dxa"/>
            </w:tcMar>
            <w:vAlign w:val="center"/>
          </w:tcPr>
          <w:p>
            <w:pPr>
              <w:widowControl w:val="0"/>
              <w:snapToGrid w:val="0"/>
              <w:jc w:val="center"/>
              <w:rPr>
                <w:rFonts w:ascii="宋体" w:hAnsi="宋体" w:eastAsia="宋体" w:cs="宋体"/>
                <w:sz w:val="20"/>
                <w:szCs w:val="20"/>
              </w:rPr>
            </w:pPr>
            <w:r>
              <w:rPr>
                <w:rFonts w:hint="eastAsia" w:ascii="宋体" w:hAnsi="宋体" w:eastAsia="宋体" w:cs="宋体"/>
                <w:sz w:val="20"/>
                <w:szCs w:val="20"/>
              </w:rPr>
              <w:t>/</w:t>
            </w:r>
          </w:p>
        </w:tc>
        <w:tc>
          <w:tcPr>
            <w:tcW w:w="781" w:type="dxa"/>
            <w:tcMar>
              <w:top w:w="15" w:type="dxa"/>
              <w:left w:w="15" w:type="dxa"/>
              <w:right w:w="15" w:type="dxa"/>
            </w:tcMar>
            <w:vAlign w:val="center"/>
          </w:tcPr>
          <w:p>
            <w:pPr>
              <w:snapToGrid w:val="0"/>
              <w:jc w:val="center"/>
              <w:textAlignment w:val="center"/>
              <w:rPr>
                <w:rFonts w:ascii="宋体" w:hAnsi="宋体" w:eastAsia="宋体" w:cs="宋体"/>
                <w:sz w:val="20"/>
                <w:szCs w:val="20"/>
              </w:rPr>
            </w:pPr>
            <w:r>
              <w:rPr>
                <w:rFonts w:hint="eastAsia" w:ascii="宋体" w:hAnsi="宋体" w:eastAsia="宋体" w:cs="宋体"/>
                <w:sz w:val="20"/>
                <w:szCs w:val="20"/>
              </w:rPr>
              <w:t>3～10</w:t>
            </w:r>
          </w:p>
        </w:tc>
        <w:tc>
          <w:tcPr>
            <w:tcW w:w="1021" w:type="dxa"/>
            <w:tcMar>
              <w:top w:w="15" w:type="dxa"/>
              <w:left w:w="15" w:type="dxa"/>
              <w:right w:w="15" w:type="dxa"/>
            </w:tcMar>
            <w:vAlign w:val="center"/>
          </w:tcPr>
          <w:p>
            <w:pPr>
              <w:snapToGrid w:val="0"/>
              <w:jc w:val="center"/>
              <w:textAlignment w:val="center"/>
              <w:rPr>
                <w:rFonts w:ascii="宋体" w:hAnsi="宋体" w:eastAsia="宋体" w:cs="宋体"/>
                <w:sz w:val="20"/>
                <w:szCs w:val="20"/>
              </w:rPr>
            </w:pPr>
            <w:r>
              <w:rPr>
                <w:rFonts w:hint="eastAsia" w:ascii="宋体" w:hAnsi="宋体" w:eastAsia="宋体" w:cs="宋体"/>
                <w:sz w:val="20"/>
                <w:szCs w:val="20"/>
              </w:rPr>
              <w:t>15～300</w:t>
            </w:r>
          </w:p>
        </w:tc>
        <w:tc>
          <w:tcPr>
            <w:tcW w:w="901" w:type="dxa"/>
            <w:noWrap/>
            <w:tcMar>
              <w:top w:w="15" w:type="dxa"/>
              <w:left w:w="15" w:type="dxa"/>
              <w:right w:w="15" w:type="dxa"/>
            </w:tcMar>
            <w:vAlign w:val="center"/>
          </w:tcPr>
          <w:p>
            <w:pPr>
              <w:snapToGrid w:val="0"/>
              <w:jc w:val="center"/>
              <w:textAlignment w:val="center"/>
              <w:rPr>
                <w:rFonts w:ascii="宋体" w:hAnsi="宋体" w:eastAsia="宋体" w:cs="宋体"/>
                <w:sz w:val="20"/>
                <w:szCs w:val="20"/>
              </w:rPr>
            </w:pPr>
            <w:r>
              <w:rPr>
                <w:rFonts w:hint="eastAsia" w:ascii="宋体" w:hAnsi="宋体" w:eastAsia="宋体" w:cs="宋体"/>
                <w:sz w:val="20"/>
                <w:szCs w:val="20"/>
              </w:rPr>
              <w:t>低～较大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637" w:hRule="atLeast"/>
        </w:trPr>
        <w:tc>
          <w:tcPr>
            <w:tcW w:w="674" w:type="dxa"/>
            <w:noWrap/>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kern w:val="2"/>
                <w:sz w:val="20"/>
                <w:szCs w:val="20"/>
              </w:rPr>
              <w:t>1</w:t>
            </w:r>
            <w:r>
              <w:rPr>
                <w:rFonts w:ascii="宋体" w:hAnsi="宋体" w:eastAsia="宋体" w:cs="宋体"/>
                <w:kern w:val="2"/>
                <w:sz w:val="20"/>
                <w:szCs w:val="20"/>
              </w:rPr>
              <w:t>1</w:t>
            </w:r>
          </w:p>
        </w:tc>
        <w:tc>
          <w:tcPr>
            <w:tcW w:w="1095" w:type="dxa"/>
            <w:vMerge w:val="continue"/>
            <w:tcMar>
              <w:top w:w="15" w:type="dxa"/>
              <w:left w:w="15" w:type="dxa"/>
              <w:right w:w="15" w:type="dxa"/>
            </w:tcMar>
            <w:vAlign w:val="center"/>
          </w:tcPr>
          <w:p>
            <w:pPr>
              <w:widowControl w:val="0"/>
              <w:snapToGrid w:val="0"/>
              <w:jc w:val="center"/>
              <w:rPr>
                <w:rFonts w:ascii="宋体" w:hAnsi="宋体" w:eastAsia="宋体" w:cs="宋体"/>
                <w:kern w:val="2"/>
                <w:sz w:val="20"/>
                <w:szCs w:val="20"/>
              </w:rPr>
            </w:pPr>
          </w:p>
        </w:tc>
        <w:tc>
          <w:tcPr>
            <w:tcW w:w="1184" w:type="dxa"/>
            <w:vMerge w:val="continue"/>
            <w:tcMar>
              <w:top w:w="15" w:type="dxa"/>
              <w:left w:w="15" w:type="dxa"/>
              <w:right w:w="15" w:type="dxa"/>
            </w:tcMar>
            <w:vAlign w:val="center"/>
          </w:tcPr>
          <w:p>
            <w:pPr>
              <w:snapToGrid w:val="0"/>
              <w:jc w:val="center"/>
              <w:textAlignment w:val="center"/>
              <w:rPr>
                <w:rFonts w:ascii="宋体" w:hAnsi="宋体" w:eastAsia="宋体" w:cs="宋体"/>
                <w:kern w:val="2"/>
                <w:sz w:val="20"/>
                <w:szCs w:val="20"/>
              </w:rPr>
            </w:pPr>
          </w:p>
        </w:tc>
        <w:tc>
          <w:tcPr>
            <w:tcW w:w="1607" w:type="dxa"/>
            <w:tcMar>
              <w:top w:w="15" w:type="dxa"/>
              <w:left w:w="15" w:type="dxa"/>
              <w:right w:w="15" w:type="dxa"/>
            </w:tcMar>
            <w:vAlign w:val="center"/>
          </w:tcPr>
          <w:p>
            <w:pPr>
              <w:snapToGrid w:val="0"/>
              <w:jc w:val="center"/>
              <w:textAlignment w:val="center"/>
              <w:rPr>
                <w:rFonts w:ascii="宋体" w:hAnsi="宋体" w:eastAsia="宋体" w:cs="宋体"/>
                <w:sz w:val="20"/>
                <w:szCs w:val="20"/>
              </w:rPr>
            </w:pPr>
            <w:r>
              <w:rPr>
                <w:rFonts w:hint="eastAsia" w:ascii="宋体" w:hAnsi="宋体" w:eastAsia="宋体" w:cs="宋体"/>
                <w:sz w:val="20"/>
                <w:szCs w:val="20"/>
              </w:rPr>
              <w:t>泄洪渠</w:t>
            </w:r>
          </w:p>
        </w:tc>
        <w:tc>
          <w:tcPr>
            <w:tcW w:w="2437" w:type="dxa"/>
            <w:tcMar>
              <w:top w:w="15" w:type="dxa"/>
              <w:left w:w="15" w:type="dxa"/>
              <w:right w:w="15" w:type="dxa"/>
            </w:tcMar>
            <w:vAlign w:val="center"/>
          </w:tcPr>
          <w:p>
            <w:pPr>
              <w:snapToGrid w:val="0"/>
              <w:jc w:val="center"/>
              <w:textAlignment w:val="center"/>
              <w:rPr>
                <w:rFonts w:ascii="宋体" w:hAnsi="宋体" w:eastAsia="宋体" w:cs="宋体"/>
                <w:sz w:val="20"/>
                <w:szCs w:val="20"/>
              </w:rPr>
            </w:pPr>
            <w:r>
              <w:rPr>
                <w:rFonts w:hint="eastAsia" w:ascii="宋体" w:hAnsi="宋体" w:eastAsia="宋体" w:cs="宋体"/>
                <w:sz w:val="20"/>
                <w:szCs w:val="20"/>
              </w:rPr>
              <w:t>水流冲刷、淤积</w:t>
            </w:r>
          </w:p>
        </w:tc>
        <w:tc>
          <w:tcPr>
            <w:tcW w:w="2189" w:type="dxa"/>
            <w:tcMar>
              <w:top w:w="15" w:type="dxa"/>
              <w:left w:w="15" w:type="dxa"/>
              <w:right w:w="15" w:type="dxa"/>
            </w:tcMar>
            <w:vAlign w:val="center"/>
          </w:tcPr>
          <w:p>
            <w:pPr>
              <w:snapToGrid w:val="0"/>
              <w:jc w:val="center"/>
              <w:textAlignment w:val="center"/>
              <w:rPr>
                <w:rFonts w:ascii="宋体" w:hAnsi="宋体" w:eastAsia="宋体" w:cs="宋体"/>
                <w:sz w:val="20"/>
                <w:szCs w:val="20"/>
              </w:rPr>
            </w:pPr>
            <w:r>
              <w:rPr>
                <w:rFonts w:hint="eastAsia" w:ascii="宋体" w:hAnsi="宋体" w:eastAsia="宋体" w:cs="宋体"/>
                <w:sz w:val="20"/>
                <w:szCs w:val="20"/>
              </w:rPr>
              <w:t>滑坡、崩岸、堵塞</w:t>
            </w:r>
          </w:p>
        </w:tc>
        <w:tc>
          <w:tcPr>
            <w:tcW w:w="901" w:type="dxa"/>
            <w:noWrap/>
            <w:tcMar>
              <w:top w:w="15" w:type="dxa"/>
              <w:left w:w="15" w:type="dxa"/>
              <w:right w:w="15" w:type="dxa"/>
            </w:tcMar>
            <w:vAlign w:val="center"/>
          </w:tcPr>
          <w:p>
            <w:pPr>
              <w:snapToGrid w:val="0"/>
              <w:jc w:val="center"/>
              <w:textAlignment w:val="center"/>
              <w:rPr>
                <w:rFonts w:ascii="宋体" w:hAnsi="宋体" w:eastAsia="宋体" w:cs="宋体"/>
                <w:sz w:val="20"/>
                <w:szCs w:val="20"/>
              </w:rPr>
            </w:pPr>
            <w:r>
              <w:rPr>
                <w:rFonts w:hint="eastAsia" w:ascii="宋体" w:hAnsi="宋体" w:eastAsia="宋体" w:cs="宋体"/>
                <w:sz w:val="20"/>
                <w:szCs w:val="20"/>
              </w:rPr>
              <w:t>LS法</w:t>
            </w:r>
          </w:p>
        </w:tc>
        <w:tc>
          <w:tcPr>
            <w:tcW w:w="901" w:type="dxa"/>
            <w:tcMar>
              <w:top w:w="15" w:type="dxa"/>
              <w:left w:w="15" w:type="dxa"/>
              <w:right w:w="15" w:type="dxa"/>
            </w:tcMar>
            <w:vAlign w:val="center"/>
          </w:tcPr>
          <w:p>
            <w:pPr>
              <w:snapToGrid w:val="0"/>
              <w:jc w:val="center"/>
              <w:textAlignment w:val="center"/>
              <w:rPr>
                <w:rFonts w:ascii="宋体" w:hAnsi="宋体" w:eastAsia="宋体" w:cs="宋体"/>
                <w:sz w:val="20"/>
                <w:szCs w:val="20"/>
              </w:rPr>
            </w:pPr>
            <w:r>
              <w:rPr>
                <w:rFonts w:hint="eastAsia" w:ascii="宋体" w:hAnsi="宋体" w:eastAsia="宋体" w:cs="宋体"/>
                <w:sz w:val="20"/>
                <w:szCs w:val="20"/>
              </w:rPr>
              <w:t>5～30</w:t>
            </w:r>
          </w:p>
        </w:tc>
        <w:tc>
          <w:tcPr>
            <w:tcW w:w="721" w:type="dxa"/>
            <w:tcMar>
              <w:top w:w="15" w:type="dxa"/>
              <w:left w:w="15" w:type="dxa"/>
              <w:right w:w="15" w:type="dxa"/>
            </w:tcMar>
            <w:vAlign w:val="center"/>
          </w:tcPr>
          <w:p>
            <w:pPr>
              <w:widowControl w:val="0"/>
              <w:snapToGrid w:val="0"/>
              <w:jc w:val="center"/>
              <w:rPr>
                <w:rFonts w:ascii="宋体" w:hAnsi="宋体" w:eastAsia="宋体" w:cs="宋体"/>
                <w:sz w:val="20"/>
                <w:szCs w:val="20"/>
              </w:rPr>
            </w:pPr>
            <w:r>
              <w:rPr>
                <w:rFonts w:hint="eastAsia" w:ascii="宋体" w:hAnsi="宋体" w:eastAsia="宋体" w:cs="宋体"/>
                <w:sz w:val="20"/>
                <w:szCs w:val="20"/>
              </w:rPr>
              <w:t>/</w:t>
            </w:r>
          </w:p>
        </w:tc>
        <w:tc>
          <w:tcPr>
            <w:tcW w:w="781" w:type="dxa"/>
            <w:tcMar>
              <w:top w:w="15" w:type="dxa"/>
              <w:left w:w="15" w:type="dxa"/>
              <w:right w:w="15" w:type="dxa"/>
            </w:tcMar>
            <w:vAlign w:val="center"/>
          </w:tcPr>
          <w:p>
            <w:pPr>
              <w:snapToGrid w:val="0"/>
              <w:jc w:val="center"/>
              <w:textAlignment w:val="center"/>
              <w:rPr>
                <w:rFonts w:ascii="宋体" w:hAnsi="宋体" w:eastAsia="宋体" w:cs="宋体"/>
                <w:sz w:val="20"/>
                <w:szCs w:val="20"/>
              </w:rPr>
            </w:pPr>
            <w:r>
              <w:rPr>
                <w:rFonts w:hint="eastAsia" w:ascii="宋体" w:hAnsi="宋体" w:eastAsia="宋体" w:cs="宋体"/>
                <w:sz w:val="20"/>
                <w:szCs w:val="20"/>
              </w:rPr>
              <w:t>3～10</w:t>
            </w:r>
          </w:p>
        </w:tc>
        <w:tc>
          <w:tcPr>
            <w:tcW w:w="1021" w:type="dxa"/>
            <w:tcMar>
              <w:top w:w="15" w:type="dxa"/>
              <w:left w:w="15" w:type="dxa"/>
              <w:right w:w="15" w:type="dxa"/>
            </w:tcMar>
            <w:vAlign w:val="center"/>
          </w:tcPr>
          <w:p>
            <w:pPr>
              <w:snapToGrid w:val="0"/>
              <w:jc w:val="center"/>
              <w:textAlignment w:val="center"/>
              <w:rPr>
                <w:rFonts w:ascii="宋体" w:hAnsi="宋体" w:eastAsia="宋体" w:cs="宋体"/>
                <w:sz w:val="20"/>
                <w:szCs w:val="20"/>
              </w:rPr>
            </w:pPr>
            <w:r>
              <w:rPr>
                <w:rFonts w:hint="eastAsia" w:ascii="宋体" w:hAnsi="宋体" w:eastAsia="宋体" w:cs="宋体"/>
                <w:sz w:val="20"/>
                <w:szCs w:val="20"/>
              </w:rPr>
              <w:t>15～300</w:t>
            </w:r>
          </w:p>
        </w:tc>
        <w:tc>
          <w:tcPr>
            <w:tcW w:w="901" w:type="dxa"/>
            <w:noWrap/>
            <w:tcMar>
              <w:top w:w="15" w:type="dxa"/>
              <w:left w:w="15" w:type="dxa"/>
              <w:right w:w="15" w:type="dxa"/>
            </w:tcMar>
            <w:vAlign w:val="center"/>
          </w:tcPr>
          <w:p>
            <w:pPr>
              <w:snapToGrid w:val="0"/>
              <w:jc w:val="center"/>
              <w:textAlignment w:val="center"/>
              <w:rPr>
                <w:rFonts w:ascii="宋体" w:hAnsi="宋体" w:eastAsia="宋体" w:cs="宋体"/>
                <w:sz w:val="20"/>
                <w:szCs w:val="20"/>
              </w:rPr>
            </w:pPr>
            <w:r>
              <w:rPr>
                <w:rFonts w:hint="eastAsia" w:ascii="宋体" w:hAnsi="宋体" w:eastAsia="宋体" w:cs="宋体"/>
                <w:sz w:val="20"/>
                <w:szCs w:val="20"/>
              </w:rPr>
              <w:t>低～较大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734" w:hRule="atLeast"/>
        </w:trPr>
        <w:tc>
          <w:tcPr>
            <w:tcW w:w="674" w:type="dxa"/>
            <w:noWrap/>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kern w:val="2"/>
                <w:sz w:val="20"/>
                <w:szCs w:val="20"/>
              </w:rPr>
              <w:t>1</w:t>
            </w:r>
            <w:r>
              <w:rPr>
                <w:rFonts w:ascii="宋体" w:hAnsi="宋体" w:eastAsia="宋体" w:cs="宋体"/>
                <w:kern w:val="2"/>
                <w:sz w:val="20"/>
                <w:szCs w:val="20"/>
              </w:rPr>
              <w:t>2</w:t>
            </w:r>
          </w:p>
        </w:tc>
        <w:tc>
          <w:tcPr>
            <w:tcW w:w="1095" w:type="dxa"/>
            <w:vMerge w:val="restart"/>
            <w:tcMar>
              <w:top w:w="15" w:type="dxa"/>
              <w:left w:w="15" w:type="dxa"/>
              <w:right w:w="15" w:type="dxa"/>
            </w:tcMar>
            <w:vAlign w:val="center"/>
          </w:tcPr>
          <w:p>
            <w:pPr>
              <w:widowControl w:val="0"/>
              <w:snapToGrid w:val="0"/>
              <w:jc w:val="center"/>
              <w:rPr>
                <w:rFonts w:ascii="宋体" w:hAnsi="宋体" w:eastAsia="宋体" w:cs="宋体"/>
                <w:kern w:val="2"/>
                <w:sz w:val="20"/>
                <w:szCs w:val="20"/>
              </w:rPr>
            </w:pPr>
            <w:r>
              <w:rPr>
                <w:rFonts w:hint="eastAsia" w:ascii="宋体" w:hAnsi="宋体" w:eastAsia="宋体" w:cs="宋体"/>
                <w:sz w:val="20"/>
                <w:szCs w:val="20"/>
              </w:rPr>
              <w:t>设备设施类</w:t>
            </w:r>
          </w:p>
        </w:tc>
        <w:tc>
          <w:tcPr>
            <w:tcW w:w="1184" w:type="dxa"/>
            <w:vMerge w:val="restart"/>
            <w:tcMar>
              <w:top w:w="15" w:type="dxa"/>
              <w:left w:w="15" w:type="dxa"/>
              <w:right w:w="15" w:type="dxa"/>
            </w:tcMar>
            <w:vAlign w:val="center"/>
          </w:tcPr>
          <w:p>
            <w:pPr>
              <w:widowControl w:val="0"/>
              <w:snapToGrid w:val="0"/>
              <w:jc w:val="center"/>
              <w:textAlignment w:val="center"/>
              <w:rPr>
                <w:rFonts w:ascii="宋体" w:hAnsi="宋体" w:eastAsia="宋体" w:cs="宋体"/>
                <w:sz w:val="20"/>
                <w:szCs w:val="20"/>
                <w:lang w:bidi="ar"/>
              </w:rPr>
            </w:pPr>
            <w:r>
              <w:rPr>
                <w:rFonts w:hint="eastAsia" w:ascii="宋体" w:hAnsi="宋体" w:eastAsia="宋体" w:cs="宋体"/>
                <w:sz w:val="20"/>
                <w:szCs w:val="20"/>
              </w:rPr>
              <w:t>管理设施</w:t>
            </w:r>
          </w:p>
        </w:tc>
        <w:tc>
          <w:tcPr>
            <w:tcW w:w="1607" w:type="dxa"/>
            <w:tcMar>
              <w:top w:w="15" w:type="dxa"/>
              <w:left w:w="15" w:type="dxa"/>
              <w:right w:w="15" w:type="dxa"/>
            </w:tcMar>
            <w:vAlign w:val="center"/>
          </w:tcPr>
          <w:p>
            <w:pPr>
              <w:snapToGrid w:val="0"/>
              <w:jc w:val="center"/>
              <w:textAlignment w:val="center"/>
              <w:rPr>
                <w:rFonts w:ascii="宋体" w:hAnsi="宋体" w:eastAsia="宋体" w:cs="宋体"/>
                <w:sz w:val="20"/>
                <w:szCs w:val="20"/>
              </w:rPr>
            </w:pPr>
            <w:r>
              <w:rPr>
                <w:rFonts w:hint="eastAsia" w:ascii="宋体" w:hAnsi="宋体" w:eastAsia="宋体" w:cs="宋体"/>
                <w:sz w:val="20"/>
                <w:szCs w:val="20"/>
              </w:rPr>
              <w:t>安全监测系统</w:t>
            </w:r>
          </w:p>
        </w:tc>
        <w:tc>
          <w:tcPr>
            <w:tcW w:w="2437" w:type="dxa"/>
            <w:tcMar>
              <w:top w:w="15" w:type="dxa"/>
              <w:left w:w="15" w:type="dxa"/>
              <w:right w:w="15" w:type="dxa"/>
            </w:tcMar>
            <w:vAlign w:val="center"/>
          </w:tcPr>
          <w:p>
            <w:pPr>
              <w:snapToGrid w:val="0"/>
              <w:jc w:val="center"/>
              <w:textAlignment w:val="center"/>
              <w:rPr>
                <w:rFonts w:ascii="宋体" w:hAnsi="宋体" w:eastAsia="宋体" w:cs="宋体"/>
                <w:sz w:val="20"/>
                <w:szCs w:val="20"/>
              </w:rPr>
            </w:pPr>
            <w:r>
              <w:rPr>
                <w:rFonts w:hint="eastAsia" w:ascii="宋体" w:hAnsi="宋体" w:eastAsia="宋体" w:cs="宋体"/>
                <w:sz w:val="20"/>
                <w:szCs w:val="20"/>
              </w:rPr>
              <w:t>功能失效</w:t>
            </w:r>
          </w:p>
        </w:tc>
        <w:tc>
          <w:tcPr>
            <w:tcW w:w="2189" w:type="dxa"/>
            <w:tcMar>
              <w:top w:w="15" w:type="dxa"/>
              <w:left w:w="15" w:type="dxa"/>
              <w:right w:w="15" w:type="dxa"/>
            </w:tcMar>
            <w:vAlign w:val="center"/>
          </w:tcPr>
          <w:p>
            <w:pPr>
              <w:snapToGrid w:val="0"/>
              <w:jc w:val="center"/>
              <w:textAlignment w:val="center"/>
              <w:rPr>
                <w:rFonts w:ascii="宋体" w:hAnsi="宋体" w:eastAsia="宋体" w:cs="宋体"/>
                <w:sz w:val="20"/>
                <w:szCs w:val="20"/>
              </w:rPr>
            </w:pPr>
            <w:r>
              <w:rPr>
                <w:rFonts w:hint="eastAsia" w:ascii="宋体" w:hAnsi="宋体" w:eastAsia="宋体" w:cs="宋体"/>
                <w:sz w:val="20"/>
                <w:szCs w:val="20"/>
              </w:rPr>
              <w:t>不能及时发现工程    隐患或险情</w:t>
            </w:r>
          </w:p>
        </w:tc>
        <w:tc>
          <w:tcPr>
            <w:tcW w:w="901" w:type="dxa"/>
            <w:tcMar>
              <w:top w:w="15" w:type="dxa"/>
              <w:left w:w="15" w:type="dxa"/>
              <w:right w:w="15" w:type="dxa"/>
            </w:tcMar>
            <w:vAlign w:val="center"/>
          </w:tcPr>
          <w:p>
            <w:pPr>
              <w:snapToGrid w:val="0"/>
              <w:jc w:val="center"/>
              <w:textAlignment w:val="center"/>
              <w:rPr>
                <w:rFonts w:ascii="宋体" w:hAnsi="宋体" w:eastAsia="宋体" w:cs="宋体"/>
                <w:sz w:val="20"/>
                <w:szCs w:val="20"/>
              </w:rPr>
            </w:pPr>
            <w:r>
              <w:rPr>
                <w:rFonts w:hint="eastAsia" w:ascii="宋体" w:hAnsi="宋体" w:eastAsia="宋体" w:cs="宋体"/>
                <w:sz w:val="20"/>
                <w:szCs w:val="20"/>
                <w:lang w:bidi="ar"/>
              </w:rPr>
              <w:t>LS法</w:t>
            </w:r>
          </w:p>
        </w:tc>
        <w:tc>
          <w:tcPr>
            <w:tcW w:w="901" w:type="dxa"/>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5～30</w:t>
            </w:r>
          </w:p>
        </w:tc>
        <w:tc>
          <w:tcPr>
            <w:tcW w:w="721" w:type="dxa"/>
            <w:tcMar>
              <w:top w:w="15" w:type="dxa"/>
              <w:left w:w="15" w:type="dxa"/>
              <w:right w:w="15" w:type="dxa"/>
            </w:tcMar>
            <w:vAlign w:val="center"/>
          </w:tcPr>
          <w:p>
            <w:pPr>
              <w:widowControl w:val="0"/>
              <w:snapToGrid w:val="0"/>
              <w:jc w:val="center"/>
              <w:rPr>
                <w:rFonts w:ascii="宋体" w:hAnsi="宋体" w:eastAsia="宋体" w:cs="宋体"/>
                <w:kern w:val="2"/>
                <w:sz w:val="20"/>
                <w:szCs w:val="20"/>
              </w:rPr>
            </w:pPr>
            <w:r>
              <w:rPr>
                <w:rFonts w:hint="eastAsia" w:ascii="宋体" w:hAnsi="宋体" w:eastAsia="宋体" w:cs="宋体"/>
                <w:kern w:val="2"/>
                <w:sz w:val="20"/>
                <w:szCs w:val="20"/>
              </w:rPr>
              <w:t>/</w:t>
            </w:r>
          </w:p>
        </w:tc>
        <w:tc>
          <w:tcPr>
            <w:tcW w:w="781" w:type="dxa"/>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3～</w:t>
            </w:r>
            <w:r>
              <w:rPr>
                <w:rFonts w:ascii="宋体" w:hAnsi="宋体" w:eastAsia="宋体" w:cs="宋体"/>
                <w:sz w:val="20"/>
                <w:szCs w:val="20"/>
                <w:lang w:bidi="ar"/>
              </w:rPr>
              <w:t>1</w:t>
            </w:r>
            <w:r>
              <w:rPr>
                <w:rFonts w:hint="eastAsia" w:ascii="宋体" w:hAnsi="宋体" w:eastAsia="宋体" w:cs="宋体"/>
                <w:sz w:val="20"/>
                <w:szCs w:val="20"/>
                <w:lang w:bidi="ar"/>
              </w:rPr>
              <w:t>0</w:t>
            </w:r>
          </w:p>
        </w:tc>
        <w:tc>
          <w:tcPr>
            <w:tcW w:w="1021" w:type="dxa"/>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15～300</w:t>
            </w:r>
          </w:p>
        </w:tc>
        <w:tc>
          <w:tcPr>
            <w:tcW w:w="901" w:type="dxa"/>
            <w:noWrap/>
            <w:tcMar>
              <w:top w:w="15" w:type="dxa"/>
              <w:left w:w="15" w:type="dxa"/>
              <w:right w:w="15" w:type="dxa"/>
            </w:tcMar>
            <w:vAlign w:val="center"/>
          </w:tcPr>
          <w:p>
            <w:pPr>
              <w:snapToGrid w:val="0"/>
              <w:jc w:val="center"/>
              <w:textAlignment w:val="center"/>
              <w:rPr>
                <w:rFonts w:ascii="宋体" w:hAnsi="宋体" w:eastAsia="宋体" w:cs="宋体"/>
                <w:sz w:val="20"/>
                <w:szCs w:val="20"/>
                <w:lang w:bidi="ar"/>
              </w:rPr>
            </w:pPr>
            <w:r>
              <w:rPr>
                <w:rFonts w:hint="eastAsia" w:ascii="宋体" w:hAnsi="宋体" w:eastAsia="宋体" w:cs="宋体"/>
                <w:sz w:val="20"/>
                <w:szCs w:val="20"/>
                <w:lang w:bidi="ar"/>
              </w:rPr>
              <w:t>低～较大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622" w:hRule="atLeast"/>
        </w:trPr>
        <w:tc>
          <w:tcPr>
            <w:tcW w:w="674" w:type="dxa"/>
            <w:noWrap/>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ascii="宋体" w:hAnsi="宋体" w:eastAsia="宋体" w:cs="宋体"/>
                <w:sz w:val="20"/>
                <w:szCs w:val="20"/>
                <w:lang w:bidi="ar"/>
              </w:rPr>
              <w:t>13</w:t>
            </w:r>
          </w:p>
        </w:tc>
        <w:tc>
          <w:tcPr>
            <w:tcW w:w="1095" w:type="dxa"/>
            <w:vMerge w:val="continue"/>
            <w:tcMar>
              <w:top w:w="15" w:type="dxa"/>
              <w:left w:w="15" w:type="dxa"/>
              <w:right w:w="15" w:type="dxa"/>
            </w:tcMar>
            <w:vAlign w:val="center"/>
          </w:tcPr>
          <w:p>
            <w:pPr>
              <w:widowControl w:val="0"/>
              <w:snapToGrid w:val="0"/>
              <w:jc w:val="center"/>
              <w:rPr>
                <w:rFonts w:ascii="宋体" w:hAnsi="宋体" w:eastAsia="宋体" w:cs="宋体"/>
                <w:sz w:val="20"/>
                <w:szCs w:val="20"/>
              </w:rPr>
            </w:pPr>
          </w:p>
        </w:tc>
        <w:tc>
          <w:tcPr>
            <w:tcW w:w="1184" w:type="dxa"/>
            <w:vMerge w:val="continue"/>
            <w:tcMar>
              <w:top w:w="15" w:type="dxa"/>
              <w:left w:w="15" w:type="dxa"/>
              <w:right w:w="15" w:type="dxa"/>
            </w:tcMar>
            <w:vAlign w:val="center"/>
          </w:tcPr>
          <w:p>
            <w:pPr>
              <w:widowControl w:val="0"/>
              <w:snapToGrid w:val="0"/>
              <w:jc w:val="center"/>
              <w:textAlignment w:val="center"/>
              <w:rPr>
                <w:rFonts w:ascii="宋体" w:hAnsi="宋体" w:eastAsia="宋体" w:cs="宋体"/>
                <w:sz w:val="20"/>
                <w:szCs w:val="20"/>
              </w:rPr>
            </w:pPr>
          </w:p>
        </w:tc>
        <w:tc>
          <w:tcPr>
            <w:tcW w:w="1607" w:type="dxa"/>
            <w:tcMar>
              <w:top w:w="15" w:type="dxa"/>
              <w:left w:w="15" w:type="dxa"/>
              <w:right w:w="15" w:type="dxa"/>
            </w:tcMar>
            <w:vAlign w:val="center"/>
          </w:tcPr>
          <w:p>
            <w:pPr>
              <w:snapToGrid w:val="0"/>
              <w:jc w:val="center"/>
              <w:textAlignment w:val="center"/>
              <w:rPr>
                <w:rFonts w:ascii="宋体" w:hAnsi="宋体" w:eastAsia="宋体" w:cs="宋体"/>
                <w:sz w:val="20"/>
                <w:szCs w:val="20"/>
                <w:lang w:bidi="ar"/>
              </w:rPr>
            </w:pPr>
            <w:r>
              <w:rPr>
                <w:rFonts w:hint="eastAsia" w:ascii="宋体" w:hAnsi="宋体" w:eastAsia="宋体" w:cs="宋体"/>
                <w:sz w:val="20"/>
                <w:szCs w:val="20"/>
                <w:lang w:bidi="ar"/>
              </w:rPr>
              <w:t>上坝道路</w:t>
            </w:r>
          </w:p>
        </w:tc>
        <w:tc>
          <w:tcPr>
            <w:tcW w:w="2437" w:type="dxa"/>
            <w:tcMar>
              <w:top w:w="15" w:type="dxa"/>
              <w:left w:w="15" w:type="dxa"/>
              <w:right w:w="15" w:type="dxa"/>
            </w:tcMar>
            <w:vAlign w:val="center"/>
          </w:tcPr>
          <w:p>
            <w:pPr>
              <w:snapToGrid w:val="0"/>
              <w:jc w:val="center"/>
              <w:textAlignment w:val="center"/>
              <w:rPr>
                <w:rFonts w:ascii="宋体" w:hAnsi="宋体" w:eastAsia="宋体" w:cs="宋体"/>
                <w:sz w:val="20"/>
                <w:szCs w:val="20"/>
              </w:rPr>
            </w:pPr>
            <w:r>
              <w:rPr>
                <w:rFonts w:hint="eastAsia" w:ascii="宋体" w:hAnsi="宋体" w:eastAsia="宋体" w:cs="宋体"/>
                <w:sz w:val="20"/>
                <w:szCs w:val="20"/>
              </w:rPr>
              <w:t>设施损坏</w:t>
            </w:r>
          </w:p>
        </w:tc>
        <w:tc>
          <w:tcPr>
            <w:tcW w:w="2189" w:type="dxa"/>
            <w:tcMar>
              <w:top w:w="15" w:type="dxa"/>
              <w:left w:w="15" w:type="dxa"/>
              <w:right w:w="15" w:type="dxa"/>
            </w:tcMar>
            <w:vAlign w:val="center"/>
          </w:tcPr>
          <w:p>
            <w:pPr>
              <w:snapToGrid w:val="0"/>
              <w:jc w:val="center"/>
              <w:textAlignment w:val="center"/>
              <w:rPr>
                <w:rFonts w:ascii="宋体" w:hAnsi="宋体" w:eastAsia="宋体" w:cs="宋体"/>
                <w:sz w:val="20"/>
                <w:szCs w:val="20"/>
              </w:rPr>
            </w:pPr>
            <w:r>
              <w:rPr>
                <w:rFonts w:hint="eastAsia" w:ascii="宋体" w:hAnsi="宋体" w:eastAsia="宋体" w:cs="宋体"/>
                <w:sz w:val="20"/>
                <w:szCs w:val="20"/>
              </w:rPr>
              <w:t>影响巡查和防汛抢险</w:t>
            </w:r>
          </w:p>
        </w:tc>
        <w:tc>
          <w:tcPr>
            <w:tcW w:w="901" w:type="dxa"/>
            <w:tcMar>
              <w:top w:w="15" w:type="dxa"/>
              <w:left w:w="15" w:type="dxa"/>
              <w:right w:w="15" w:type="dxa"/>
            </w:tcMar>
            <w:vAlign w:val="center"/>
          </w:tcPr>
          <w:p>
            <w:pPr>
              <w:snapToGrid w:val="0"/>
              <w:jc w:val="center"/>
              <w:textAlignment w:val="center"/>
              <w:rPr>
                <w:rFonts w:ascii="宋体" w:hAnsi="宋体" w:eastAsia="宋体" w:cs="宋体"/>
                <w:sz w:val="20"/>
                <w:szCs w:val="20"/>
              </w:rPr>
            </w:pPr>
            <w:r>
              <w:rPr>
                <w:rFonts w:hint="eastAsia" w:ascii="宋体" w:hAnsi="宋体" w:eastAsia="宋体" w:cs="宋体"/>
                <w:sz w:val="20"/>
                <w:szCs w:val="20"/>
              </w:rPr>
              <w:t>LS法</w:t>
            </w:r>
          </w:p>
        </w:tc>
        <w:tc>
          <w:tcPr>
            <w:tcW w:w="901" w:type="dxa"/>
            <w:tcMar>
              <w:top w:w="15" w:type="dxa"/>
              <w:left w:w="15" w:type="dxa"/>
              <w:right w:w="15" w:type="dxa"/>
            </w:tcMar>
            <w:vAlign w:val="center"/>
          </w:tcPr>
          <w:p>
            <w:pPr>
              <w:snapToGrid w:val="0"/>
              <w:jc w:val="center"/>
              <w:textAlignment w:val="center"/>
              <w:rPr>
                <w:rFonts w:ascii="宋体" w:hAnsi="宋体" w:eastAsia="宋体" w:cs="宋体"/>
                <w:sz w:val="20"/>
                <w:szCs w:val="20"/>
                <w:lang w:bidi="ar"/>
              </w:rPr>
            </w:pPr>
            <w:r>
              <w:rPr>
                <w:rFonts w:hint="eastAsia" w:ascii="宋体" w:hAnsi="宋体" w:eastAsia="宋体" w:cs="宋体"/>
                <w:sz w:val="20"/>
                <w:szCs w:val="20"/>
                <w:lang w:bidi="ar"/>
              </w:rPr>
              <w:t>5～30</w:t>
            </w:r>
          </w:p>
        </w:tc>
        <w:tc>
          <w:tcPr>
            <w:tcW w:w="721" w:type="dxa"/>
            <w:tcMar>
              <w:top w:w="15" w:type="dxa"/>
              <w:left w:w="15" w:type="dxa"/>
              <w:right w:w="15" w:type="dxa"/>
            </w:tcMar>
            <w:vAlign w:val="center"/>
          </w:tcPr>
          <w:p>
            <w:pPr>
              <w:widowControl w:val="0"/>
              <w:snapToGrid w:val="0"/>
              <w:jc w:val="center"/>
              <w:rPr>
                <w:rFonts w:ascii="宋体" w:hAnsi="宋体" w:eastAsia="宋体" w:cs="宋体"/>
                <w:kern w:val="2"/>
                <w:sz w:val="20"/>
                <w:szCs w:val="20"/>
              </w:rPr>
            </w:pPr>
            <w:r>
              <w:rPr>
                <w:rFonts w:hint="eastAsia" w:ascii="宋体" w:hAnsi="宋体" w:eastAsia="宋体" w:cs="宋体"/>
                <w:kern w:val="2"/>
                <w:sz w:val="20"/>
                <w:szCs w:val="20"/>
              </w:rPr>
              <w:t>/</w:t>
            </w:r>
          </w:p>
        </w:tc>
        <w:tc>
          <w:tcPr>
            <w:tcW w:w="781" w:type="dxa"/>
            <w:tcMar>
              <w:top w:w="15" w:type="dxa"/>
              <w:left w:w="15" w:type="dxa"/>
              <w:right w:w="15" w:type="dxa"/>
            </w:tcMar>
            <w:vAlign w:val="center"/>
          </w:tcPr>
          <w:p>
            <w:pPr>
              <w:snapToGrid w:val="0"/>
              <w:jc w:val="center"/>
              <w:textAlignment w:val="center"/>
              <w:rPr>
                <w:rFonts w:ascii="宋体" w:hAnsi="宋体" w:eastAsia="宋体" w:cs="宋体"/>
                <w:sz w:val="20"/>
                <w:szCs w:val="20"/>
                <w:lang w:bidi="ar"/>
              </w:rPr>
            </w:pPr>
            <w:r>
              <w:rPr>
                <w:rFonts w:hint="eastAsia" w:ascii="宋体" w:hAnsi="宋体" w:eastAsia="宋体" w:cs="宋体"/>
                <w:sz w:val="20"/>
                <w:szCs w:val="20"/>
                <w:lang w:bidi="ar"/>
              </w:rPr>
              <w:t>3～10</w:t>
            </w:r>
          </w:p>
        </w:tc>
        <w:tc>
          <w:tcPr>
            <w:tcW w:w="1021" w:type="dxa"/>
            <w:tcMar>
              <w:top w:w="15" w:type="dxa"/>
              <w:left w:w="15" w:type="dxa"/>
              <w:right w:w="15" w:type="dxa"/>
            </w:tcMar>
            <w:vAlign w:val="center"/>
          </w:tcPr>
          <w:p>
            <w:pPr>
              <w:snapToGrid w:val="0"/>
              <w:jc w:val="center"/>
              <w:textAlignment w:val="center"/>
              <w:rPr>
                <w:rFonts w:ascii="宋体" w:hAnsi="宋体" w:eastAsia="宋体" w:cs="宋体"/>
                <w:sz w:val="20"/>
                <w:szCs w:val="20"/>
                <w:lang w:bidi="ar"/>
              </w:rPr>
            </w:pPr>
            <w:r>
              <w:rPr>
                <w:rFonts w:hint="eastAsia" w:ascii="宋体" w:hAnsi="宋体" w:eastAsia="宋体" w:cs="宋体"/>
                <w:sz w:val="20"/>
                <w:szCs w:val="20"/>
                <w:lang w:bidi="ar"/>
              </w:rPr>
              <w:t>15～300</w:t>
            </w:r>
          </w:p>
        </w:tc>
        <w:tc>
          <w:tcPr>
            <w:tcW w:w="901" w:type="dxa"/>
            <w:noWrap/>
            <w:tcMar>
              <w:top w:w="15" w:type="dxa"/>
              <w:left w:w="15" w:type="dxa"/>
              <w:right w:w="15" w:type="dxa"/>
            </w:tcMar>
            <w:vAlign w:val="center"/>
          </w:tcPr>
          <w:p>
            <w:pPr>
              <w:snapToGrid w:val="0"/>
              <w:jc w:val="center"/>
              <w:textAlignment w:val="center"/>
              <w:rPr>
                <w:rFonts w:ascii="宋体" w:hAnsi="宋体" w:eastAsia="宋体" w:cs="宋体"/>
                <w:sz w:val="20"/>
                <w:szCs w:val="20"/>
              </w:rPr>
            </w:pPr>
            <w:r>
              <w:rPr>
                <w:rFonts w:hint="eastAsia" w:ascii="宋体" w:hAnsi="宋体" w:eastAsia="宋体" w:cs="宋体"/>
                <w:sz w:val="20"/>
                <w:szCs w:val="20"/>
              </w:rPr>
              <w:t>低～较大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689" w:hRule="atLeast"/>
        </w:trPr>
        <w:tc>
          <w:tcPr>
            <w:tcW w:w="674" w:type="dxa"/>
            <w:noWrap/>
            <w:tcMar>
              <w:top w:w="15" w:type="dxa"/>
              <w:left w:w="15" w:type="dxa"/>
              <w:right w:w="15" w:type="dxa"/>
            </w:tcMar>
            <w:vAlign w:val="center"/>
          </w:tcPr>
          <w:p>
            <w:pPr>
              <w:snapToGrid w:val="0"/>
              <w:jc w:val="center"/>
              <w:textAlignment w:val="center"/>
              <w:rPr>
                <w:rFonts w:ascii="宋体" w:hAnsi="宋体" w:eastAsia="宋体" w:cs="宋体"/>
                <w:sz w:val="20"/>
                <w:szCs w:val="20"/>
                <w:lang w:bidi="ar"/>
              </w:rPr>
            </w:pPr>
            <w:r>
              <w:rPr>
                <w:rFonts w:ascii="宋体" w:hAnsi="宋体" w:eastAsia="宋体" w:cs="宋体"/>
                <w:sz w:val="20"/>
                <w:szCs w:val="20"/>
                <w:lang w:bidi="ar"/>
              </w:rPr>
              <w:t>14</w:t>
            </w:r>
          </w:p>
        </w:tc>
        <w:tc>
          <w:tcPr>
            <w:tcW w:w="1095" w:type="dxa"/>
            <w:vMerge w:val="continue"/>
            <w:tcMar>
              <w:top w:w="15" w:type="dxa"/>
              <w:left w:w="15" w:type="dxa"/>
              <w:right w:w="15" w:type="dxa"/>
            </w:tcMar>
            <w:vAlign w:val="center"/>
          </w:tcPr>
          <w:p>
            <w:pPr>
              <w:widowControl w:val="0"/>
              <w:snapToGrid w:val="0"/>
              <w:jc w:val="center"/>
              <w:rPr>
                <w:rFonts w:ascii="宋体" w:hAnsi="宋体" w:eastAsia="宋体" w:cs="宋体"/>
                <w:kern w:val="2"/>
                <w:sz w:val="20"/>
                <w:szCs w:val="20"/>
              </w:rPr>
            </w:pPr>
          </w:p>
        </w:tc>
        <w:tc>
          <w:tcPr>
            <w:tcW w:w="1184" w:type="dxa"/>
            <w:vMerge w:val="continue"/>
            <w:tcMar>
              <w:top w:w="15" w:type="dxa"/>
              <w:left w:w="15" w:type="dxa"/>
              <w:right w:w="15" w:type="dxa"/>
            </w:tcMar>
            <w:vAlign w:val="center"/>
          </w:tcPr>
          <w:p>
            <w:pPr>
              <w:widowControl w:val="0"/>
              <w:snapToGrid w:val="0"/>
              <w:jc w:val="center"/>
              <w:textAlignment w:val="center"/>
              <w:rPr>
                <w:rFonts w:ascii="宋体" w:hAnsi="宋体" w:eastAsia="宋体" w:cs="宋体"/>
                <w:sz w:val="20"/>
                <w:szCs w:val="20"/>
                <w:lang w:bidi="ar"/>
              </w:rPr>
            </w:pPr>
          </w:p>
        </w:tc>
        <w:tc>
          <w:tcPr>
            <w:tcW w:w="1607" w:type="dxa"/>
            <w:tcMar>
              <w:top w:w="15" w:type="dxa"/>
              <w:left w:w="15" w:type="dxa"/>
              <w:right w:w="15" w:type="dxa"/>
            </w:tcMar>
            <w:vAlign w:val="center"/>
          </w:tcPr>
          <w:p>
            <w:pPr>
              <w:snapToGrid w:val="0"/>
              <w:jc w:val="center"/>
              <w:textAlignment w:val="center"/>
              <w:rPr>
                <w:rFonts w:ascii="宋体" w:hAnsi="宋体" w:eastAsia="宋体" w:cs="宋体"/>
                <w:sz w:val="20"/>
                <w:szCs w:val="20"/>
              </w:rPr>
            </w:pPr>
            <w:r>
              <w:rPr>
                <w:rFonts w:hint="eastAsia" w:ascii="宋体" w:hAnsi="宋体" w:eastAsia="宋体" w:cs="宋体"/>
                <w:sz w:val="20"/>
                <w:szCs w:val="20"/>
                <w:lang w:bidi="ar"/>
              </w:rPr>
              <w:t>通往卧管     （竖井）道路</w:t>
            </w:r>
          </w:p>
        </w:tc>
        <w:tc>
          <w:tcPr>
            <w:tcW w:w="2437" w:type="dxa"/>
            <w:tcMar>
              <w:top w:w="15" w:type="dxa"/>
              <w:left w:w="15" w:type="dxa"/>
              <w:right w:w="15" w:type="dxa"/>
            </w:tcMar>
            <w:vAlign w:val="center"/>
          </w:tcPr>
          <w:p>
            <w:pPr>
              <w:snapToGrid w:val="0"/>
              <w:jc w:val="center"/>
              <w:textAlignment w:val="center"/>
              <w:rPr>
                <w:rFonts w:ascii="宋体" w:hAnsi="宋体" w:eastAsia="宋体" w:cs="宋体"/>
                <w:sz w:val="20"/>
                <w:szCs w:val="20"/>
              </w:rPr>
            </w:pPr>
            <w:r>
              <w:rPr>
                <w:rFonts w:hint="eastAsia" w:ascii="宋体" w:hAnsi="宋体" w:eastAsia="宋体" w:cs="宋体"/>
                <w:sz w:val="20"/>
                <w:szCs w:val="20"/>
              </w:rPr>
              <w:t>道路不畅</w:t>
            </w:r>
          </w:p>
        </w:tc>
        <w:tc>
          <w:tcPr>
            <w:tcW w:w="2189" w:type="dxa"/>
            <w:tcMar>
              <w:top w:w="15" w:type="dxa"/>
              <w:left w:w="15" w:type="dxa"/>
              <w:right w:w="15" w:type="dxa"/>
            </w:tcMar>
            <w:vAlign w:val="center"/>
          </w:tcPr>
          <w:p>
            <w:pPr>
              <w:snapToGrid w:val="0"/>
              <w:jc w:val="center"/>
              <w:textAlignment w:val="center"/>
              <w:rPr>
                <w:rFonts w:ascii="宋体" w:hAnsi="宋体" w:eastAsia="宋体" w:cs="宋体"/>
                <w:sz w:val="20"/>
                <w:szCs w:val="20"/>
              </w:rPr>
            </w:pPr>
            <w:r>
              <w:rPr>
                <w:rFonts w:hint="eastAsia" w:ascii="宋体" w:hAnsi="宋体" w:eastAsia="宋体" w:cs="宋体"/>
                <w:sz w:val="20"/>
                <w:szCs w:val="20"/>
              </w:rPr>
              <w:t>影响人员启闭放水设施</w:t>
            </w:r>
          </w:p>
        </w:tc>
        <w:tc>
          <w:tcPr>
            <w:tcW w:w="901" w:type="dxa"/>
            <w:tcMar>
              <w:top w:w="15" w:type="dxa"/>
              <w:left w:w="15" w:type="dxa"/>
              <w:right w:w="15" w:type="dxa"/>
            </w:tcMar>
            <w:vAlign w:val="center"/>
          </w:tcPr>
          <w:p>
            <w:pPr>
              <w:snapToGrid w:val="0"/>
              <w:jc w:val="center"/>
              <w:textAlignment w:val="center"/>
              <w:rPr>
                <w:rFonts w:ascii="宋体" w:hAnsi="宋体" w:eastAsia="宋体" w:cs="宋体"/>
                <w:sz w:val="20"/>
                <w:szCs w:val="20"/>
              </w:rPr>
            </w:pPr>
            <w:r>
              <w:rPr>
                <w:rFonts w:hint="eastAsia" w:ascii="宋体" w:hAnsi="宋体" w:eastAsia="宋体" w:cs="宋体"/>
                <w:sz w:val="20"/>
                <w:szCs w:val="20"/>
              </w:rPr>
              <w:t>LS法</w:t>
            </w:r>
          </w:p>
        </w:tc>
        <w:tc>
          <w:tcPr>
            <w:tcW w:w="901" w:type="dxa"/>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5～30</w:t>
            </w:r>
          </w:p>
        </w:tc>
        <w:tc>
          <w:tcPr>
            <w:tcW w:w="721" w:type="dxa"/>
            <w:tcMar>
              <w:top w:w="15" w:type="dxa"/>
              <w:left w:w="15" w:type="dxa"/>
              <w:right w:w="15" w:type="dxa"/>
            </w:tcMar>
            <w:vAlign w:val="center"/>
          </w:tcPr>
          <w:p>
            <w:pPr>
              <w:widowControl w:val="0"/>
              <w:snapToGrid w:val="0"/>
              <w:jc w:val="center"/>
              <w:rPr>
                <w:rFonts w:ascii="宋体" w:hAnsi="宋体" w:eastAsia="宋体" w:cs="宋体"/>
                <w:kern w:val="2"/>
                <w:sz w:val="20"/>
                <w:szCs w:val="20"/>
              </w:rPr>
            </w:pPr>
            <w:r>
              <w:rPr>
                <w:rFonts w:hint="eastAsia" w:ascii="宋体" w:hAnsi="宋体" w:eastAsia="宋体" w:cs="宋体"/>
                <w:kern w:val="2"/>
                <w:sz w:val="20"/>
                <w:szCs w:val="20"/>
              </w:rPr>
              <w:t>/</w:t>
            </w:r>
          </w:p>
        </w:tc>
        <w:tc>
          <w:tcPr>
            <w:tcW w:w="781" w:type="dxa"/>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3～10</w:t>
            </w:r>
          </w:p>
        </w:tc>
        <w:tc>
          <w:tcPr>
            <w:tcW w:w="1021" w:type="dxa"/>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15～300</w:t>
            </w:r>
          </w:p>
        </w:tc>
        <w:tc>
          <w:tcPr>
            <w:tcW w:w="901" w:type="dxa"/>
            <w:noWrap/>
            <w:tcMar>
              <w:top w:w="15" w:type="dxa"/>
              <w:left w:w="15" w:type="dxa"/>
              <w:right w:w="15" w:type="dxa"/>
            </w:tcMar>
            <w:vAlign w:val="center"/>
          </w:tcPr>
          <w:p>
            <w:pPr>
              <w:snapToGrid w:val="0"/>
              <w:jc w:val="center"/>
              <w:textAlignment w:val="center"/>
              <w:rPr>
                <w:rFonts w:ascii="宋体" w:hAnsi="宋体" w:eastAsia="宋体" w:cs="宋体"/>
                <w:sz w:val="20"/>
                <w:szCs w:val="20"/>
              </w:rPr>
            </w:pPr>
            <w:r>
              <w:rPr>
                <w:rFonts w:hint="eastAsia" w:ascii="宋体" w:hAnsi="宋体" w:eastAsia="宋体" w:cs="宋体"/>
                <w:sz w:val="20"/>
                <w:szCs w:val="20"/>
              </w:rPr>
              <w:t>低～较大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39" w:hRule="atLeast"/>
        </w:trPr>
        <w:tc>
          <w:tcPr>
            <w:tcW w:w="674" w:type="dxa"/>
            <w:noWrap/>
            <w:tcMar>
              <w:top w:w="15" w:type="dxa"/>
              <w:left w:w="15" w:type="dxa"/>
              <w:right w:w="15" w:type="dxa"/>
            </w:tcMar>
            <w:vAlign w:val="center"/>
          </w:tcPr>
          <w:p>
            <w:pPr>
              <w:snapToGrid w:val="0"/>
              <w:jc w:val="center"/>
              <w:textAlignment w:val="center"/>
              <w:rPr>
                <w:rFonts w:ascii="宋体" w:hAnsi="宋体" w:eastAsia="宋体" w:cs="宋体"/>
                <w:sz w:val="20"/>
                <w:szCs w:val="20"/>
                <w:lang w:bidi="ar"/>
              </w:rPr>
            </w:pPr>
            <w:r>
              <w:rPr>
                <w:rFonts w:hint="eastAsia" w:ascii="宋体" w:hAnsi="宋体" w:eastAsia="宋体" w:cs="宋体"/>
                <w:sz w:val="20"/>
                <w:szCs w:val="20"/>
                <w:lang w:bidi="ar"/>
              </w:rPr>
              <w:t>1</w:t>
            </w:r>
            <w:r>
              <w:rPr>
                <w:rFonts w:ascii="宋体" w:hAnsi="宋体" w:eastAsia="宋体" w:cs="宋体"/>
                <w:sz w:val="20"/>
                <w:szCs w:val="20"/>
                <w:lang w:bidi="ar"/>
              </w:rPr>
              <w:t>5</w:t>
            </w:r>
          </w:p>
        </w:tc>
        <w:tc>
          <w:tcPr>
            <w:tcW w:w="1095" w:type="dxa"/>
            <w:vMerge w:val="continue"/>
            <w:tcMar>
              <w:top w:w="15" w:type="dxa"/>
              <w:left w:w="15" w:type="dxa"/>
              <w:right w:w="15" w:type="dxa"/>
            </w:tcMar>
            <w:vAlign w:val="center"/>
          </w:tcPr>
          <w:p>
            <w:pPr>
              <w:widowControl w:val="0"/>
              <w:snapToGrid w:val="0"/>
              <w:jc w:val="center"/>
              <w:rPr>
                <w:rFonts w:ascii="宋体" w:hAnsi="宋体" w:eastAsia="宋体" w:cs="宋体"/>
                <w:kern w:val="2"/>
                <w:sz w:val="20"/>
                <w:szCs w:val="20"/>
              </w:rPr>
            </w:pPr>
          </w:p>
        </w:tc>
        <w:tc>
          <w:tcPr>
            <w:tcW w:w="1184" w:type="dxa"/>
            <w:vMerge w:val="continue"/>
            <w:tcMar>
              <w:top w:w="15" w:type="dxa"/>
              <w:left w:w="15" w:type="dxa"/>
              <w:right w:w="15" w:type="dxa"/>
            </w:tcMar>
            <w:vAlign w:val="center"/>
          </w:tcPr>
          <w:p>
            <w:pPr>
              <w:widowControl w:val="0"/>
              <w:snapToGrid w:val="0"/>
              <w:jc w:val="center"/>
              <w:textAlignment w:val="center"/>
              <w:rPr>
                <w:rFonts w:ascii="宋体" w:hAnsi="宋体" w:eastAsia="宋体" w:cs="宋体"/>
                <w:sz w:val="20"/>
                <w:szCs w:val="20"/>
                <w:lang w:bidi="ar"/>
              </w:rPr>
            </w:pPr>
          </w:p>
        </w:tc>
        <w:tc>
          <w:tcPr>
            <w:tcW w:w="1607" w:type="dxa"/>
            <w:tcMar>
              <w:top w:w="15" w:type="dxa"/>
              <w:left w:w="15" w:type="dxa"/>
              <w:right w:w="15" w:type="dxa"/>
            </w:tcMar>
            <w:vAlign w:val="center"/>
          </w:tcPr>
          <w:p>
            <w:pPr>
              <w:snapToGrid w:val="0"/>
              <w:jc w:val="center"/>
              <w:textAlignment w:val="center"/>
              <w:rPr>
                <w:rFonts w:ascii="宋体" w:hAnsi="宋体" w:eastAsia="宋体" w:cs="宋体"/>
                <w:sz w:val="20"/>
                <w:szCs w:val="20"/>
                <w:lang w:bidi="ar"/>
              </w:rPr>
            </w:pPr>
            <w:r>
              <w:rPr>
                <w:rFonts w:hint="eastAsia" w:ascii="宋体" w:hAnsi="宋体" w:eastAsia="宋体" w:cs="宋体"/>
                <w:sz w:val="20"/>
                <w:szCs w:val="20"/>
                <w:lang w:bidi="ar"/>
              </w:rPr>
              <w:t>警示标志</w:t>
            </w:r>
          </w:p>
        </w:tc>
        <w:tc>
          <w:tcPr>
            <w:tcW w:w="2437" w:type="dxa"/>
            <w:tcMar>
              <w:top w:w="15" w:type="dxa"/>
              <w:left w:w="15" w:type="dxa"/>
              <w:right w:w="15" w:type="dxa"/>
            </w:tcMar>
            <w:vAlign w:val="center"/>
          </w:tcPr>
          <w:p>
            <w:pPr>
              <w:snapToGrid w:val="0"/>
              <w:jc w:val="center"/>
              <w:textAlignment w:val="center"/>
              <w:rPr>
                <w:rFonts w:ascii="宋体" w:hAnsi="宋体" w:eastAsia="宋体" w:cs="宋体"/>
                <w:sz w:val="20"/>
                <w:szCs w:val="20"/>
              </w:rPr>
            </w:pPr>
            <w:r>
              <w:rPr>
                <w:rFonts w:hint="eastAsia" w:ascii="宋体" w:hAnsi="宋体" w:eastAsia="宋体" w:cs="宋体"/>
                <w:sz w:val="20"/>
                <w:szCs w:val="20"/>
                <w:lang w:bidi="ar"/>
              </w:rPr>
              <w:t>损坏</w:t>
            </w:r>
          </w:p>
        </w:tc>
        <w:tc>
          <w:tcPr>
            <w:tcW w:w="2189" w:type="dxa"/>
            <w:tcMar>
              <w:top w:w="15" w:type="dxa"/>
              <w:left w:w="15" w:type="dxa"/>
              <w:right w:w="15" w:type="dxa"/>
            </w:tcMar>
            <w:vAlign w:val="center"/>
          </w:tcPr>
          <w:p>
            <w:pPr>
              <w:snapToGrid w:val="0"/>
              <w:jc w:val="center"/>
              <w:textAlignment w:val="center"/>
              <w:rPr>
                <w:rFonts w:ascii="宋体" w:hAnsi="宋体" w:eastAsia="宋体" w:cs="宋体"/>
                <w:sz w:val="20"/>
                <w:szCs w:val="20"/>
              </w:rPr>
            </w:pPr>
            <w:r>
              <w:rPr>
                <w:rFonts w:hint="eastAsia" w:ascii="宋体" w:hAnsi="宋体" w:eastAsia="宋体" w:cs="宋体"/>
                <w:sz w:val="20"/>
                <w:szCs w:val="20"/>
                <w:lang w:bidi="ar"/>
              </w:rPr>
              <w:t>影响工程安全运行、   人员安全</w:t>
            </w:r>
          </w:p>
        </w:tc>
        <w:tc>
          <w:tcPr>
            <w:tcW w:w="901" w:type="dxa"/>
            <w:tcMar>
              <w:top w:w="15" w:type="dxa"/>
              <w:left w:w="15" w:type="dxa"/>
              <w:right w:w="15" w:type="dxa"/>
            </w:tcMar>
            <w:vAlign w:val="center"/>
          </w:tcPr>
          <w:p>
            <w:pPr>
              <w:snapToGrid w:val="0"/>
              <w:jc w:val="center"/>
              <w:textAlignment w:val="center"/>
              <w:rPr>
                <w:rFonts w:ascii="宋体" w:hAnsi="宋体" w:eastAsia="宋体" w:cs="宋体"/>
                <w:sz w:val="20"/>
                <w:szCs w:val="20"/>
              </w:rPr>
            </w:pPr>
            <w:r>
              <w:rPr>
                <w:rFonts w:hint="eastAsia" w:ascii="宋体" w:hAnsi="宋体" w:eastAsia="宋体" w:cs="宋体"/>
                <w:sz w:val="20"/>
                <w:szCs w:val="20"/>
                <w:lang w:bidi="ar"/>
              </w:rPr>
              <w:t>LS法</w:t>
            </w:r>
          </w:p>
        </w:tc>
        <w:tc>
          <w:tcPr>
            <w:tcW w:w="901" w:type="dxa"/>
            <w:tcMar>
              <w:top w:w="15" w:type="dxa"/>
              <w:left w:w="15" w:type="dxa"/>
              <w:right w:w="15" w:type="dxa"/>
            </w:tcMar>
            <w:vAlign w:val="center"/>
          </w:tcPr>
          <w:p>
            <w:pPr>
              <w:snapToGrid w:val="0"/>
              <w:jc w:val="center"/>
              <w:textAlignment w:val="center"/>
              <w:rPr>
                <w:rFonts w:ascii="宋体" w:hAnsi="宋体" w:eastAsia="宋体" w:cs="宋体"/>
                <w:sz w:val="20"/>
                <w:szCs w:val="20"/>
                <w:lang w:bidi="ar"/>
              </w:rPr>
            </w:pPr>
            <w:r>
              <w:rPr>
                <w:rFonts w:hint="eastAsia" w:ascii="宋体" w:hAnsi="宋体" w:eastAsia="宋体" w:cs="宋体"/>
                <w:sz w:val="20"/>
                <w:szCs w:val="20"/>
                <w:lang w:bidi="ar"/>
              </w:rPr>
              <w:t>5～30</w:t>
            </w:r>
          </w:p>
        </w:tc>
        <w:tc>
          <w:tcPr>
            <w:tcW w:w="721" w:type="dxa"/>
            <w:tcMar>
              <w:top w:w="15" w:type="dxa"/>
              <w:left w:w="15" w:type="dxa"/>
              <w:right w:w="15" w:type="dxa"/>
            </w:tcMar>
            <w:vAlign w:val="center"/>
          </w:tcPr>
          <w:p>
            <w:pPr>
              <w:widowControl w:val="0"/>
              <w:snapToGrid w:val="0"/>
              <w:jc w:val="center"/>
              <w:rPr>
                <w:rFonts w:ascii="宋体" w:hAnsi="宋体" w:eastAsia="宋体" w:cs="宋体"/>
                <w:kern w:val="2"/>
                <w:sz w:val="20"/>
                <w:szCs w:val="20"/>
              </w:rPr>
            </w:pPr>
            <w:r>
              <w:rPr>
                <w:rFonts w:hint="eastAsia" w:ascii="宋体" w:hAnsi="宋体" w:eastAsia="宋体" w:cs="宋体"/>
                <w:sz w:val="20"/>
                <w:szCs w:val="20"/>
                <w:lang w:bidi="ar"/>
              </w:rPr>
              <w:t>/</w:t>
            </w:r>
          </w:p>
        </w:tc>
        <w:tc>
          <w:tcPr>
            <w:tcW w:w="781" w:type="dxa"/>
            <w:tcMar>
              <w:top w:w="15" w:type="dxa"/>
              <w:left w:w="15" w:type="dxa"/>
              <w:right w:w="15" w:type="dxa"/>
            </w:tcMar>
            <w:vAlign w:val="center"/>
          </w:tcPr>
          <w:p>
            <w:pPr>
              <w:snapToGrid w:val="0"/>
              <w:jc w:val="center"/>
              <w:textAlignment w:val="center"/>
              <w:rPr>
                <w:rFonts w:ascii="宋体" w:hAnsi="宋体" w:eastAsia="宋体" w:cs="宋体"/>
                <w:sz w:val="20"/>
                <w:szCs w:val="20"/>
                <w:lang w:bidi="ar"/>
              </w:rPr>
            </w:pPr>
            <w:r>
              <w:rPr>
                <w:rFonts w:hint="eastAsia" w:ascii="宋体" w:hAnsi="宋体" w:eastAsia="宋体" w:cs="宋体"/>
                <w:sz w:val="20"/>
                <w:szCs w:val="20"/>
                <w:lang w:bidi="ar"/>
              </w:rPr>
              <w:t>3～10</w:t>
            </w:r>
          </w:p>
        </w:tc>
        <w:tc>
          <w:tcPr>
            <w:tcW w:w="1021" w:type="dxa"/>
            <w:tcMar>
              <w:top w:w="15" w:type="dxa"/>
              <w:left w:w="15" w:type="dxa"/>
              <w:right w:w="15" w:type="dxa"/>
            </w:tcMar>
            <w:vAlign w:val="center"/>
          </w:tcPr>
          <w:p>
            <w:pPr>
              <w:snapToGrid w:val="0"/>
              <w:jc w:val="center"/>
              <w:textAlignment w:val="center"/>
              <w:rPr>
                <w:rFonts w:ascii="宋体" w:hAnsi="宋体" w:eastAsia="宋体" w:cs="宋体"/>
                <w:sz w:val="20"/>
                <w:szCs w:val="20"/>
                <w:lang w:bidi="ar"/>
              </w:rPr>
            </w:pPr>
            <w:r>
              <w:rPr>
                <w:rFonts w:hint="eastAsia" w:ascii="宋体" w:hAnsi="宋体" w:eastAsia="宋体" w:cs="宋体"/>
                <w:sz w:val="20"/>
                <w:szCs w:val="20"/>
                <w:lang w:bidi="ar"/>
              </w:rPr>
              <w:t>15～300</w:t>
            </w:r>
          </w:p>
        </w:tc>
        <w:tc>
          <w:tcPr>
            <w:tcW w:w="901" w:type="dxa"/>
            <w:noWrap/>
            <w:tcMar>
              <w:top w:w="15" w:type="dxa"/>
              <w:left w:w="15" w:type="dxa"/>
              <w:right w:w="15" w:type="dxa"/>
            </w:tcMar>
            <w:vAlign w:val="center"/>
          </w:tcPr>
          <w:p>
            <w:pPr>
              <w:snapToGrid w:val="0"/>
              <w:jc w:val="center"/>
              <w:textAlignment w:val="center"/>
              <w:rPr>
                <w:rFonts w:ascii="宋体" w:hAnsi="宋体" w:eastAsia="宋体" w:cs="宋体"/>
                <w:sz w:val="20"/>
                <w:szCs w:val="20"/>
              </w:rPr>
            </w:pPr>
            <w:r>
              <w:rPr>
                <w:rFonts w:hint="eastAsia" w:ascii="宋体" w:hAnsi="宋体" w:eastAsia="宋体" w:cs="宋体"/>
                <w:sz w:val="20"/>
                <w:szCs w:val="20"/>
                <w:lang w:bidi="ar"/>
              </w:rPr>
              <w:t>低～较大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712" w:hRule="atLeast"/>
        </w:trPr>
        <w:tc>
          <w:tcPr>
            <w:tcW w:w="674" w:type="dxa"/>
            <w:noWrap/>
            <w:tcMar>
              <w:top w:w="15" w:type="dxa"/>
              <w:left w:w="15" w:type="dxa"/>
              <w:right w:w="15" w:type="dxa"/>
            </w:tcMar>
            <w:vAlign w:val="center"/>
          </w:tcPr>
          <w:p>
            <w:pPr>
              <w:snapToGrid w:val="0"/>
              <w:jc w:val="center"/>
              <w:textAlignment w:val="center"/>
              <w:rPr>
                <w:rFonts w:ascii="宋体" w:hAnsi="宋体" w:eastAsia="宋体" w:cs="宋体"/>
                <w:sz w:val="20"/>
                <w:szCs w:val="20"/>
                <w:lang w:bidi="ar"/>
              </w:rPr>
            </w:pPr>
            <w:r>
              <w:rPr>
                <w:rFonts w:ascii="宋体" w:hAnsi="宋体" w:eastAsia="宋体" w:cs="宋体"/>
                <w:sz w:val="20"/>
                <w:szCs w:val="20"/>
                <w:lang w:bidi="ar"/>
              </w:rPr>
              <w:t>16</w:t>
            </w:r>
          </w:p>
        </w:tc>
        <w:tc>
          <w:tcPr>
            <w:tcW w:w="1095" w:type="dxa"/>
            <w:vMerge w:val="continue"/>
            <w:tcMar>
              <w:top w:w="15" w:type="dxa"/>
              <w:left w:w="15" w:type="dxa"/>
              <w:right w:w="15" w:type="dxa"/>
            </w:tcMar>
            <w:vAlign w:val="center"/>
          </w:tcPr>
          <w:p>
            <w:pPr>
              <w:widowControl w:val="0"/>
              <w:snapToGrid w:val="0"/>
              <w:jc w:val="center"/>
              <w:rPr>
                <w:rFonts w:ascii="宋体" w:hAnsi="宋体" w:eastAsia="宋体" w:cs="宋体"/>
                <w:kern w:val="2"/>
                <w:sz w:val="20"/>
                <w:szCs w:val="20"/>
              </w:rPr>
            </w:pPr>
          </w:p>
        </w:tc>
        <w:tc>
          <w:tcPr>
            <w:tcW w:w="1184" w:type="dxa"/>
            <w:vMerge w:val="continue"/>
            <w:tcMar>
              <w:top w:w="15" w:type="dxa"/>
              <w:left w:w="15" w:type="dxa"/>
              <w:right w:w="15" w:type="dxa"/>
            </w:tcMar>
            <w:vAlign w:val="center"/>
          </w:tcPr>
          <w:p>
            <w:pPr>
              <w:widowControl w:val="0"/>
              <w:snapToGrid w:val="0"/>
              <w:jc w:val="center"/>
              <w:textAlignment w:val="center"/>
              <w:rPr>
                <w:rFonts w:ascii="宋体" w:hAnsi="宋体" w:eastAsia="宋体" w:cs="宋体"/>
                <w:sz w:val="20"/>
                <w:szCs w:val="20"/>
                <w:lang w:bidi="ar"/>
              </w:rPr>
            </w:pPr>
          </w:p>
        </w:tc>
        <w:tc>
          <w:tcPr>
            <w:tcW w:w="1607" w:type="dxa"/>
            <w:tcMar>
              <w:top w:w="15" w:type="dxa"/>
              <w:left w:w="15" w:type="dxa"/>
              <w:right w:w="15" w:type="dxa"/>
            </w:tcMar>
            <w:vAlign w:val="center"/>
          </w:tcPr>
          <w:p>
            <w:pPr>
              <w:snapToGrid w:val="0"/>
              <w:jc w:val="center"/>
              <w:textAlignment w:val="center"/>
              <w:rPr>
                <w:rFonts w:ascii="宋体" w:hAnsi="宋体" w:eastAsia="宋体" w:cs="宋体"/>
                <w:sz w:val="20"/>
                <w:szCs w:val="20"/>
              </w:rPr>
            </w:pPr>
            <w:r>
              <w:rPr>
                <w:rFonts w:hint="eastAsia" w:ascii="宋体" w:hAnsi="宋体" w:eastAsia="宋体" w:cs="宋体"/>
                <w:sz w:val="20"/>
                <w:szCs w:val="20"/>
                <w:lang w:bidi="ar"/>
              </w:rPr>
              <w:t>公示牌</w:t>
            </w:r>
          </w:p>
        </w:tc>
        <w:tc>
          <w:tcPr>
            <w:tcW w:w="2437" w:type="dxa"/>
            <w:tcMar>
              <w:top w:w="15" w:type="dxa"/>
              <w:left w:w="15" w:type="dxa"/>
              <w:right w:w="15" w:type="dxa"/>
            </w:tcMar>
            <w:vAlign w:val="center"/>
          </w:tcPr>
          <w:p>
            <w:pPr>
              <w:snapToGrid w:val="0"/>
              <w:jc w:val="center"/>
              <w:textAlignment w:val="center"/>
              <w:rPr>
                <w:rFonts w:ascii="宋体" w:hAnsi="宋体" w:eastAsia="宋体" w:cs="宋体"/>
                <w:sz w:val="20"/>
                <w:szCs w:val="20"/>
              </w:rPr>
            </w:pPr>
            <w:r>
              <w:rPr>
                <w:rFonts w:hint="eastAsia" w:ascii="宋体" w:hAnsi="宋体" w:eastAsia="宋体" w:cs="宋体"/>
                <w:sz w:val="20"/>
                <w:szCs w:val="20"/>
                <w:lang w:bidi="ar"/>
              </w:rPr>
              <w:t>缺少或未更新信息</w:t>
            </w:r>
          </w:p>
        </w:tc>
        <w:tc>
          <w:tcPr>
            <w:tcW w:w="2189" w:type="dxa"/>
            <w:tcMar>
              <w:top w:w="15" w:type="dxa"/>
              <w:left w:w="15" w:type="dxa"/>
              <w:right w:w="15" w:type="dxa"/>
            </w:tcMar>
            <w:vAlign w:val="center"/>
          </w:tcPr>
          <w:p>
            <w:pPr>
              <w:snapToGrid w:val="0"/>
              <w:jc w:val="center"/>
              <w:textAlignment w:val="center"/>
              <w:rPr>
                <w:rFonts w:ascii="宋体" w:hAnsi="宋体" w:eastAsia="宋体" w:cs="宋体"/>
                <w:sz w:val="20"/>
                <w:szCs w:val="20"/>
              </w:rPr>
            </w:pPr>
            <w:r>
              <w:rPr>
                <w:rFonts w:hint="eastAsia" w:ascii="宋体" w:hAnsi="宋体" w:eastAsia="宋体" w:cs="宋体"/>
                <w:sz w:val="20"/>
                <w:szCs w:val="20"/>
              </w:rPr>
              <w:t>影响信息报送</w:t>
            </w:r>
          </w:p>
        </w:tc>
        <w:tc>
          <w:tcPr>
            <w:tcW w:w="901" w:type="dxa"/>
            <w:tcMar>
              <w:top w:w="15" w:type="dxa"/>
              <w:left w:w="15" w:type="dxa"/>
              <w:right w:w="15" w:type="dxa"/>
            </w:tcMar>
            <w:vAlign w:val="center"/>
          </w:tcPr>
          <w:p>
            <w:pPr>
              <w:snapToGrid w:val="0"/>
              <w:jc w:val="center"/>
              <w:textAlignment w:val="center"/>
              <w:rPr>
                <w:rFonts w:ascii="宋体" w:hAnsi="宋体" w:eastAsia="宋体" w:cs="宋体"/>
                <w:sz w:val="20"/>
                <w:szCs w:val="20"/>
              </w:rPr>
            </w:pPr>
            <w:r>
              <w:rPr>
                <w:rFonts w:hint="eastAsia" w:ascii="宋体" w:hAnsi="宋体" w:eastAsia="宋体" w:cs="宋体"/>
                <w:sz w:val="20"/>
                <w:szCs w:val="20"/>
              </w:rPr>
              <w:t>LS法</w:t>
            </w:r>
          </w:p>
        </w:tc>
        <w:tc>
          <w:tcPr>
            <w:tcW w:w="901" w:type="dxa"/>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5～30</w:t>
            </w:r>
          </w:p>
        </w:tc>
        <w:tc>
          <w:tcPr>
            <w:tcW w:w="721" w:type="dxa"/>
            <w:tcMar>
              <w:top w:w="15" w:type="dxa"/>
              <w:left w:w="15" w:type="dxa"/>
              <w:right w:w="15" w:type="dxa"/>
            </w:tcMar>
            <w:vAlign w:val="center"/>
          </w:tcPr>
          <w:p>
            <w:pPr>
              <w:widowControl w:val="0"/>
              <w:snapToGrid w:val="0"/>
              <w:jc w:val="center"/>
              <w:rPr>
                <w:rFonts w:ascii="宋体" w:hAnsi="宋体" w:eastAsia="宋体" w:cs="宋体"/>
                <w:kern w:val="2"/>
                <w:sz w:val="20"/>
                <w:szCs w:val="20"/>
              </w:rPr>
            </w:pPr>
            <w:r>
              <w:rPr>
                <w:rFonts w:hint="eastAsia" w:ascii="宋体" w:hAnsi="宋体" w:eastAsia="宋体" w:cs="宋体"/>
                <w:kern w:val="2"/>
                <w:sz w:val="20"/>
                <w:szCs w:val="20"/>
              </w:rPr>
              <w:t>/</w:t>
            </w:r>
          </w:p>
        </w:tc>
        <w:tc>
          <w:tcPr>
            <w:tcW w:w="781" w:type="dxa"/>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3～10</w:t>
            </w:r>
          </w:p>
        </w:tc>
        <w:tc>
          <w:tcPr>
            <w:tcW w:w="1021" w:type="dxa"/>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15～300</w:t>
            </w:r>
          </w:p>
        </w:tc>
        <w:tc>
          <w:tcPr>
            <w:tcW w:w="901" w:type="dxa"/>
            <w:noWrap/>
            <w:tcMar>
              <w:top w:w="15" w:type="dxa"/>
              <w:left w:w="15" w:type="dxa"/>
              <w:right w:w="15" w:type="dxa"/>
            </w:tcMar>
            <w:vAlign w:val="center"/>
          </w:tcPr>
          <w:p>
            <w:pPr>
              <w:snapToGrid w:val="0"/>
              <w:jc w:val="center"/>
              <w:textAlignment w:val="center"/>
              <w:rPr>
                <w:rFonts w:ascii="宋体" w:hAnsi="宋体" w:eastAsia="宋体" w:cs="宋体"/>
                <w:sz w:val="20"/>
                <w:szCs w:val="20"/>
              </w:rPr>
            </w:pPr>
            <w:r>
              <w:rPr>
                <w:rFonts w:hint="eastAsia" w:ascii="宋体" w:hAnsi="宋体" w:eastAsia="宋体" w:cs="宋体"/>
                <w:sz w:val="20"/>
                <w:szCs w:val="20"/>
              </w:rPr>
              <w:t>低～较大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782" w:hRule="atLeast"/>
        </w:trPr>
        <w:tc>
          <w:tcPr>
            <w:tcW w:w="674" w:type="dxa"/>
            <w:noWrap/>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ascii="宋体" w:hAnsi="宋体" w:eastAsia="宋体" w:cs="宋体"/>
                <w:kern w:val="2"/>
                <w:sz w:val="20"/>
                <w:szCs w:val="20"/>
              </w:rPr>
              <w:t>17</w:t>
            </w:r>
          </w:p>
        </w:tc>
        <w:tc>
          <w:tcPr>
            <w:tcW w:w="1095" w:type="dxa"/>
            <w:vMerge w:val="restart"/>
            <w:tcBorders>
              <w:top w:val="single" w:color="auto" w:sz="4" w:space="0"/>
              <w:bottom w:val="single" w:color="auto" w:sz="4" w:space="0"/>
            </w:tcBorders>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作业活动类</w:t>
            </w:r>
          </w:p>
        </w:tc>
        <w:tc>
          <w:tcPr>
            <w:tcW w:w="1184" w:type="dxa"/>
            <w:vMerge w:val="restart"/>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作业活动</w:t>
            </w:r>
          </w:p>
        </w:tc>
        <w:tc>
          <w:tcPr>
            <w:tcW w:w="1607" w:type="dxa"/>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巡查活动</w:t>
            </w:r>
          </w:p>
        </w:tc>
        <w:tc>
          <w:tcPr>
            <w:tcW w:w="2437" w:type="dxa"/>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rPr>
              <w:t>蜇伤、咬伤、跌伤</w:t>
            </w:r>
          </w:p>
        </w:tc>
        <w:tc>
          <w:tcPr>
            <w:tcW w:w="2189" w:type="dxa"/>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人身伤害</w:t>
            </w:r>
          </w:p>
        </w:tc>
        <w:tc>
          <w:tcPr>
            <w:tcW w:w="901" w:type="dxa"/>
            <w:noWrap/>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LEC法</w:t>
            </w:r>
          </w:p>
        </w:tc>
        <w:tc>
          <w:tcPr>
            <w:tcW w:w="901" w:type="dxa"/>
            <w:noWrap/>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rPr>
              <w:t>0.5～3</w:t>
            </w:r>
          </w:p>
        </w:tc>
        <w:tc>
          <w:tcPr>
            <w:tcW w:w="721" w:type="dxa"/>
            <w:tcMar>
              <w:top w:w="15" w:type="dxa"/>
              <w:left w:w="15" w:type="dxa"/>
              <w:right w:w="15" w:type="dxa"/>
            </w:tcMar>
            <w:vAlign w:val="center"/>
          </w:tcPr>
          <w:p>
            <w:pPr>
              <w:snapToGrid w:val="0"/>
              <w:jc w:val="center"/>
              <w:textAlignment w:val="center"/>
              <w:rPr>
                <w:rFonts w:ascii="宋体" w:hAnsi="宋体" w:eastAsia="宋体" w:cs="宋体"/>
                <w:sz w:val="20"/>
                <w:szCs w:val="20"/>
                <w:lang w:bidi="ar"/>
              </w:rPr>
            </w:pPr>
            <w:r>
              <w:rPr>
                <w:rFonts w:hint="eastAsia" w:ascii="宋体" w:hAnsi="宋体" w:eastAsia="宋体" w:cs="宋体"/>
                <w:sz w:val="20"/>
                <w:szCs w:val="20"/>
              </w:rPr>
              <w:t>2～6</w:t>
            </w:r>
          </w:p>
        </w:tc>
        <w:tc>
          <w:tcPr>
            <w:tcW w:w="781" w:type="dxa"/>
            <w:noWrap/>
            <w:tcMar>
              <w:top w:w="15" w:type="dxa"/>
              <w:left w:w="15" w:type="dxa"/>
              <w:right w:w="15" w:type="dxa"/>
            </w:tcMar>
            <w:vAlign w:val="center"/>
          </w:tcPr>
          <w:p>
            <w:pPr>
              <w:snapToGrid w:val="0"/>
              <w:jc w:val="center"/>
              <w:textAlignment w:val="center"/>
              <w:rPr>
                <w:rFonts w:ascii="宋体" w:hAnsi="宋体" w:eastAsia="宋体" w:cs="宋体"/>
                <w:sz w:val="20"/>
                <w:szCs w:val="20"/>
                <w:lang w:bidi="ar"/>
              </w:rPr>
            </w:pPr>
            <w:r>
              <w:rPr>
                <w:rFonts w:hint="eastAsia" w:ascii="宋体" w:hAnsi="宋体" w:eastAsia="宋体" w:cs="宋体"/>
                <w:sz w:val="20"/>
                <w:szCs w:val="20"/>
              </w:rPr>
              <w:t>3～7</w:t>
            </w:r>
          </w:p>
        </w:tc>
        <w:tc>
          <w:tcPr>
            <w:tcW w:w="1021" w:type="dxa"/>
            <w:noWrap/>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rPr>
              <w:t>3～126</w:t>
            </w:r>
          </w:p>
        </w:tc>
        <w:tc>
          <w:tcPr>
            <w:tcW w:w="901" w:type="dxa"/>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低～一般</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875" w:hRule="atLeast"/>
        </w:trPr>
        <w:tc>
          <w:tcPr>
            <w:tcW w:w="674" w:type="dxa"/>
            <w:noWrap/>
            <w:tcMar>
              <w:top w:w="15" w:type="dxa"/>
              <w:left w:w="15" w:type="dxa"/>
              <w:right w:w="15" w:type="dxa"/>
            </w:tcMar>
            <w:vAlign w:val="center"/>
          </w:tcPr>
          <w:p>
            <w:pPr>
              <w:snapToGrid w:val="0"/>
              <w:jc w:val="center"/>
              <w:textAlignment w:val="center"/>
              <w:rPr>
                <w:rFonts w:ascii="宋体" w:hAnsi="宋体" w:eastAsia="宋体" w:cs="宋体"/>
                <w:sz w:val="20"/>
                <w:szCs w:val="20"/>
                <w:lang w:bidi="ar"/>
              </w:rPr>
            </w:pPr>
            <w:r>
              <w:rPr>
                <w:rFonts w:ascii="宋体" w:hAnsi="宋体" w:eastAsia="宋体" w:cs="宋体"/>
                <w:kern w:val="2"/>
                <w:sz w:val="20"/>
                <w:szCs w:val="20"/>
              </w:rPr>
              <w:t>18</w:t>
            </w:r>
          </w:p>
        </w:tc>
        <w:tc>
          <w:tcPr>
            <w:tcW w:w="1095" w:type="dxa"/>
            <w:vMerge w:val="continue"/>
            <w:tcBorders>
              <w:top w:val="single" w:color="auto" w:sz="4" w:space="0"/>
              <w:bottom w:val="single" w:color="auto" w:sz="4" w:space="0"/>
            </w:tcBorders>
            <w:tcMar>
              <w:top w:w="15" w:type="dxa"/>
              <w:left w:w="15" w:type="dxa"/>
              <w:right w:w="15" w:type="dxa"/>
            </w:tcMar>
            <w:vAlign w:val="center"/>
          </w:tcPr>
          <w:p>
            <w:pPr>
              <w:snapToGrid w:val="0"/>
              <w:jc w:val="center"/>
              <w:textAlignment w:val="center"/>
              <w:rPr>
                <w:rFonts w:ascii="宋体" w:hAnsi="宋体" w:eastAsia="宋体" w:cs="宋体"/>
                <w:sz w:val="20"/>
                <w:szCs w:val="20"/>
                <w:lang w:bidi="ar"/>
              </w:rPr>
            </w:pPr>
          </w:p>
        </w:tc>
        <w:tc>
          <w:tcPr>
            <w:tcW w:w="1184" w:type="dxa"/>
            <w:vMerge w:val="continue"/>
            <w:tcMar>
              <w:top w:w="15" w:type="dxa"/>
              <w:left w:w="15" w:type="dxa"/>
              <w:right w:w="15" w:type="dxa"/>
            </w:tcMar>
            <w:vAlign w:val="center"/>
          </w:tcPr>
          <w:p>
            <w:pPr>
              <w:snapToGrid w:val="0"/>
              <w:jc w:val="center"/>
              <w:textAlignment w:val="center"/>
              <w:rPr>
                <w:rFonts w:ascii="宋体" w:hAnsi="宋体" w:eastAsia="宋体" w:cs="宋体"/>
                <w:sz w:val="20"/>
                <w:szCs w:val="20"/>
                <w:lang w:bidi="ar"/>
              </w:rPr>
            </w:pPr>
          </w:p>
        </w:tc>
        <w:tc>
          <w:tcPr>
            <w:tcW w:w="1607" w:type="dxa"/>
            <w:tcMar>
              <w:top w:w="15" w:type="dxa"/>
              <w:left w:w="15" w:type="dxa"/>
              <w:right w:w="15" w:type="dxa"/>
            </w:tcMar>
            <w:vAlign w:val="center"/>
          </w:tcPr>
          <w:p>
            <w:pPr>
              <w:snapToGrid w:val="0"/>
              <w:jc w:val="center"/>
              <w:textAlignment w:val="center"/>
              <w:rPr>
                <w:rFonts w:ascii="宋体" w:hAnsi="宋体" w:eastAsia="宋体" w:cs="宋体"/>
                <w:sz w:val="20"/>
                <w:szCs w:val="20"/>
                <w:lang w:bidi="ar"/>
              </w:rPr>
            </w:pPr>
            <w:r>
              <w:rPr>
                <w:rFonts w:hint="eastAsia" w:ascii="宋体" w:hAnsi="宋体" w:eastAsia="宋体" w:cs="宋体"/>
                <w:sz w:val="20"/>
                <w:szCs w:val="20"/>
                <w:lang w:bidi="ar"/>
              </w:rPr>
              <w:t>机械作业</w:t>
            </w:r>
          </w:p>
        </w:tc>
        <w:tc>
          <w:tcPr>
            <w:tcW w:w="2437" w:type="dxa"/>
            <w:vMerge w:val="restart"/>
            <w:tcMar>
              <w:top w:w="15" w:type="dxa"/>
              <w:left w:w="15" w:type="dxa"/>
              <w:right w:w="15" w:type="dxa"/>
            </w:tcMar>
            <w:vAlign w:val="center"/>
          </w:tcPr>
          <w:p>
            <w:pPr>
              <w:snapToGrid w:val="0"/>
              <w:jc w:val="center"/>
              <w:textAlignment w:val="center"/>
              <w:rPr>
                <w:rFonts w:ascii="宋体" w:hAnsi="宋体" w:eastAsia="宋体" w:cs="宋体"/>
                <w:sz w:val="20"/>
                <w:szCs w:val="20"/>
                <w:lang w:bidi="ar"/>
              </w:rPr>
            </w:pPr>
            <w:r>
              <w:rPr>
                <w:rFonts w:hint="eastAsia" w:ascii="宋体" w:hAnsi="宋体" w:eastAsia="宋体" w:cs="宋体"/>
                <w:sz w:val="20"/>
                <w:szCs w:val="20"/>
                <w:lang w:bidi="ar"/>
              </w:rPr>
              <w:t>违章指挥、违章操作、     违反劳动纪律、未正确    使用防护用品</w:t>
            </w:r>
          </w:p>
        </w:tc>
        <w:tc>
          <w:tcPr>
            <w:tcW w:w="2189" w:type="dxa"/>
            <w:tcMar>
              <w:top w:w="15" w:type="dxa"/>
              <w:left w:w="15" w:type="dxa"/>
              <w:right w:w="15" w:type="dxa"/>
            </w:tcMar>
            <w:vAlign w:val="center"/>
          </w:tcPr>
          <w:p>
            <w:pPr>
              <w:snapToGrid w:val="0"/>
              <w:jc w:val="center"/>
              <w:textAlignment w:val="center"/>
              <w:rPr>
                <w:rFonts w:ascii="宋体" w:hAnsi="宋体" w:eastAsia="宋体" w:cs="宋体"/>
                <w:sz w:val="20"/>
                <w:szCs w:val="20"/>
                <w:lang w:bidi="ar"/>
              </w:rPr>
            </w:pPr>
            <w:r>
              <w:rPr>
                <w:rFonts w:hint="eastAsia" w:ascii="宋体" w:hAnsi="宋体" w:eastAsia="宋体" w:cs="宋体"/>
                <w:sz w:val="20"/>
                <w:szCs w:val="20"/>
                <w:lang w:bidi="ar"/>
              </w:rPr>
              <w:t>机械伤害</w:t>
            </w:r>
          </w:p>
        </w:tc>
        <w:tc>
          <w:tcPr>
            <w:tcW w:w="901" w:type="dxa"/>
            <w:noWrap/>
            <w:tcMar>
              <w:top w:w="15" w:type="dxa"/>
              <w:left w:w="15" w:type="dxa"/>
              <w:right w:w="15" w:type="dxa"/>
            </w:tcMar>
            <w:vAlign w:val="center"/>
          </w:tcPr>
          <w:p>
            <w:pPr>
              <w:snapToGrid w:val="0"/>
              <w:jc w:val="center"/>
              <w:textAlignment w:val="center"/>
              <w:rPr>
                <w:rFonts w:ascii="宋体" w:hAnsi="宋体" w:eastAsia="宋体" w:cs="宋体"/>
                <w:sz w:val="20"/>
                <w:szCs w:val="20"/>
                <w:lang w:bidi="ar"/>
              </w:rPr>
            </w:pPr>
            <w:r>
              <w:rPr>
                <w:rFonts w:hint="eastAsia" w:ascii="宋体" w:hAnsi="宋体" w:eastAsia="宋体" w:cs="宋体"/>
                <w:sz w:val="20"/>
                <w:szCs w:val="20"/>
                <w:lang w:bidi="ar"/>
              </w:rPr>
              <w:t>LEC法</w:t>
            </w:r>
          </w:p>
        </w:tc>
        <w:tc>
          <w:tcPr>
            <w:tcW w:w="901" w:type="dxa"/>
            <w:noWrap/>
            <w:tcMar>
              <w:top w:w="15" w:type="dxa"/>
              <w:left w:w="15" w:type="dxa"/>
              <w:right w:w="15" w:type="dxa"/>
            </w:tcMar>
            <w:vAlign w:val="center"/>
          </w:tcPr>
          <w:p>
            <w:pPr>
              <w:snapToGrid w:val="0"/>
              <w:jc w:val="center"/>
              <w:textAlignment w:val="center"/>
              <w:rPr>
                <w:rFonts w:ascii="宋体" w:hAnsi="宋体" w:eastAsia="宋体" w:cs="宋体"/>
                <w:sz w:val="20"/>
                <w:szCs w:val="20"/>
                <w:lang w:bidi="ar"/>
              </w:rPr>
            </w:pPr>
            <w:r>
              <w:rPr>
                <w:rFonts w:hint="eastAsia" w:ascii="宋体" w:hAnsi="宋体" w:eastAsia="宋体" w:cs="宋体"/>
                <w:sz w:val="20"/>
                <w:szCs w:val="20"/>
                <w:lang w:bidi="ar"/>
              </w:rPr>
              <w:t>0.5～3</w:t>
            </w:r>
          </w:p>
        </w:tc>
        <w:tc>
          <w:tcPr>
            <w:tcW w:w="721" w:type="dxa"/>
            <w:tcMar>
              <w:top w:w="15" w:type="dxa"/>
              <w:left w:w="15" w:type="dxa"/>
              <w:right w:w="15" w:type="dxa"/>
            </w:tcMar>
            <w:vAlign w:val="center"/>
          </w:tcPr>
          <w:p>
            <w:pPr>
              <w:snapToGrid w:val="0"/>
              <w:jc w:val="center"/>
              <w:textAlignment w:val="center"/>
              <w:rPr>
                <w:rFonts w:ascii="宋体" w:hAnsi="宋体" w:eastAsia="宋体" w:cs="宋体"/>
                <w:sz w:val="20"/>
                <w:szCs w:val="20"/>
                <w:lang w:bidi="ar"/>
              </w:rPr>
            </w:pPr>
            <w:r>
              <w:rPr>
                <w:rFonts w:ascii="宋体" w:hAnsi="宋体" w:eastAsia="宋体" w:cs="宋体"/>
                <w:sz w:val="20"/>
                <w:szCs w:val="20"/>
                <w:lang w:bidi="ar"/>
              </w:rPr>
              <w:t>2～6</w:t>
            </w:r>
          </w:p>
        </w:tc>
        <w:tc>
          <w:tcPr>
            <w:tcW w:w="781" w:type="dxa"/>
            <w:noWrap/>
            <w:tcMar>
              <w:top w:w="15" w:type="dxa"/>
              <w:left w:w="15" w:type="dxa"/>
              <w:right w:w="15" w:type="dxa"/>
            </w:tcMar>
            <w:vAlign w:val="center"/>
          </w:tcPr>
          <w:p>
            <w:pPr>
              <w:snapToGrid w:val="0"/>
              <w:jc w:val="center"/>
              <w:textAlignment w:val="center"/>
              <w:rPr>
                <w:rFonts w:ascii="宋体" w:hAnsi="宋体" w:eastAsia="宋体" w:cs="宋体"/>
                <w:sz w:val="20"/>
                <w:szCs w:val="20"/>
                <w:lang w:bidi="ar"/>
              </w:rPr>
            </w:pPr>
            <w:r>
              <w:rPr>
                <w:rFonts w:ascii="宋体" w:hAnsi="宋体" w:eastAsia="宋体" w:cs="宋体"/>
                <w:sz w:val="20"/>
                <w:szCs w:val="20"/>
                <w:lang w:bidi="ar"/>
              </w:rPr>
              <w:t>3～7</w:t>
            </w:r>
          </w:p>
        </w:tc>
        <w:tc>
          <w:tcPr>
            <w:tcW w:w="1021" w:type="dxa"/>
            <w:noWrap/>
            <w:tcMar>
              <w:top w:w="15" w:type="dxa"/>
              <w:left w:w="15" w:type="dxa"/>
              <w:right w:w="15" w:type="dxa"/>
            </w:tcMar>
            <w:vAlign w:val="center"/>
          </w:tcPr>
          <w:p>
            <w:pPr>
              <w:snapToGrid w:val="0"/>
              <w:jc w:val="center"/>
              <w:textAlignment w:val="center"/>
              <w:rPr>
                <w:rFonts w:ascii="宋体" w:hAnsi="宋体" w:eastAsia="宋体" w:cs="宋体"/>
                <w:sz w:val="20"/>
                <w:szCs w:val="20"/>
                <w:lang w:bidi="ar"/>
              </w:rPr>
            </w:pPr>
            <w:r>
              <w:rPr>
                <w:rFonts w:hint="eastAsia" w:ascii="宋体" w:hAnsi="宋体" w:eastAsia="宋体" w:cs="宋体"/>
                <w:sz w:val="20"/>
                <w:szCs w:val="20"/>
                <w:lang w:bidi="ar"/>
              </w:rPr>
              <w:t>3～126</w:t>
            </w:r>
          </w:p>
        </w:tc>
        <w:tc>
          <w:tcPr>
            <w:tcW w:w="901" w:type="dxa"/>
            <w:tcMar>
              <w:top w:w="15" w:type="dxa"/>
              <w:left w:w="15" w:type="dxa"/>
              <w:right w:w="15" w:type="dxa"/>
            </w:tcMar>
            <w:vAlign w:val="center"/>
          </w:tcPr>
          <w:p>
            <w:pPr>
              <w:snapToGrid w:val="0"/>
              <w:jc w:val="center"/>
              <w:textAlignment w:val="center"/>
              <w:rPr>
                <w:rFonts w:ascii="宋体" w:hAnsi="宋体" w:eastAsia="宋体" w:cs="宋体"/>
                <w:sz w:val="20"/>
                <w:szCs w:val="20"/>
                <w:lang w:bidi="ar"/>
              </w:rPr>
            </w:pPr>
            <w:r>
              <w:rPr>
                <w:rFonts w:hint="eastAsia" w:ascii="宋体" w:hAnsi="宋体" w:eastAsia="宋体" w:cs="宋体"/>
                <w:sz w:val="20"/>
                <w:szCs w:val="20"/>
                <w:lang w:bidi="ar"/>
              </w:rPr>
              <w:t>低～一般</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731" w:hRule="atLeast"/>
        </w:trPr>
        <w:tc>
          <w:tcPr>
            <w:tcW w:w="674" w:type="dxa"/>
            <w:noWrap/>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ascii="宋体" w:hAnsi="宋体" w:eastAsia="宋体" w:cs="宋体"/>
                <w:kern w:val="2"/>
                <w:sz w:val="20"/>
                <w:szCs w:val="20"/>
              </w:rPr>
              <w:t>19</w:t>
            </w:r>
          </w:p>
        </w:tc>
        <w:tc>
          <w:tcPr>
            <w:tcW w:w="1095" w:type="dxa"/>
            <w:vMerge w:val="continue"/>
            <w:tcBorders>
              <w:top w:val="single" w:color="auto" w:sz="4" w:space="0"/>
              <w:bottom w:val="single" w:color="auto" w:sz="4" w:space="0"/>
            </w:tcBorders>
            <w:tcMar>
              <w:top w:w="15" w:type="dxa"/>
              <w:left w:w="15" w:type="dxa"/>
              <w:right w:w="15" w:type="dxa"/>
            </w:tcMar>
            <w:vAlign w:val="center"/>
          </w:tcPr>
          <w:p>
            <w:pPr>
              <w:widowControl w:val="0"/>
              <w:snapToGrid w:val="0"/>
              <w:jc w:val="center"/>
              <w:rPr>
                <w:rFonts w:ascii="宋体" w:hAnsi="宋体" w:eastAsia="宋体" w:cs="宋体"/>
                <w:kern w:val="2"/>
                <w:sz w:val="20"/>
                <w:szCs w:val="20"/>
              </w:rPr>
            </w:pPr>
          </w:p>
        </w:tc>
        <w:tc>
          <w:tcPr>
            <w:tcW w:w="1184" w:type="dxa"/>
            <w:vMerge w:val="continue"/>
            <w:tcMar>
              <w:top w:w="15" w:type="dxa"/>
              <w:left w:w="15" w:type="dxa"/>
              <w:right w:w="15" w:type="dxa"/>
            </w:tcMar>
            <w:vAlign w:val="center"/>
          </w:tcPr>
          <w:p>
            <w:pPr>
              <w:widowControl w:val="0"/>
              <w:snapToGrid w:val="0"/>
              <w:jc w:val="center"/>
              <w:rPr>
                <w:rFonts w:ascii="宋体" w:hAnsi="宋体" w:eastAsia="宋体" w:cs="宋体"/>
                <w:kern w:val="2"/>
                <w:sz w:val="20"/>
                <w:szCs w:val="20"/>
              </w:rPr>
            </w:pPr>
          </w:p>
        </w:tc>
        <w:tc>
          <w:tcPr>
            <w:tcW w:w="1607" w:type="dxa"/>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破土作业</w:t>
            </w:r>
          </w:p>
        </w:tc>
        <w:tc>
          <w:tcPr>
            <w:tcW w:w="2437" w:type="dxa"/>
            <w:vMerge w:val="continue"/>
            <w:tcMar>
              <w:top w:w="15" w:type="dxa"/>
              <w:left w:w="15" w:type="dxa"/>
              <w:right w:w="15" w:type="dxa"/>
            </w:tcMar>
            <w:vAlign w:val="center"/>
          </w:tcPr>
          <w:p>
            <w:pPr>
              <w:widowControl w:val="0"/>
              <w:snapToGrid w:val="0"/>
              <w:jc w:val="center"/>
              <w:rPr>
                <w:rFonts w:ascii="宋体" w:hAnsi="宋体" w:eastAsia="宋体" w:cs="宋体"/>
                <w:kern w:val="2"/>
                <w:sz w:val="20"/>
                <w:szCs w:val="20"/>
              </w:rPr>
            </w:pPr>
          </w:p>
        </w:tc>
        <w:tc>
          <w:tcPr>
            <w:tcW w:w="2189" w:type="dxa"/>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坍塌</w:t>
            </w:r>
          </w:p>
        </w:tc>
        <w:tc>
          <w:tcPr>
            <w:tcW w:w="901" w:type="dxa"/>
            <w:noWrap/>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LEC法</w:t>
            </w:r>
          </w:p>
        </w:tc>
        <w:tc>
          <w:tcPr>
            <w:tcW w:w="901" w:type="dxa"/>
            <w:noWrap/>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0.5～3</w:t>
            </w:r>
          </w:p>
        </w:tc>
        <w:tc>
          <w:tcPr>
            <w:tcW w:w="721" w:type="dxa"/>
            <w:tcMar>
              <w:top w:w="15" w:type="dxa"/>
              <w:left w:w="15" w:type="dxa"/>
              <w:right w:w="15" w:type="dxa"/>
            </w:tcMar>
            <w:vAlign w:val="center"/>
          </w:tcPr>
          <w:p>
            <w:pPr>
              <w:snapToGrid w:val="0"/>
              <w:jc w:val="center"/>
              <w:textAlignment w:val="center"/>
              <w:rPr>
                <w:rFonts w:ascii="宋体" w:hAnsi="宋体" w:eastAsia="宋体" w:cs="宋体"/>
                <w:sz w:val="20"/>
                <w:szCs w:val="20"/>
                <w:lang w:bidi="ar"/>
              </w:rPr>
            </w:pPr>
            <w:r>
              <w:rPr>
                <w:rFonts w:ascii="宋体" w:hAnsi="宋体" w:eastAsia="宋体" w:cs="宋体"/>
                <w:sz w:val="20"/>
                <w:szCs w:val="20"/>
                <w:lang w:bidi="ar"/>
              </w:rPr>
              <w:t>2～6</w:t>
            </w:r>
          </w:p>
        </w:tc>
        <w:tc>
          <w:tcPr>
            <w:tcW w:w="781" w:type="dxa"/>
            <w:noWrap/>
            <w:tcMar>
              <w:top w:w="15" w:type="dxa"/>
              <w:left w:w="15" w:type="dxa"/>
              <w:right w:w="15" w:type="dxa"/>
            </w:tcMar>
            <w:vAlign w:val="center"/>
          </w:tcPr>
          <w:p>
            <w:pPr>
              <w:snapToGrid w:val="0"/>
              <w:jc w:val="center"/>
              <w:textAlignment w:val="center"/>
              <w:rPr>
                <w:rFonts w:ascii="宋体" w:hAnsi="宋体" w:eastAsia="宋体" w:cs="宋体"/>
                <w:sz w:val="20"/>
                <w:szCs w:val="20"/>
                <w:lang w:bidi="ar"/>
              </w:rPr>
            </w:pPr>
            <w:r>
              <w:rPr>
                <w:rFonts w:ascii="宋体" w:hAnsi="宋体" w:eastAsia="宋体" w:cs="宋体"/>
                <w:sz w:val="20"/>
                <w:szCs w:val="20"/>
                <w:lang w:bidi="ar"/>
              </w:rPr>
              <w:t>3～7</w:t>
            </w:r>
          </w:p>
        </w:tc>
        <w:tc>
          <w:tcPr>
            <w:tcW w:w="1021" w:type="dxa"/>
            <w:noWrap/>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3～126</w:t>
            </w:r>
          </w:p>
        </w:tc>
        <w:tc>
          <w:tcPr>
            <w:tcW w:w="901" w:type="dxa"/>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低～一般</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794" w:hRule="atLeast"/>
        </w:trPr>
        <w:tc>
          <w:tcPr>
            <w:tcW w:w="674" w:type="dxa"/>
            <w:noWrap/>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ascii="宋体" w:hAnsi="宋体" w:eastAsia="宋体" w:cs="宋体"/>
                <w:kern w:val="2"/>
                <w:sz w:val="20"/>
                <w:szCs w:val="20"/>
              </w:rPr>
              <w:t>20</w:t>
            </w:r>
          </w:p>
        </w:tc>
        <w:tc>
          <w:tcPr>
            <w:tcW w:w="1095" w:type="dxa"/>
            <w:vMerge w:val="restart"/>
            <w:tcBorders>
              <w:top w:val="single" w:color="auto" w:sz="4" w:space="0"/>
            </w:tcBorders>
            <w:noWrap/>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管理类</w:t>
            </w:r>
          </w:p>
        </w:tc>
        <w:tc>
          <w:tcPr>
            <w:tcW w:w="1184" w:type="dxa"/>
            <w:vMerge w:val="restart"/>
            <w:tcBorders>
              <w:top w:val="single" w:color="auto" w:sz="4" w:space="0"/>
            </w:tcBorders>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管理体系</w:t>
            </w:r>
          </w:p>
        </w:tc>
        <w:tc>
          <w:tcPr>
            <w:tcW w:w="1607" w:type="dxa"/>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机构组成与    人员配备</w:t>
            </w:r>
          </w:p>
        </w:tc>
        <w:tc>
          <w:tcPr>
            <w:tcW w:w="2437" w:type="dxa"/>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责任主体不明确，        未落实“三个责任人”</w:t>
            </w:r>
          </w:p>
        </w:tc>
        <w:tc>
          <w:tcPr>
            <w:tcW w:w="2189" w:type="dxa"/>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影响工程运行管理</w:t>
            </w:r>
          </w:p>
        </w:tc>
        <w:tc>
          <w:tcPr>
            <w:tcW w:w="901" w:type="dxa"/>
            <w:noWrap/>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LS法</w:t>
            </w:r>
          </w:p>
        </w:tc>
        <w:tc>
          <w:tcPr>
            <w:tcW w:w="901" w:type="dxa"/>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5～30</w:t>
            </w:r>
          </w:p>
        </w:tc>
        <w:tc>
          <w:tcPr>
            <w:tcW w:w="721" w:type="dxa"/>
            <w:tcMar>
              <w:top w:w="15" w:type="dxa"/>
              <w:left w:w="15" w:type="dxa"/>
              <w:right w:w="15" w:type="dxa"/>
            </w:tcMar>
            <w:vAlign w:val="center"/>
          </w:tcPr>
          <w:p>
            <w:pPr>
              <w:widowControl w:val="0"/>
              <w:snapToGrid w:val="0"/>
              <w:jc w:val="center"/>
              <w:rPr>
                <w:rFonts w:ascii="宋体" w:hAnsi="宋体" w:eastAsia="宋体" w:cs="宋体"/>
                <w:kern w:val="2"/>
                <w:sz w:val="20"/>
                <w:szCs w:val="20"/>
              </w:rPr>
            </w:pPr>
            <w:r>
              <w:rPr>
                <w:rFonts w:hint="eastAsia" w:ascii="宋体" w:hAnsi="宋体" w:eastAsia="宋体" w:cs="宋体"/>
                <w:kern w:val="2"/>
                <w:sz w:val="20"/>
                <w:szCs w:val="20"/>
              </w:rPr>
              <w:t>/</w:t>
            </w:r>
          </w:p>
        </w:tc>
        <w:tc>
          <w:tcPr>
            <w:tcW w:w="781" w:type="dxa"/>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3～10</w:t>
            </w:r>
          </w:p>
        </w:tc>
        <w:tc>
          <w:tcPr>
            <w:tcW w:w="1021" w:type="dxa"/>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15～300</w:t>
            </w:r>
          </w:p>
        </w:tc>
        <w:tc>
          <w:tcPr>
            <w:tcW w:w="901" w:type="dxa"/>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低～较大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874" w:hRule="atLeast"/>
        </w:trPr>
        <w:tc>
          <w:tcPr>
            <w:tcW w:w="674" w:type="dxa"/>
            <w:noWrap/>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ascii="宋体" w:hAnsi="宋体" w:eastAsia="宋体" w:cs="宋体"/>
                <w:kern w:val="2"/>
                <w:sz w:val="20"/>
                <w:szCs w:val="20"/>
              </w:rPr>
              <w:t>21</w:t>
            </w:r>
          </w:p>
        </w:tc>
        <w:tc>
          <w:tcPr>
            <w:tcW w:w="1095" w:type="dxa"/>
            <w:vMerge w:val="continue"/>
            <w:noWrap/>
            <w:tcMar>
              <w:top w:w="15" w:type="dxa"/>
              <w:left w:w="15" w:type="dxa"/>
              <w:right w:w="15" w:type="dxa"/>
            </w:tcMar>
            <w:vAlign w:val="center"/>
          </w:tcPr>
          <w:p>
            <w:pPr>
              <w:widowControl w:val="0"/>
              <w:snapToGrid w:val="0"/>
              <w:jc w:val="center"/>
              <w:rPr>
                <w:rFonts w:ascii="宋体" w:hAnsi="宋体" w:eastAsia="宋体" w:cs="宋体"/>
                <w:kern w:val="2"/>
                <w:sz w:val="20"/>
                <w:szCs w:val="20"/>
              </w:rPr>
            </w:pPr>
          </w:p>
        </w:tc>
        <w:tc>
          <w:tcPr>
            <w:tcW w:w="1184" w:type="dxa"/>
            <w:vMerge w:val="continue"/>
            <w:tcMar>
              <w:top w:w="15" w:type="dxa"/>
              <w:left w:w="15" w:type="dxa"/>
              <w:right w:w="15" w:type="dxa"/>
            </w:tcMar>
            <w:vAlign w:val="center"/>
          </w:tcPr>
          <w:p>
            <w:pPr>
              <w:widowControl w:val="0"/>
              <w:snapToGrid w:val="0"/>
              <w:jc w:val="center"/>
              <w:rPr>
                <w:rFonts w:ascii="宋体" w:hAnsi="宋体" w:eastAsia="宋体" w:cs="宋体"/>
                <w:kern w:val="2"/>
                <w:sz w:val="20"/>
                <w:szCs w:val="20"/>
              </w:rPr>
            </w:pPr>
          </w:p>
        </w:tc>
        <w:tc>
          <w:tcPr>
            <w:tcW w:w="1607" w:type="dxa"/>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运行管理      规章制度</w:t>
            </w:r>
          </w:p>
        </w:tc>
        <w:tc>
          <w:tcPr>
            <w:tcW w:w="2437" w:type="dxa"/>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制度不健全</w:t>
            </w:r>
          </w:p>
        </w:tc>
        <w:tc>
          <w:tcPr>
            <w:tcW w:w="2189" w:type="dxa"/>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影响工程运行管理</w:t>
            </w:r>
          </w:p>
        </w:tc>
        <w:tc>
          <w:tcPr>
            <w:tcW w:w="901" w:type="dxa"/>
            <w:noWrap/>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LS法</w:t>
            </w:r>
          </w:p>
        </w:tc>
        <w:tc>
          <w:tcPr>
            <w:tcW w:w="901" w:type="dxa"/>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5～30</w:t>
            </w:r>
          </w:p>
        </w:tc>
        <w:tc>
          <w:tcPr>
            <w:tcW w:w="721" w:type="dxa"/>
            <w:tcMar>
              <w:top w:w="15" w:type="dxa"/>
              <w:left w:w="15" w:type="dxa"/>
              <w:right w:w="15" w:type="dxa"/>
            </w:tcMar>
            <w:vAlign w:val="center"/>
          </w:tcPr>
          <w:p>
            <w:pPr>
              <w:widowControl w:val="0"/>
              <w:snapToGrid w:val="0"/>
              <w:jc w:val="center"/>
              <w:rPr>
                <w:rFonts w:ascii="宋体" w:hAnsi="宋体" w:eastAsia="宋体" w:cs="宋体"/>
                <w:kern w:val="2"/>
                <w:sz w:val="20"/>
                <w:szCs w:val="20"/>
              </w:rPr>
            </w:pPr>
            <w:r>
              <w:rPr>
                <w:rFonts w:hint="eastAsia" w:ascii="宋体" w:hAnsi="宋体" w:eastAsia="宋体" w:cs="宋体"/>
                <w:kern w:val="2"/>
                <w:sz w:val="20"/>
                <w:szCs w:val="20"/>
              </w:rPr>
              <w:t>/</w:t>
            </w:r>
          </w:p>
        </w:tc>
        <w:tc>
          <w:tcPr>
            <w:tcW w:w="781" w:type="dxa"/>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3～10</w:t>
            </w:r>
          </w:p>
        </w:tc>
        <w:tc>
          <w:tcPr>
            <w:tcW w:w="1021" w:type="dxa"/>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15～300</w:t>
            </w:r>
          </w:p>
        </w:tc>
        <w:tc>
          <w:tcPr>
            <w:tcW w:w="901" w:type="dxa"/>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低～较大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1478" w:hRule="atLeast"/>
        </w:trPr>
        <w:tc>
          <w:tcPr>
            <w:tcW w:w="674" w:type="dxa"/>
            <w:noWrap/>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ascii="宋体" w:hAnsi="宋体" w:eastAsia="宋体" w:cs="宋体"/>
                <w:kern w:val="2"/>
                <w:sz w:val="20"/>
                <w:szCs w:val="20"/>
              </w:rPr>
              <w:t>22</w:t>
            </w:r>
          </w:p>
        </w:tc>
        <w:tc>
          <w:tcPr>
            <w:tcW w:w="1095" w:type="dxa"/>
            <w:vMerge w:val="continue"/>
            <w:noWrap/>
            <w:tcMar>
              <w:top w:w="15" w:type="dxa"/>
              <w:left w:w="15" w:type="dxa"/>
              <w:right w:w="15" w:type="dxa"/>
            </w:tcMar>
            <w:vAlign w:val="center"/>
          </w:tcPr>
          <w:p>
            <w:pPr>
              <w:widowControl w:val="0"/>
              <w:snapToGrid w:val="0"/>
              <w:jc w:val="center"/>
              <w:rPr>
                <w:rFonts w:ascii="宋体" w:hAnsi="宋体" w:eastAsia="宋体" w:cs="宋体"/>
                <w:kern w:val="2"/>
                <w:sz w:val="20"/>
                <w:szCs w:val="20"/>
              </w:rPr>
            </w:pPr>
          </w:p>
        </w:tc>
        <w:tc>
          <w:tcPr>
            <w:tcW w:w="1184" w:type="dxa"/>
            <w:vMerge w:val="continue"/>
            <w:tcMar>
              <w:top w:w="15" w:type="dxa"/>
              <w:left w:w="15" w:type="dxa"/>
              <w:right w:w="15" w:type="dxa"/>
            </w:tcMar>
            <w:vAlign w:val="center"/>
          </w:tcPr>
          <w:p>
            <w:pPr>
              <w:widowControl w:val="0"/>
              <w:snapToGrid w:val="0"/>
              <w:jc w:val="center"/>
              <w:rPr>
                <w:rFonts w:ascii="宋体" w:hAnsi="宋体" w:eastAsia="宋体" w:cs="宋体"/>
                <w:kern w:val="2"/>
                <w:sz w:val="20"/>
                <w:szCs w:val="20"/>
              </w:rPr>
            </w:pPr>
          </w:p>
        </w:tc>
        <w:tc>
          <w:tcPr>
            <w:tcW w:w="1607" w:type="dxa"/>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巡查管护人员  基本支出和    工程维修养护  经费落实</w:t>
            </w:r>
          </w:p>
        </w:tc>
        <w:tc>
          <w:tcPr>
            <w:tcW w:w="2437" w:type="dxa"/>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经费未落实</w:t>
            </w:r>
          </w:p>
        </w:tc>
        <w:tc>
          <w:tcPr>
            <w:tcW w:w="2189" w:type="dxa"/>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影响工程运行管理</w:t>
            </w:r>
          </w:p>
        </w:tc>
        <w:tc>
          <w:tcPr>
            <w:tcW w:w="901" w:type="dxa"/>
            <w:noWrap/>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LS法</w:t>
            </w:r>
          </w:p>
        </w:tc>
        <w:tc>
          <w:tcPr>
            <w:tcW w:w="901" w:type="dxa"/>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5～30</w:t>
            </w:r>
          </w:p>
        </w:tc>
        <w:tc>
          <w:tcPr>
            <w:tcW w:w="721" w:type="dxa"/>
            <w:tcMar>
              <w:top w:w="15" w:type="dxa"/>
              <w:left w:w="15" w:type="dxa"/>
              <w:right w:w="15" w:type="dxa"/>
            </w:tcMar>
            <w:vAlign w:val="center"/>
          </w:tcPr>
          <w:p>
            <w:pPr>
              <w:widowControl w:val="0"/>
              <w:snapToGrid w:val="0"/>
              <w:jc w:val="center"/>
              <w:rPr>
                <w:rFonts w:ascii="宋体" w:hAnsi="宋体" w:eastAsia="宋体" w:cs="宋体"/>
                <w:kern w:val="2"/>
                <w:sz w:val="20"/>
                <w:szCs w:val="20"/>
              </w:rPr>
            </w:pPr>
            <w:r>
              <w:rPr>
                <w:rFonts w:hint="eastAsia" w:ascii="宋体" w:hAnsi="宋体" w:eastAsia="宋体" w:cs="宋体"/>
                <w:kern w:val="2"/>
                <w:sz w:val="20"/>
                <w:szCs w:val="20"/>
              </w:rPr>
              <w:t>/</w:t>
            </w:r>
          </w:p>
        </w:tc>
        <w:tc>
          <w:tcPr>
            <w:tcW w:w="781" w:type="dxa"/>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3～10</w:t>
            </w:r>
          </w:p>
        </w:tc>
        <w:tc>
          <w:tcPr>
            <w:tcW w:w="1021" w:type="dxa"/>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15～300</w:t>
            </w:r>
          </w:p>
        </w:tc>
        <w:tc>
          <w:tcPr>
            <w:tcW w:w="901" w:type="dxa"/>
            <w:noWrap/>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低～较大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1151" w:hRule="atLeast"/>
        </w:trPr>
        <w:tc>
          <w:tcPr>
            <w:tcW w:w="674" w:type="dxa"/>
            <w:noWrap/>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ascii="宋体" w:hAnsi="宋体" w:eastAsia="宋体" w:cs="宋体"/>
                <w:kern w:val="2"/>
                <w:sz w:val="20"/>
                <w:szCs w:val="20"/>
              </w:rPr>
              <w:t>23</w:t>
            </w:r>
          </w:p>
        </w:tc>
        <w:tc>
          <w:tcPr>
            <w:tcW w:w="1095" w:type="dxa"/>
            <w:vMerge w:val="continue"/>
            <w:noWrap/>
            <w:tcMar>
              <w:top w:w="15" w:type="dxa"/>
              <w:left w:w="15" w:type="dxa"/>
              <w:right w:w="15" w:type="dxa"/>
            </w:tcMar>
            <w:vAlign w:val="center"/>
          </w:tcPr>
          <w:p>
            <w:pPr>
              <w:widowControl w:val="0"/>
              <w:snapToGrid w:val="0"/>
              <w:jc w:val="center"/>
              <w:rPr>
                <w:rFonts w:ascii="宋体" w:hAnsi="宋体" w:eastAsia="宋体" w:cs="宋体"/>
                <w:kern w:val="2"/>
                <w:sz w:val="20"/>
                <w:szCs w:val="20"/>
              </w:rPr>
            </w:pPr>
          </w:p>
        </w:tc>
        <w:tc>
          <w:tcPr>
            <w:tcW w:w="1184" w:type="dxa"/>
            <w:vMerge w:val="continue"/>
            <w:tcMar>
              <w:top w:w="15" w:type="dxa"/>
              <w:left w:w="15" w:type="dxa"/>
              <w:right w:w="15" w:type="dxa"/>
            </w:tcMar>
            <w:vAlign w:val="center"/>
          </w:tcPr>
          <w:p>
            <w:pPr>
              <w:widowControl w:val="0"/>
              <w:snapToGrid w:val="0"/>
              <w:jc w:val="center"/>
              <w:rPr>
                <w:rFonts w:ascii="宋体" w:hAnsi="宋体" w:eastAsia="宋体" w:cs="宋体"/>
                <w:kern w:val="2"/>
                <w:sz w:val="20"/>
                <w:szCs w:val="20"/>
              </w:rPr>
            </w:pPr>
          </w:p>
        </w:tc>
        <w:tc>
          <w:tcPr>
            <w:tcW w:w="1607" w:type="dxa"/>
            <w:tcMar>
              <w:top w:w="15" w:type="dxa"/>
              <w:left w:w="15" w:type="dxa"/>
              <w:right w:w="15" w:type="dxa"/>
            </w:tcMar>
            <w:vAlign w:val="center"/>
          </w:tcPr>
          <w:p>
            <w:pPr>
              <w:snapToGrid w:val="0"/>
              <w:jc w:val="center"/>
              <w:textAlignment w:val="center"/>
              <w:rPr>
                <w:rFonts w:ascii="宋体" w:hAnsi="宋体" w:eastAsia="宋体" w:cs="宋体"/>
                <w:sz w:val="20"/>
                <w:szCs w:val="20"/>
                <w:lang w:bidi="ar"/>
              </w:rPr>
            </w:pPr>
            <w:r>
              <w:rPr>
                <w:rFonts w:hint="eastAsia" w:ascii="宋体" w:hAnsi="宋体" w:eastAsia="宋体" w:cs="宋体"/>
                <w:sz w:val="20"/>
                <w:szCs w:val="20"/>
                <w:lang w:bidi="ar"/>
              </w:rPr>
              <w:t>管理、作业人员 教育培训或    技术指导</w:t>
            </w:r>
          </w:p>
        </w:tc>
        <w:tc>
          <w:tcPr>
            <w:tcW w:w="2437" w:type="dxa"/>
            <w:tcMar>
              <w:top w:w="15" w:type="dxa"/>
              <w:left w:w="15" w:type="dxa"/>
              <w:right w:w="15" w:type="dxa"/>
            </w:tcMar>
            <w:vAlign w:val="center"/>
          </w:tcPr>
          <w:p>
            <w:pPr>
              <w:snapToGrid w:val="0"/>
              <w:jc w:val="center"/>
              <w:textAlignment w:val="center"/>
              <w:rPr>
                <w:rFonts w:ascii="宋体" w:hAnsi="宋体" w:eastAsia="宋体" w:cs="宋体"/>
                <w:sz w:val="20"/>
                <w:szCs w:val="20"/>
                <w:lang w:bidi="ar"/>
              </w:rPr>
            </w:pPr>
            <w:r>
              <w:rPr>
                <w:rFonts w:hint="eastAsia" w:ascii="宋体" w:hAnsi="宋体" w:eastAsia="宋体" w:cs="宋体"/>
                <w:sz w:val="20"/>
                <w:szCs w:val="20"/>
                <w:lang w:bidi="ar"/>
              </w:rPr>
              <w:t>培训或技术指导不到位</w:t>
            </w:r>
          </w:p>
        </w:tc>
        <w:tc>
          <w:tcPr>
            <w:tcW w:w="2189" w:type="dxa"/>
            <w:tcMar>
              <w:top w:w="15" w:type="dxa"/>
              <w:left w:w="15" w:type="dxa"/>
              <w:right w:w="15" w:type="dxa"/>
            </w:tcMar>
            <w:vAlign w:val="center"/>
          </w:tcPr>
          <w:p>
            <w:pPr>
              <w:snapToGrid w:val="0"/>
              <w:jc w:val="center"/>
              <w:textAlignment w:val="center"/>
              <w:rPr>
                <w:rFonts w:ascii="宋体" w:hAnsi="宋体" w:eastAsia="宋体" w:cs="宋体"/>
                <w:sz w:val="20"/>
                <w:szCs w:val="20"/>
                <w:lang w:bidi="ar"/>
              </w:rPr>
            </w:pPr>
            <w:r>
              <w:rPr>
                <w:rFonts w:hint="eastAsia" w:ascii="宋体" w:hAnsi="宋体" w:eastAsia="宋体" w:cs="宋体"/>
                <w:sz w:val="20"/>
                <w:szCs w:val="20"/>
                <w:lang w:bidi="ar"/>
              </w:rPr>
              <w:t>影响工程运行安全、   人员作业安全</w:t>
            </w:r>
          </w:p>
        </w:tc>
        <w:tc>
          <w:tcPr>
            <w:tcW w:w="901" w:type="dxa"/>
            <w:noWrap/>
            <w:tcMar>
              <w:top w:w="15" w:type="dxa"/>
              <w:left w:w="15" w:type="dxa"/>
              <w:right w:w="15" w:type="dxa"/>
            </w:tcMar>
            <w:vAlign w:val="center"/>
          </w:tcPr>
          <w:p>
            <w:pPr>
              <w:snapToGrid w:val="0"/>
              <w:jc w:val="center"/>
              <w:textAlignment w:val="center"/>
              <w:rPr>
                <w:rFonts w:ascii="宋体" w:hAnsi="宋体" w:eastAsia="宋体" w:cs="宋体"/>
                <w:sz w:val="20"/>
                <w:szCs w:val="20"/>
                <w:lang w:bidi="ar"/>
              </w:rPr>
            </w:pPr>
            <w:r>
              <w:rPr>
                <w:rFonts w:hint="eastAsia" w:ascii="宋体" w:hAnsi="宋体" w:eastAsia="宋体" w:cs="宋体"/>
                <w:sz w:val="20"/>
                <w:szCs w:val="20"/>
                <w:lang w:bidi="ar"/>
              </w:rPr>
              <w:t>LS法</w:t>
            </w:r>
          </w:p>
        </w:tc>
        <w:tc>
          <w:tcPr>
            <w:tcW w:w="901" w:type="dxa"/>
            <w:tcMar>
              <w:top w:w="15" w:type="dxa"/>
              <w:left w:w="15" w:type="dxa"/>
              <w:right w:w="15" w:type="dxa"/>
            </w:tcMar>
            <w:vAlign w:val="center"/>
          </w:tcPr>
          <w:p>
            <w:pPr>
              <w:snapToGrid w:val="0"/>
              <w:jc w:val="center"/>
              <w:textAlignment w:val="center"/>
              <w:rPr>
                <w:rFonts w:ascii="宋体" w:hAnsi="宋体" w:eastAsia="宋体" w:cs="宋体"/>
                <w:sz w:val="20"/>
                <w:szCs w:val="20"/>
                <w:lang w:bidi="ar"/>
              </w:rPr>
            </w:pPr>
            <w:r>
              <w:rPr>
                <w:rFonts w:hint="eastAsia" w:ascii="宋体" w:hAnsi="宋体" w:eastAsia="宋体" w:cs="宋体"/>
                <w:sz w:val="20"/>
                <w:szCs w:val="20"/>
                <w:lang w:bidi="ar"/>
              </w:rPr>
              <w:t>5～30</w:t>
            </w:r>
          </w:p>
        </w:tc>
        <w:tc>
          <w:tcPr>
            <w:tcW w:w="721" w:type="dxa"/>
            <w:tcMar>
              <w:top w:w="15" w:type="dxa"/>
              <w:left w:w="15" w:type="dxa"/>
              <w:right w:w="15" w:type="dxa"/>
            </w:tcMar>
            <w:vAlign w:val="center"/>
          </w:tcPr>
          <w:p>
            <w:pPr>
              <w:widowControl w:val="0"/>
              <w:snapToGrid w:val="0"/>
              <w:jc w:val="center"/>
              <w:rPr>
                <w:rFonts w:ascii="宋体" w:hAnsi="宋体" w:eastAsia="宋体" w:cs="宋体"/>
                <w:kern w:val="2"/>
                <w:sz w:val="20"/>
                <w:szCs w:val="20"/>
              </w:rPr>
            </w:pPr>
            <w:r>
              <w:rPr>
                <w:rFonts w:hint="eastAsia" w:ascii="宋体" w:hAnsi="宋体" w:eastAsia="宋体" w:cs="宋体"/>
                <w:kern w:val="2"/>
                <w:sz w:val="20"/>
                <w:szCs w:val="20"/>
              </w:rPr>
              <w:t>/</w:t>
            </w:r>
          </w:p>
        </w:tc>
        <w:tc>
          <w:tcPr>
            <w:tcW w:w="781" w:type="dxa"/>
            <w:tcMar>
              <w:top w:w="15" w:type="dxa"/>
              <w:left w:w="15" w:type="dxa"/>
              <w:right w:w="15" w:type="dxa"/>
            </w:tcMar>
            <w:vAlign w:val="center"/>
          </w:tcPr>
          <w:p>
            <w:pPr>
              <w:snapToGrid w:val="0"/>
              <w:jc w:val="center"/>
              <w:textAlignment w:val="center"/>
              <w:rPr>
                <w:rFonts w:ascii="宋体" w:hAnsi="宋体" w:eastAsia="宋体" w:cs="宋体"/>
                <w:sz w:val="20"/>
                <w:szCs w:val="20"/>
                <w:lang w:bidi="ar"/>
              </w:rPr>
            </w:pPr>
            <w:r>
              <w:rPr>
                <w:rFonts w:hint="eastAsia" w:ascii="宋体" w:hAnsi="宋体" w:eastAsia="宋体" w:cs="宋体"/>
                <w:sz w:val="20"/>
                <w:szCs w:val="20"/>
                <w:lang w:bidi="ar"/>
              </w:rPr>
              <w:t>3～10</w:t>
            </w:r>
          </w:p>
        </w:tc>
        <w:tc>
          <w:tcPr>
            <w:tcW w:w="1021" w:type="dxa"/>
            <w:tcMar>
              <w:top w:w="15" w:type="dxa"/>
              <w:left w:w="15" w:type="dxa"/>
              <w:right w:w="15" w:type="dxa"/>
            </w:tcMar>
            <w:vAlign w:val="center"/>
          </w:tcPr>
          <w:p>
            <w:pPr>
              <w:snapToGrid w:val="0"/>
              <w:jc w:val="center"/>
              <w:textAlignment w:val="center"/>
              <w:rPr>
                <w:rFonts w:ascii="宋体" w:hAnsi="宋体" w:eastAsia="宋体" w:cs="宋体"/>
                <w:sz w:val="20"/>
                <w:szCs w:val="20"/>
                <w:lang w:bidi="ar"/>
              </w:rPr>
            </w:pPr>
            <w:r>
              <w:rPr>
                <w:rFonts w:hint="eastAsia" w:ascii="宋体" w:hAnsi="宋体" w:eastAsia="宋体" w:cs="宋体"/>
                <w:sz w:val="20"/>
                <w:szCs w:val="20"/>
                <w:lang w:bidi="ar"/>
              </w:rPr>
              <w:t>15～300</w:t>
            </w:r>
          </w:p>
        </w:tc>
        <w:tc>
          <w:tcPr>
            <w:tcW w:w="901" w:type="dxa"/>
            <w:noWrap/>
            <w:tcMar>
              <w:top w:w="15" w:type="dxa"/>
              <w:left w:w="15" w:type="dxa"/>
              <w:right w:w="15" w:type="dxa"/>
            </w:tcMar>
            <w:vAlign w:val="center"/>
          </w:tcPr>
          <w:p>
            <w:pPr>
              <w:snapToGrid w:val="0"/>
              <w:jc w:val="center"/>
              <w:textAlignment w:val="center"/>
              <w:rPr>
                <w:rFonts w:ascii="宋体" w:hAnsi="宋体" w:eastAsia="宋体" w:cs="宋体"/>
                <w:sz w:val="20"/>
                <w:szCs w:val="20"/>
                <w:lang w:bidi="ar"/>
              </w:rPr>
            </w:pPr>
            <w:r>
              <w:rPr>
                <w:rFonts w:hint="eastAsia" w:ascii="宋体" w:hAnsi="宋体" w:eastAsia="宋体" w:cs="宋体"/>
                <w:sz w:val="20"/>
                <w:szCs w:val="20"/>
                <w:lang w:bidi="ar"/>
              </w:rPr>
              <w:t>低～较大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884" w:hRule="atLeast"/>
        </w:trPr>
        <w:tc>
          <w:tcPr>
            <w:tcW w:w="674" w:type="dxa"/>
            <w:noWrap/>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kern w:val="2"/>
                <w:sz w:val="20"/>
                <w:szCs w:val="20"/>
              </w:rPr>
              <w:t>2</w:t>
            </w:r>
            <w:r>
              <w:rPr>
                <w:rFonts w:ascii="宋体" w:hAnsi="宋体" w:eastAsia="宋体" w:cs="宋体"/>
                <w:kern w:val="2"/>
                <w:sz w:val="20"/>
                <w:szCs w:val="20"/>
              </w:rPr>
              <w:t>4</w:t>
            </w:r>
          </w:p>
        </w:tc>
        <w:tc>
          <w:tcPr>
            <w:tcW w:w="1095" w:type="dxa"/>
            <w:vMerge w:val="continue"/>
            <w:noWrap/>
            <w:tcMar>
              <w:top w:w="15" w:type="dxa"/>
              <w:left w:w="15" w:type="dxa"/>
              <w:right w:w="15" w:type="dxa"/>
            </w:tcMar>
            <w:vAlign w:val="center"/>
          </w:tcPr>
          <w:p>
            <w:pPr>
              <w:widowControl w:val="0"/>
              <w:snapToGrid w:val="0"/>
              <w:jc w:val="center"/>
              <w:rPr>
                <w:rFonts w:ascii="宋体" w:hAnsi="宋体" w:eastAsia="宋体" w:cs="宋体"/>
                <w:kern w:val="2"/>
                <w:sz w:val="20"/>
                <w:szCs w:val="20"/>
              </w:rPr>
            </w:pPr>
          </w:p>
        </w:tc>
        <w:tc>
          <w:tcPr>
            <w:tcW w:w="1184" w:type="dxa"/>
            <w:vMerge w:val="restart"/>
            <w:tcBorders>
              <w:top w:val="single" w:color="auto" w:sz="4" w:space="0"/>
            </w:tcBorders>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运行管理</w:t>
            </w:r>
          </w:p>
        </w:tc>
        <w:tc>
          <w:tcPr>
            <w:tcW w:w="1607" w:type="dxa"/>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安全、监督检查 制度执行</w:t>
            </w:r>
          </w:p>
        </w:tc>
        <w:tc>
          <w:tcPr>
            <w:tcW w:w="2437" w:type="dxa"/>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未按规定开展或检查不到位</w:t>
            </w:r>
          </w:p>
        </w:tc>
        <w:tc>
          <w:tcPr>
            <w:tcW w:w="2189" w:type="dxa"/>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影响工程运行安全</w:t>
            </w:r>
          </w:p>
        </w:tc>
        <w:tc>
          <w:tcPr>
            <w:tcW w:w="901" w:type="dxa"/>
            <w:noWrap/>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LS法</w:t>
            </w:r>
          </w:p>
        </w:tc>
        <w:tc>
          <w:tcPr>
            <w:tcW w:w="901" w:type="dxa"/>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5～30</w:t>
            </w:r>
          </w:p>
        </w:tc>
        <w:tc>
          <w:tcPr>
            <w:tcW w:w="721" w:type="dxa"/>
            <w:tcMar>
              <w:top w:w="15" w:type="dxa"/>
              <w:left w:w="15" w:type="dxa"/>
              <w:right w:w="15" w:type="dxa"/>
            </w:tcMar>
            <w:vAlign w:val="center"/>
          </w:tcPr>
          <w:p>
            <w:pPr>
              <w:widowControl w:val="0"/>
              <w:snapToGrid w:val="0"/>
              <w:jc w:val="center"/>
              <w:rPr>
                <w:rFonts w:ascii="宋体" w:hAnsi="宋体" w:eastAsia="宋体" w:cs="宋体"/>
                <w:kern w:val="2"/>
                <w:sz w:val="20"/>
                <w:szCs w:val="20"/>
              </w:rPr>
            </w:pPr>
            <w:r>
              <w:rPr>
                <w:rFonts w:hint="eastAsia" w:ascii="宋体" w:hAnsi="宋体" w:eastAsia="宋体" w:cs="宋体"/>
                <w:kern w:val="2"/>
                <w:sz w:val="20"/>
                <w:szCs w:val="20"/>
              </w:rPr>
              <w:t>/</w:t>
            </w:r>
          </w:p>
        </w:tc>
        <w:tc>
          <w:tcPr>
            <w:tcW w:w="781" w:type="dxa"/>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3～10</w:t>
            </w:r>
          </w:p>
        </w:tc>
        <w:tc>
          <w:tcPr>
            <w:tcW w:w="1021" w:type="dxa"/>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15～300</w:t>
            </w:r>
          </w:p>
        </w:tc>
        <w:tc>
          <w:tcPr>
            <w:tcW w:w="901" w:type="dxa"/>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低～较大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632" w:hRule="atLeast"/>
        </w:trPr>
        <w:tc>
          <w:tcPr>
            <w:tcW w:w="674" w:type="dxa"/>
            <w:noWrap/>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ascii="宋体" w:hAnsi="宋体" w:eastAsia="宋体" w:cs="宋体"/>
                <w:kern w:val="2"/>
                <w:sz w:val="20"/>
                <w:szCs w:val="20"/>
              </w:rPr>
              <w:t>25</w:t>
            </w:r>
          </w:p>
        </w:tc>
        <w:tc>
          <w:tcPr>
            <w:tcW w:w="1095" w:type="dxa"/>
            <w:vMerge w:val="continue"/>
            <w:noWrap/>
            <w:tcMar>
              <w:top w:w="15" w:type="dxa"/>
              <w:left w:w="15" w:type="dxa"/>
              <w:right w:w="15" w:type="dxa"/>
            </w:tcMar>
            <w:vAlign w:val="center"/>
          </w:tcPr>
          <w:p>
            <w:pPr>
              <w:widowControl w:val="0"/>
              <w:snapToGrid w:val="0"/>
              <w:jc w:val="center"/>
              <w:rPr>
                <w:rFonts w:ascii="宋体" w:hAnsi="宋体" w:eastAsia="宋体" w:cs="宋体"/>
                <w:kern w:val="2"/>
                <w:sz w:val="20"/>
                <w:szCs w:val="20"/>
              </w:rPr>
            </w:pPr>
          </w:p>
        </w:tc>
        <w:tc>
          <w:tcPr>
            <w:tcW w:w="1184" w:type="dxa"/>
            <w:vMerge w:val="continue"/>
            <w:tcBorders>
              <w:top w:val="single" w:color="auto" w:sz="4" w:space="0"/>
            </w:tcBorders>
            <w:tcMar>
              <w:top w:w="15" w:type="dxa"/>
              <w:left w:w="15" w:type="dxa"/>
              <w:right w:w="15" w:type="dxa"/>
            </w:tcMar>
            <w:vAlign w:val="center"/>
          </w:tcPr>
          <w:p>
            <w:pPr>
              <w:snapToGrid w:val="0"/>
              <w:jc w:val="center"/>
              <w:textAlignment w:val="center"/>
              <w:rPr>
                <w:rFonts w:ascii="宋体" w:hAnsi="宋体" w:eastAsia="宋体" w:cs="宋体"/>
                <w:sz w:val="20"/>
                <w:szCs w:val="20"/>
                <w:lang w:bidi="ar"/>
              </w:rPr>
            </w:pPr>
          </w:p>
        </w:tc>
        <w:tc>
          <w:tcPr>
            <w:tcW w:w="1607" w:type="dxa"/>
            <w:tcMar>
              <w:top w:w="15" w:type="dxa"/>
              <w:left w:w="15" w:type="dxa"/>
              <w:right w:w="15" w:type="dxa"/>
            </w:tcMar>
            <w:vAlign w:val="center"/>
          </w:tcPr>
          <w:p>
            <w:pPr>
              <w:snapToGrid w:val="0"/>
              <w:jc w:val="center"/>
              <w:textAlignment w:val="center"/>
              <w:rPr>
                <w:rFonts w:ascii="宋体" w:hAnsi="宋体" w:eastAsia="宋体" w:cs="宋体"/>
                <w:sz w:val="20"/>
                <w:szCs w:val="20"/>
                <w:lang w:bidi="ar"/>
              </w:rPr>
            </w:pPr>
            <w:r>
              <w:rPr>
                <w:rFonts w:hint="eastAsia" w:ascii="宋体" w:hAnsi="宋体" w:eastAsia="宋体" w:cs="宋体"/>
                <w:sz w:val="20"/>
                <w:szCs w:val="20"/>
                <w:lang w:bidi="ar"/>
              </w:rPr>
              <w:t>蓄水运用</w:t>
            </w:r>
          </w:p>
        </w:tc>
        <w:tc>
          <w:tcPr>
            <w:tcW w:w="2437" w:type="dxa"/>
            <w:tcMar>
              <w:top w:w="15" w:type="dxa"/>
              <w:left w:w="15" w:type="dxa"/>
              <w:right w:w="15" w:type="dxa"/>
            </w:tcMar>
            <w:vAlign w:val="center"/>
          </w:tcPr>
          <w:p>
            <w:pPr>
              <w:snapToGrid w:val="0"/>
              <w:jc w:val="center"/>
              <w:textAlignment w:val="center"/>
              <w:rPr>
                <w:rFonts w:ascii="宋体" w:hAnsi="宋体" w:eastAsia="宋体" w:cs="宋体"/>
                <w:sz w:val="20"/>
                <w:szCs w:val="20"/>
                <w:lang w:bidi="ar"/>
              </w:rPr>
            </w:pPr>
            <w:r>
              <w:rPr>
                <w:rFonts w:hint="eastAsia" w:ascii="宋体" w:hAnsi="宋体" w:eastAsia="宋体" w:cs="宋体"/>
                <w:sz w:val="20"/>
                <w:szCs w:val="20"/>
                <w:lang w:bidi="ar"/>
              </w:rPr>
              <w:t>汛期未放空</w:t>
            </w:r>
          </w:p>
        </w:tc>
        <w:tc>
          <w:tcPr>
            <w:tcW w:w="2189" w:type="dxa"/>
            <w:tcMar>
              <w:top w:w="15" w:type="dxa"/>
              <w:left w:w="15" w:type="dxa"/>
              <w:right w:w="15" w:type="dxa"/>
            </w:tcMar>
            <w:vAlign w:val="center"/>
          </w:tcPr>
          <w:p>
            <w:pPr>
              <w:snapToGrid w:val="0"/>
              <w:jc w:val="center"/>
              <w:textAlignment w:val="center"/>
              <w:rPr>
                <w:rFonts w:ascii="宋体" w:hAnsi="宋体" w:eastAsia="宋体" w:cs="宋体"/>
                <w:sz w:val="20"/>
                <w:szCs w:val="20"/>
                <w:lang w:bidi="ar"/>
              </w:rPr>
            </w:pPr>
            <w:r>
              <w:rPr>
                <w:rFonts w:hint="eastAsia" w:ascii="宋体" w:hAnsi="宋体" w:eastAsia="宋体" w:cs="宋体"/>
                <w:sz w:val="20"/>
                <w:szCs w:val="20"/>
                <w:lang w:bidi="ar"/>
              </w:rPr>
              <w:t>影响工程运行安全</w:t>
            </w:r>
          </w:p>
        </w:tc>
        <w:tc>
          <w:tcPr>
            <w:tcW w:w="901" w:type="dxa"/>
            <w:noWrap/>
            <w:tcMar>
              <w:top w:w="15" w:type="dxa"/>
              <w:left w:w="15" w:type="dxa"/>
              <w:right w:w="15" w:type="dxa"/>
            </w:tcMar>
            <w:vAlign w:val="center"/>
          </w:tcPr>
          <w:p>
            <w:pPr>
              <w:snapToGrid w:val="0"/>
              <w:jc w:val="center"/>
              <w:textAlignment w:val="center"/>
              <w:rPr>
                <w:rFonts w:ascii="宋体" w:hAnsi="宋体" w:eastAsia="宋体" w:cs="宋体"/>
                <w:sz w:val="20"/>
                <w:szCs w:val="20"/>
                <w:lang w:bidi="ar"/>
              </w:rPr>
            </w:pPr>
            <w:r>
              <w:rPr>
                <w:rFonts w:hint="eastAsia" w:ascii="宋体" w:hAnsi="宋体" w:eastAsia="宋体" w:cs="宋体"/>
                <w:sz w:val="20"/>
                <w:szCs w:val="20"/>
                <w:lang w:bidi="ar"/>
              </w:rPr>
              <w:t>LS法</w:t>
            </w:r>
          </w:p>
        </w:tc>
        <w:tc>
          <w:tcPr>
            <w:tcW w:w="901" w:type="dxa"/>
            <w:tcMar>
              <w:top w:w="15" w:type="dxa"/>
              <w:left w:w="15" w:type="dxa"/>
              <w:right w:w="15" w:type="dxa"/>
            </w:tcMar>
            <w:vAlign w:val="center"/>
          </w:tcPr>
          <w:p>
            <w:pPr>
              <w:snapToGrid w:val="0"/>
              <w:jc w:val="center"/>
              <w:textAlignment w:val="center"/>
              <w:rPr>
                <w:rFonts w:ascii="宋体" w:hAnsi="宋体" w:eastAsia="宋体" w:cs="宋体"/>
                <w:sz w:val="20"/>
                <w:szCs w:val="20"/>
                <w:lang w:bidi="ar"/>
              </w:rPr>
            </w:pPr>
            <w:r>
              <w:rPr>
                <w:rFonts w:hint="eastAsia" w:ascii="宋体" w:hAnsi="宋体" w:eastAsia="宋体" w:cs="宋体"/>
                <w:sz w:val="20"/>
                <w:szCs w:val="20"/>
                <w:lang w:bidi="ar"/>
              </w:rPr>
              <w:t>5～60</w:t>
            </w:r>
          </w:p>
        </w:tc>
        <w:tc>
          <w:tcPr>
            <w:tcW w:w="721" w:type="dxa"/>
            <w:tcMar>
              <w:top w:w="15" w:type="dxa"/>
              <w:left w:w="15" w:type="dxa"/>
              <w:right w:w="15" w:type="dxa"/>
            </w:tcMar>
            <w:vAlign w:val="center"/>
          </w:tcPr>
          <w:p>
            <w:pPr>
              <w:widowControl w:val="0"/>
              <w:snapToGrid w:val="0"/>
              <w:jc w:val="center"/>
              <w:rPr>
                <w:rFonts w:ascii="宋体" w:hAnsi="宋体" w:eastAsia="宋体" w:cs="宋体"/>
                <w:kern w:val="2"/>
                <w:sz w:val="20"/>
                <w:szCs w:val="20"/>
              </w:rPr>
            </w:pPr>
            <w:r>
              <w:rPr>
                <w:rFonts w:hint="eastAsia" w:ascii="宋体" w:hAnsi="宋体" w:eastAsia="宋体" w:cs="宋体"/>
                <w:kern w:val="2"/>
                <w:sz w:val="20"/>
                <w:szCs w:val="20"/>
              </w:rPr>
              <w:t>/</w:t>
            </w:r>
          </w:p>
        </w:tc>
        <w:tc>
          <w:tcPr>
            <w:tcW w:w="781" w:type="dxa"/>
            <w:tcMar>
              <w:top w:w="15" w:type="dxa"/>
              <w:left w:w="15" w:type="dxa"/>
              <w:right w:w="15" w:type="dxa"/>
            </w:tcMar>
            <w:vAlign w:val="center"/>
          </w:tcPr>
          <w:p>
            <w:pPr>
              <w:snapToGrid w:val="0"/>
              <w:jc w:val="center"/>
              <w:textAlignment w:val="center"/>
              <w:rPr>
                <w:rFonts w:ascii="宋体" w:hAnsi="宋体" w:eastAsia="宋体" w:cs="宋体"/>
                <w:sz w:val="20"/>
                <w:szCs w:val="20"/>
                <w:lang w:bidi="ar"/>
              </w:rPr>
            </w:pPr>
            <w:r>
              <w:rPr>
                <w:rFonts w:hint="eastAsia" w:ascii="宋体" w:hAnsi="宋体" w:eastAsia="宋体" w:cs="宋体"/>
                <w:sz w:val="20"/>
                <w:szCs w:val="20"/>
                <w:lang w:bidi="ar"/>
              </w:rPr>
              <w:t>3～10</w:t>
            </w:r>
          </w:p>
        </w:tc>
        <w:tc>
          <w:tcPr>
            <w:tcW w:w="1021" w:type="dxa"/>
            <w:tcMar>
              <w:top w:w="15" w:type="dxa"/>
              <w:left w:w="15" w:type="dxa"/>
              <w:right w:w="15" w:type="dxa"/>
            </w:tcMar>
            <w:vAlign w:val="center"/>
          </w:tcPr>
          <w:p>
            <w:pPr>
              <w:snapToGrid w:val="0"/>
              <w:jc w:val="center"/>
              <w:textAlignment w:val="center"/>
              <w:rPr>
                <w:rFonts w:ascii="宋体" w:hAnsi="宋体" w:eastAsia="宋体" w:cs="宋体"/>
                <w:sz w:val="20"/>
                <w:szCs w:val="20"/>
                <w:lang w:bidi="ar"/>
              </w:rPr>
            </w:pPr>
            <w:r>
              <w:rPr>
                <w:rFonts w:hint="eastAsia" w:ascii="宋体" w:hAnsi="宋体" w:eastAsia="宋体" w:cs="宋体"/>
                <w:sz w:val="20"/>
                <w:szCs w:val="20"/>
                <w:lang w:bidi="ar"/>
              </w:rPr>
              <w:t>15～600</w:t>
            </w:r>
          </w:p>
        </w:tc>
        <w:tc>
          <w:tcPr>
            <w:tcW w:w="901" w:type="dxa"/>
            <w:tcMar>
              <w:top w:w="15" w:type="dxa"/>
              <w:left w:w="15" w:type="dxa"/>
              <w:right w:w="15" w:type="dxa"/>
            </w:tcMar>
            <w:vAlign w:val="center"/>
          </w:tcPr>
          <w:p>
            <w:pPr>
              <w:snapToGrid w:val="0"/>
              <w:jc w:val="center"/>
              <w:textAlignment w:val="center"/>
              <w:rPr>
                <w:rFonts w:ascii="宋体" w:hAnsi="宋体" w:eastAsia="宋体" w:cs="宋体"/>
                <w:sz w:val="20"/>
                <w:szCs w:val="20"/>
                <w:lang w:bidi="ar"/>
              </w:rPr>
            </w:pPr>
            <w:r>
              <w:rPr>
                <w:rFonts w:hint="eastAsia" w:ascii="宋体" w:hAnsi="宋体" w:eastAsia="宋体" w:cs="宋体"/>
                <w:sz w:val="20"/>
                <w:szCs w:val="20"/>
              </w:rPr>
              <w:t>低～重大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859" w:hRule="atLeast"/>
        </w:trPr>
        <w:tc>
          <w:tcPr>
            <w:tcW w:w="674" w:type="dxa"/>
            <w:noWrap/>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kern w:val="2"/>
                <w:sz w:val="20"/>
                <w:szCs w:val="20"/>
              </w:rPr>
              <w:t>2</w:t>
            </w:r>
            <w:r>
              <w:rPr>
                <w:rFonts w:ascii="宋体" w:hAnsi="宋体" w:eastAsia="宋体" w:cs="宋体"/>
                <w:kern w:val="2"/>
                <w:sz w:val="20"/>
                <w:szCs w:val="20"/>
              </w:rPr>
              <w:t>6</w:t>
            </w:r>
          </w:p>
        </w:tc>
        <w:tc>
          <w:tcPr>
            <w:tcW w:w="1095" w:type="dxa"/>
            <w:vMerge w:val="continue"/>
            <w:noWrap/>
            <w:tcMar>
              <w:top w:w="15" w:type="dxa"/>
              <w:left w:w="15" w:type="dxa"/>
              <w:right w:w="15" w:type="dxa"/>
            </w:tcMar>
            <w:vAlign w:val="center"/>
          </w:tcPr>
          <w:p>
            <w:pPr>
              <w:widowControl w:val="0"/>
              <w:snapToGrid w:val="0"/>
              <w:jc w:val="center"/>
              <w:rPr>
                <w:rFonts w:ascii="宋体" w:hAnsi="宋体" w:eastAsia="宋体" w:cs="宋体"/>
                <w:kern w:val="2"/>
                <w:sz w:val="20"/>
                <w:szCs w:val="20"/>
              </w:rPr>
            </w:pPr>
          </w:p>
        </w:tc>
        <w:tc>
          <w:tcPr>
            <w:tcW w:w="1184" w:type="dxa"/>
            <w:vMerge w:val="continue"/>
            <w:tcMar>
              <w:top w:w="15" w:type="dxa"/>
              <w:left w:w="15" w:type="dxa"/>
              <w:right w:w="15" w:type="dxa"/>
            </w:tcMar>
            <w:vAlign w:val="center"/>
          </w:tcPr>
          <w:p>
            <w:pPr>
              <w:widowControl w:val="0"/>
              <w:snapToGrid w:val="0"/>
              <w:jc w:val="center"/>
              <w:rPr>
                <w:rFonts w:ascii="宋体" w:hAnsi="宋体" w:eastAsia="宋体" w:cs="宋体"/>
                <w:kern w:val="2"/>
                <w:sz w:val="20"/>
                <w:szCs w:val="20"/>
              </w:rPr>
            </w:pPr>
          </w:p>
        </w:tc>
        <w:tc>
          <w:tcPr>
            <w:tcW w:w="1607" w:type="dxa"/>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防汛预案编制、 报批、演练</w:t>
            </w:r>
          </w:p>
        </w:tc>
        <w:tc>
          <w:tcPr>
            <w:tcW w:w="2437" w:type="dxa"/>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未编制、报批或演练</w:t>
            </w:r>
          </w:p>
        </w:tc>
        <w:tc>
          <w:tcPr>
            <w:tcW w:w="2189" w:type="dxa"/>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影响人员和工程安全</w:t>
            </w:r>
          </w:p>
        </w:tc>
        <w:tc>
          <w:tcPr>
            <w:tcW w:w="901" w:type="dxa"/>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LS法</w:t>
            </w:r>
          </w:p>
        </w:tc>
        <w:tc>
          <w:tcPr>
            <w:tcW w:w="901" w:type="dxa"/>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5～30</w:t>
            </w:r>
          </w:p>
        </w:tc>
        <w:tc>
          <w:tcPr>
            <w:tcW w:w="721" w:type="dxa"/>
            <w:tcMar>
              <w:top w:w="15" w:type="dxa"/>
              <w:left w:w="15" w:type="dxa"/>
              <w:right w:w="15" w:type="dxa"/>
            </w:tcMar>
            <w:vAlign w:val="center"/>
          </w:tcPr>
          <w:p>
            <w:pPr>
              <w:widowControl w:val="0"/>
              <w:snapToGrid w:val="0"/>
              <w:jc w:val="center"/>
              <w:rPr>
                <w:rFonts w:ascii="宋体" w:hAnsi="宋体" w:eastAsia="宋体" w:cs="宋体"/>
                <w:kern w:val="2"/>
                <w:sz w:val="20"/>
                <w:szCs w:val="20"/>
              </w:rPr>
            </w:pPr>
            <w:r>
              <w:rPr>
                <w:rFonts w:hint="eastAsia" w:ascii="宋体" w:hAnsi="宋体" w:eastAsia="宋体" w:cs="宋体"/>
                <w:kern w:val="2"/>
                <w:sz w:val="20"/>
                <w:szCs w:val="20"/>
              </w:rPr>
              <w:t>/</w:t>
            </w:r>
          </w:p>
        </w:tc>
        <w:tc>
          <w:tcPr>
            <w:tcW w:w="781" w:type="dxa"/>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3～10</w:t>
            </w:r>
          </w:p>
        </w:tc>
        <w:tc>
          <w:tcPr>
            <w:tcW w:w="1021" w:type="dxa"/>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15～300</w:t>
            </w:r>
          </w:p>
        </w:tc>
        <w:tc>
          <w:tcPr>
            <w:tcW w:w="901" w:type="dxa"/>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低～较大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784" w:hRule="atLeast"/>
        </w:trPr>
        <w:tc>
          <w:tcPr>
            <w:tcW w:w="674" w:type="dxa"/>
            <w:noWrap/>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ascii="宋体" w:hAnsi="宋体" w:eastAsia="宋体" w:cs="宋体"/>
                <w:kern w:val="2"/>
                <w:sz w:val="20"/>
                <w:szCs w:val="20"/>
              </w:rPr>
              <w:t>27</w:t>
            </w:r>
          </w:p>
        </w:tc>
        <w:tc>
          <w:tcPr>
            <w:tcW w:w="1095" w:type="dxa"/>
            <w:vMerge w:val="continue"/>
            <w:noWrap/>
            <w:tcMar>
              <w:top w:w="15" w:type="dxa"/>
              <w:left w:w="15" w:type="dxa"/>
              <w:right w:w="15" w:type="dxa"/>
            </w:tcMar>
            <w:vAlign w:val="center"/>
          </w:tcPr>
          <w:p>
            <w:pPr>
              <w:widowControl w:val="0"/>
              <w:snapToGrid w:val="0"/>
              <w:jc w:val="center"/>
              <w:rPr>
                <w:rFonts w:ascii="宋体" w:hAnsi="宋体" w:eastAsia="宋体" w:cs="宋体"/>
                <w:kern w:val="2"/>
                <w:sz w:val="20"/>
                <w:szCs w:val="20"/>
              </w:rPr>
            </w:pPr>
          </w:p>
        </w:tc>
        <w:tc>
          <w:tcPr>
            <w:tcW w:w="1184" w:type="dxa"/>
            <w:vMerge w:val="continue"/>
            <w:tcMar>
              <w:top w:w="15" w:type="dxa"/>
              <w:left w:w="15" w:type="dxa"/>
              <w:right w:w="15" w:type="dxa"/>
            </w:tcMar>
            <w:vAlign w:val="center"/>
          </w:tcPr>
          <w:p>
            <w:pPr>
              <w:widowControl w:val="0"/>
              <w:snapToGrid w:val="0"/>
              <w:jc w:val="center"/>
              <w:rPr>
                <w:rFonts w:ascii="宋体" w:hAnsi="宋体" w:eastAsia="宋体" w:cs="宋体"/>
                <w:kern w:val="2"/>
                <w:sz w:val="20"/>
                <w:szCs w:val="20"/>
              </w:rPr>
            </w:pPr>
          </w:p>
        </w:tc>
        <w:tc>
          <w:tcPr>
            <w:tcW w:w="1607" w:type="dxa"/>
            <w:tcMar>
              <w:top w:w="15" w:type="dxa"/>
              <w:left w:w="15" w:type="dxa"/>
              <w:right w:w="15" w:type="dxa"/>
            </w:tcMar>
            <w:vAlign w:val="center"/>
          </w:tcPr>
          <w:p>
            <w:pPr>
              <w:snapToGrid w:val="0"/>
              <w:jc w:val="center"/>
              <w:textAlignment w:val="center"/>
              <w:rPr>
                <w:rFonts w:ascii="宋体" w:hAnsi="宋体" w:eastAsia="宋体" w:cs="宋体"/>
                <w:sz w:val="20"/>
                <w:szCs w:val="20"/>
                <w:lang w:bidi="ar"/>
              </w:rPr>
            </w:pPr>
            <w:r>
              <w:rPr>
                <w:rFonts w:hint="eastAsia" w:ascii="宋体" w:hAnsi="宋体" w:eastAsia="宋体" w:cs="宋体"/>
                <w:sz w:val="20"/>
                <w:szCs w:val="20"/>
                <w:lang w:bidi="ar"/>
              </w:rPr>
              <w:t>警示、警告标识 设置</w:t>
            </w:r>
          </w:p>
        </w:tc>
        <w:tc>
          <w:tcPr>
            <w:tcW w:w="2437" w:type="dxa"/>
            <w:tcMar>
              <w:top w:w="15" w:type="dxa"/>
              <w:left w:w="15" w:type="dxa"/>
              <w:right w:w="15" w:type="dxa"/>
            </w:tcMar>
            <w:vAlign w:val="center"/>
          </w:tcPr>
          <w:p>
            <w:pPr>
              <w:snapToGrid w:val="0"/>
              <w:jc w:val="center"/>
              <w:textAlignment w:val="center"/>
              <w:rPr>
                <w:rFonts w:ascii="宋体" w:hAnsi="宋体" w:eastAsia="宋体" w:cs="宋体"/>
                <w:sz w:val="20"/>
                <w:szCs w:val="20"/>
                <w:lang w:bidi="ar"/>
              </w:rPr>
            </w:pPr>
            <w:r>
              <w:rPr>
                <w:rFonts w:hint="eastAsia" w:ascii="宋体" w:hAnsi="宋体" w:eastAsia="宋体" w:cs="宋体"/>
                <w:sz w:val="20"/>
                <w:szCs w:val="20"/>
                <w:lang w:bidi="ar"/>
              </w:rPr>
              <w:t>设置不足</w:t>
            </w:r>
          </w:p>
        </w:tc>
        <w:tc>
          <w:tcPr>
            <w:tcW w:w="2189" w:type="dxa"/>
            <w:tcMar>
              <w:top w:w="15" w:type="dxa"/>
              <w:left w:w="15" w:type="dxa"/>
              <w:right w:w="15" w:type="dxa"/>
            </w:tcMar>
            <w:vAlign w:val="center"/>
          </w:tcPr>
          <w:p>
            <w:pPr>
              <w:snapToGrid w:val="0"/>
              <w:jc w:val="center"/>
              <w:textAlignment w:val="center"/>
              <w:rPr>
                <w:rFonts w:ascii="宋体" w:hAnsi="宋体" w:eastAsia="宋体" w:cs="宋体"/>
                <w:sz w:val="20"/>
                <w:szCs w:val="20"/>
                <w:lang w:bidi="ar"/>
              </w:rPr>
            </w:pPr>
            <w:r>
              <w:rPr>
                <w:rFonts w:hint="eastAsia" w:ascii="宋体" w:hAnsi="宋体" w:eastAsia="宋体" w:cs="宋体"/>
                <w:sz w:val="20"/>
                <w:szCs w:val="20"/>
                <w:lang w:bidi="ar"/>
              </w:rPr>
              <w:t>影响工程运行安全、   人员安全</w:t>
            </w:r>
          </w:p>
        </w:tc>
        <w:tc>
          <w:tcPr>
            <w:tcW w:w="901" w:type="dxa"/>
            <w:tcMar>
              <w:top w:w="15" w:type="dxa"/>
              <w:left w:w="15" w:type="dxa"/>
              <w:right w:w="15" w:type="dxa"/>
            </w:tcMar>
            <w:vAlign w:val="center"/>
          </w:tcPr>
          <w:p>
            <w:pPr>
              <w:snapToGrid w:val="0"/>
              <w:jc w:val="center"/>
              <w:textAlignment w:val="center"/>
              <w:rPr>
                <w:rFonts w:ascii="宋体" w:hAnsi="宋体" w:eastAsia="宋体" w:cs="宋体"/>
                <w:sz w:val="20"/>
                <w:szCs w:val="20"/>
                <w:lang w:bidi="ar"/>
              </w:rPr>
            </w:pPr>
            <w:r>
              <w:rPr>
                <w:rFonts w:hint="eastAsia" w:ascii="宋体" w:hAnsi="宋体" w:eastAsia="宋体" w:cs="宋体"/>
                <w:sz w:val="20"/>
                <w:szCs w:val="20"/>
                <w:lang w:bidi="ar"/>
              </w:rPr>
              <w:t>LS法</w:t>
            </w:r>
          </w:p>
        </w:tc>
        <w:tc>
          <w:tcPr>
            <w:tcW w:w="901" w:type="dxa"/>
            <w:tcMar>
              <w:top w:w="15" w:type="dxa"/>
              <w:left w:w="15" w:type="dxa"/>
              <w:right w:w="15" w:type="dxa"/>
            </w:tcMar>
            <w:vAlign w:val="center"/>
          </w:tcPr>
          <w:p>
            <w:pPr>
              <w:snapToGrid w:val="0"/>
              <w:jc w:val="center"/>
              <w:textAlignment w:val="center"/>
              <w:rPr>
                <w:rFonts w:ascii="宋体" w:hAnsi="宋体" w:eastAsia="宋体" w:cs="宋体"/>
                <w:sz w:val="20"/>
                <w:szCs w:val="20"/>
                <w:lang w:bidi="ar"/>
              </w:rPr>
            </w:pPr>
            <w:r>
              <w:rPr>
                <w:rFonts w:hint="eastAsia" w:ascii="宋体" w:hAnsi="宋体" w:eastAsia="宋体" w:cs="宋体"/>
                <w:sz w:val="20"/>
                <w:szCs w:val="20"/>
                <w:lang w:bidi="ar"/>
              </w:rPr>
              <w:t>5～30</w:t>
            </w:r>
          </w:p>
        </w:tc>
        <w:tc>
          <w:tcPr>
            <w:tcW w:w="721" w:type="dxa"/>
            <w:tcMar>
              <w:top w:w="15" w:type="dxa"/>
              <w:left w:w="15" w:type="dxa"/>
              <w:right w:w="15" w:type="dxa"/>
            </w:tcMar>
            <w:vAlign w:val="center"/>
          </w:tcPr>
          <w:p>
            <w:pPr>
              <w:widowControl w:val="0"/>
              <w:snapToGrid w:val="0"/>
              <w:jc w:val="center"/>
              <w:rPr>
                <w:rFonts w:ascii="宋体" w:hAnsi="宋体" w:eastAsia="宋体" w:cs="宋体"/>
                <w:kern w:val="2"/>
                <w:sz w:val="20"/>
                <w:szCs w:val="20"/>
              </w:rPr>
            </w:pPr>
            <w:r>
              <w:rPr>
                <w:rFonts w:hint="eastAsia" w:ascii="宋体" w:hAnsi="宋体" w:eastAsia="宋体" w:cs="宋体"/>
                <w:kern w:val="2"/>
                <w:sz w:val="20"/>
                <w:szCs w:val="20"/>
              </w:rPr>
              <w:t>/</w:t>
            </w:r>
          </w:p>
        </w:tc>
        <w:tc>
          <w:tcPr>
            <w:tcW w:w="781" w:type="dxa"/>
            <w:tcMar>
              <w:top w:w="15" w:type="dxa"/>
              <w:left w:w="15" w:type="dxa"/>
              <w:right w:w="15" w:type="dxa"/>
            </w:tcMar>
            <w:vAlign w:val="center"/>
          </w:tcPr>
          <w:p>
            <w:pPr>
              <w:snapToGrid w:val="0"/>
              <w:jc w:val="center"/>
              <w:textAlignment w:val="center"/>
              <w:rPr>
                <w:rFonts w:ascii="宋体" w:hAnsi="宋体" w:eastAsia="宋体" w:cs="宋体"/>
                <w:sz w:val="20"/>
                <w:szCs w:val="20"/>
                <w:lang w:bidi="ar"/>
              </w:rPr>
            </w:pPr>
            <w:r>
              <w:rPr>
                <w:rFonts w:hint="eastAsia" w:ascii="宋体" w:hAnsi="宋体" w:eastAsia="宋体" w:cs="宋体"/>
                <w:sz w:val="20"/>
                <w:szCs w:val="20"/>
                <w:lang w:bidi="ar"/>
              </w:rPr>
              <w:t>3～10</w:t>
            </w:r>
          </w:p>
        </w:tc>
        <w:tc>
          <w:tcPr>
            <w:tcW w:w="1021" w:type="dxa"/>
            <w:tcMar>
              <w:top w:w="15" w:type="dxa"/>
              <w:left w:w="15" w:type="dxa"/>
              <w:right w:w="15" w:type="dxa"/>
            </w:tcMar>
            <w:vAlign w:val="center"/>
          </w:tcPr>
          <w:p>
            <w:pPr>
              <w:snapToGrid w:val="0"/>
              <w:jc w:val="center"/>
              <w:textAlignment w:val="center"/>
              <w:rPr>
                <w:rFonts w:ascii="宋体" w:hAnsi="宋体" w:eastAsia="宋体" w:cs="宋体"/>
                <w:sz w:val="20"/>
                <w:szCs w:val="20"/>
                <w:lang w:bidi="ar"/>
              </w:rPr>
            </w:pPr>
            <w:r>
              <w:rPr>
                <w:rFonts w:hint="eastAsia" w:ascii="宋体" w:hAnsi="宋体" w:eastAsia="宋体" w:cs="宋体"/>
                <w:sz w:val="20"/>
                <w:szCs w:val="20"/>
                <w:lang w:bidi="ar"/>
              </w:rPr>
              <w:t>15～300</w:t>
            </w:r>
          </w:p>
        </w:tc>
        <w:tc>
          <w:tcPr>
            <w:tcW w:w="901" w:type="dxa"/>
            <w:tcMar>
              <w:top w:w="15" w:type="dxa"/>
              <w:left w:w="15" w:type="dxa"/>
              <w:right w:w="15" w:type="dxa"/>
            </w:tcMar>
            <w:vAlign w:val="center"/>
          </w:tcPr>
          <w:p>
            <w:pPr>
              <w:snapToGrid w:val="0"/>
              <w:jc w:val="center"/>
              <w:textAlignment w:val="center"/>
              <w:rPr>
                <w:rFonts w:ascii="宋体" w:hAnsi="宋体" w:eastAsia="宋体" w:cs="宋体"/>
                <w:sz w:val="20"/>
                <w:szCs w:val="20"/>
                <w:lang w:bidi="ar"/>
              </w:rPr>
            </w:pPr>
            <w:r>
              <w:rPr>
                <w:rFonts w:hint="eastAsia" w:ascii="宋体" w:hAnsi="宋体" w:eastAsia="宋体" w:cs="宋体"/>
                <w:sz w:val="20"/>
                <w:szCs w:val="20"/>
                <w:lang w:bidi="ar"/>
              </w:rPr>
              <w:t>低～较大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687" w:hRule="atLeast"/>
        </w:trPr>
        <w:tc>
          <w:tcPr>
            <w:tcW w:w="674" w:type="dxa"/>
            <w:noWrap/>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ascii="宋体" w:hAnsi="宋体" w:eastAsia="宋体" w:cs="宋体"/>
                <w:kern w:val="2"/>
                <w:sz w:val="20"/>
                <w:szCs w:val="20"/>
              </w:rPr>
              <w:t>28</w:t>
            </w:r>
          </w:p>
        </w:tc>
        <w:tc>
          <w:tcPr>
            <w:tcW w:w="1095" w:type="dxa"/>
            <w:vMerge w:val="restart"/>
            <w:tcMar>
              <w:top w:w="15" w:type="dxa"/>
              <w:left w:w="15" w:type="dxa"/>
              <w:right w:w="15" w:type="dxa"/>
            </w:tcMar>
            <w:vAlign w:val="center"/>
          </w:tcPr>
          <w:p>
            <w:pPr>
              <w:widowControl w:val="0"/>
              <w:snapToGrid w:val="0"/>
              <w:jc w:val="center"/>
              <w:rPr>
                <w:rFonts w:ascii="宋体" w:hAnsi="宋体" w:eastAsia="宋体" w:cs="宋体"/>
                <w:kern w:val="2"/>
                <w:sz w:val="20"/>
                <w:szCs w:val="20"/>
              </w:rPr>
            </w:pPr>
            <w:r>
              <w:rPr>
                <w:rFonts w:hint="eastAsia" w:ascii="宋体" w:hAnsi="宋体" w:eastAsia="宋体" w:cs="宋体"/>
                <w:kern w:val="2"/>
                <w:sz w:val="20"/>
                <w:szCs w:val="20"/>
              </w:rPr>
              <w:t>环境类</w:t>
            </w:r>
          </w:p>
        </w:tc>
        <w:tc>
          <w:tcPr>
            <w:tcW w:w="1184" w:type="dxa"/>
            <w:vMerge w:val="restart"/>
            <w:tcBorders>
              <w:top w:val="single" w:color="auto" w:sz="4" w:space="0"/>
            </w:tcBorders>
            <w:tcMar>
              <w:top w:w="15" w:type="dxa"/>
              <w:left w:w="15" w:type="dxa"/>
              <w:right w:w="15" w:type="dxa"/>
            </w:tcMar>
            <w:vAlign w:val="center"/>
          </w:tcPr>
          <w:p>
            <w:pPr>
              <w:widowControl w:val="0"/>
              <w:snapToGrid w:val="0"/>
              <w:jc w:val="center"/>
              <w:rPr>
                <w:rFonts w:ascii="宋体" w:hAnsi="宋体" w:eastAsia="宋体" w:cs="宋体"/>
                <w:kern w:val="2"/>
                <w:sz w:val="20"/>
                <w:szCs w:val="20"/>
              </w:rPr>
            </w:pPr>
            <w:r>
              <w:rPr>
                <w:rFonts w:hint="eastAsia" w:ascii="宋体" w:hAnsi="宋体" w:eastAsia="宋体" w:cs="宋体"/>
                <w:kern w:val="2"/>
                <w:sz w:val="20"/>
                <w:szCs w:val="20"/>
              </w:rPr>
              <w:t>自然环境</w:t>
            </w:r>
          </w:p>
        </w:tc>
        <w:tc>
          <w:tcPr>
            <w:tcW w:w="1607" w:type="dxa"/>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老鼠、蛇、白蚁等</w:t>
            </w:r>
          </w:p>
        </w:tc>
        <w:tc>
          <w:tcPr>
            <w:tcW w:w="2437" w:type="dxa"/>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打洞、做窝</w:t>
            </w:r>
          </w:p>
        </w:tc>
        <w:tc>
          <w:tcPr>
            <w:tcW w:w="2189" w:type="dxa"/>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塌陷</w:t>
            </w:r>
          </w:p>
        </w:tc>
        <w:tc>
          <w:tcPr>
            <w:tcW w:w="901" w:type="dxa"/>
            <w:noWrap/>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LS法</w:t>
            </w:r>
          </w:p>
        </w:tc>
        <w:tc>
          <w:tcPr>
            <w:tcW w:w="901" w:type="dxa"/>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5～30</w:t>
            </w:r>
          </w:p>
        </w:tc>
        <w:tc>
          <w:tcPr>
            <w:tcW w:w="721" w:type="dxa"/>
            <w:tcMar>
              <w:top w:w="15" w:type="dxa"/>
              <w:left w:w="15" w:type="dxa"/>
              <w:right w:w="15" w:type="dxa"/>
            </w:tcMar>
            <w:vAlign w:val="center"/>
          </w:tcPr>
          <w:p>
            <w:pPr>
              <w:widowControl w:val="0"/>
              <w:snapToGrid w:val="0"/>
              <w:jc w:val="center"/>
              <w:rPr>
                <w:rFonts w:ascii="宋体" w:hAnsi="宋体" w:eastAsia="宋体" w:cs="宋体"/>
                <w:kern w:val="2"/>
                <w:sz w:val="20"/>
                <w:szCs w:val="20"/>
              </w:rPr>
            </w:pPr>
            <w:r>
              <w:rPr>
                <w:rFonts w:hint="eastAsia" w:ascii="宋体" w:hAnsi="宋体" w:eastAsia="宋体" w:cs="宋体"/>
                <w:kern w:val="2"/>
                <w:sz w:val="20"/>
                <w:szCs w:val="20"/>
              </w:rPr>
              <w:t>/</w:t>
            </w:r>
          </w:p>
        </w:tc>
        <w:tc>
          <w:tcPr>
            <w:tcW w:w="781" w:type="dxa"/>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3～10</w:t>
            </w:r>
          </w:p>
        </w:tc>
        <w:tc>
          <w:tcPr>
            <w:tcW w:w="1021" w:type="dxa"/>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15～300</w:t>
            </w:r>
          </w:p>
        </w:tc>
        <w:tc>
          <w:tcPr>
            <w:tcW w:w="901" w:type="dxa"/>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低～较大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602" w:hRule="atLeast"/>
        </w:trPr>
        <w:tc>
          <w:tcPr>
            <w:tcW w:w="674" w:type="dxa"/>
            <w:noWrap/>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ascii="宋体" w:hAnsi="宋体" w:eastAsia="宋体" w:cs="宋体"/>
                <w:kern w:val="2"/>
                <w:sz w:val="20"/>
                <w:szCs w:val="20"/>
              </w:rPr>
              <w:t>29</w:t>
            </w:r>
          </w:p>
        </w:tc>
        <w:tc>
          <w:tcPr>
            <w:tcW w:w="1095" w:type="dxa"/>
            <w:vMerge w:val="continue"/>
            <w:tcMar>
              <w:top w:w="15" w:type="dxa"/>
              <w:left w:w="15" w:type="dxa"/>
              <w:right w:w="15" w:type="dxa"/>
            </w:tcMar>
            <w:vAlign w:val="center"/>
          </w:tcPr>
          <w:p>
            <w:pPr>
              <w:widowControl w:val="0"/>
              <w:snapToGrid w:val="0"/>
              <w:jc w:val="center"/>
              <w:rPr>
                <w:rFonts w:ascii="宋体" w:hAnsi="宋体" w:eastAsia="宋体" w:cs="宋体"/>
                <w:kern w:val="2"/>
                <w:sz w:val="20"/>
                <w:szCs w:val="20"/>
              </w:rPr>
            </w:pPr>
          </w:p>
        </w:tc>
        <w:tc>
          <w:tcPr>
            <w:tcW w:w="1184" w:type="dxa"/>
            <w:vMerge w:val="continue"/>
            <w:tcBorders>
              <w:top w:val="single" w:color="auto" w:sz="4" w:space="0"/>
            </w:tcBorders>
            <w:tcMar>
              <w:top w:w="15" w:type="dxa"/>
              <w:left w:w="15" w:type="dxa"/>
              <w:right w:w="15" w:type="dxa"/>
            </w:tcMar>
            <w:vAlign w:val="center"/>
          </w:tcPr>
          <w:p>
            <w:pPr>
              <w:widowControl w:val="0"/>
              <w:snapToGrid w:val="0"/>
              <w:jc w:val="center"/>
              <w:rPr>
                <w:rFonts w:ascii="宋体" w:hAnsi="宋体" w:eastAsia="宋体" w:cs="宋体"/>
                <w:kern w:val="2"/>
                <w:sz w:val="20"/>
                <w:szCs w:val="20"/>
              </w:rPr>
            </w:pPr>
          </w:p>
        </w:tc>
        <w:tc>
          <w:tcPr>
            <w:tcW w:w="1607" w:type="dxa"/>
            <w:tcMar>
              <w:top w:w="15" w:type="dxa"/>
              <w:left w:w="15" w:type="dxa"/>
              <w:right w:w="15" w:type="dxa"/>
            </w:tcMar>
            <w:vAlign w:val="center"/>
          </w:tcPr>
          <w:p>
            <w:pPr>
              <w:snapToGrid w:val="0"/>
              <w:jc w:val="center"/>
              <w:textAlignment w:val="center"/>
              <w:rPr>
                <w:rFonts w:ascii="宋体" w:hAnsi="宋体" w:eastAsia="宋体" w:cs="宋体"/>
                <w:sz w:val="20"/>
                <w:szCs w:val="20"/>
                <w:lang w:bidi="ar"/>
              </w:rPr>
            </w:pPr>
            <w:r>
              <w:rPr>
                <w:rFonts w:hint="eastAsia" w:ascii="宋体" w:hAnsi="宋体" w:eastAsia="宋体" w:cs="宋体"/>
                <w:sz w:val="20"/>
                <w:szCs w:val="20"/>
                <w:lang w:bidi="ar"/>
              </w:rPr>
              <w:t>水面漂浮物</w:t>
            </w:r>
          </w:p>
        </w:tc>
        <w:tc>
          <w:tcPr>
            <w:tcW w:w="2437" w:type="dxa"/>
            <w:tcMar>
              <w:top w:w="15" w:type="dxa"/>
              <w:left w:w="15" w:type="dxa"/>
              <w:right w:w="15" w:type="dxa"/>
            </w:tcMar>
            <w:vAlign w:val="center"/>
          </w:tcPr>
          <w:p>
            <w:pPr>
              <w:snapToGrid w:val="0"/>
              <w:jc w:val="center"/>
              <w:textAlignment w:val="center"/>
              <w:rPr>
                <w:rFonts w:ascii="宋体" w:hAnsi="宋体" w:eastAsia="宋体" w:cs="宋体"/>
                <w:sz w:val="20"/>
                <w:szCs w:val="20"/>
                <w:lang w:bidi="ar"/>
              </w:rPr>
            </w:pPr>
            <w:r>
              <w:rPr>
                <w:rFonts w:hint="eastAsia" w:ascii="宋体" w:hAnsi="宋体" w:eastAsia="宋体" w:cs="宋体"/>
                <w:sz w:val="20"/>
                <w:szCs w:val="20"/>
                <w:lang w:bidi="ar"/>
              </w:rPr>
              <w:t>在放水建筑物附近堆积</w:t>
            </w:r>
          </w:p>
        </w:tc>
        <w:tc>
          <w:tcPr>
            <w:tcW w:w="2189" w:type="dxa"/>
            <w:tcMar>
              <w:top w:w="15" w:type="dxa"/>
              <w:left w:w="15" w:type="dxa"/>
              <w:right w:w="15" w:type="dxa"/>
            </w:tcMar>
            <w:vAlign w:val="center"/>
          </w:tcPr>
          <w:p>
            <w:pPr>
              <w:snapToGrid w:val="0"/>
              <w:jc w:val="center"/>
              <w:textAlignment w:val="center"/>
              <w:rPr>
                <w:rFonts w:ascii="宋体" w:hAnsi="宋体" w:eastAsia="宋体" w:cs="宋体"/>
                <w:sz w:val="20"/>
                <w:szCs w:val="20"/>
                <w:lang w:bidi="ar"/>
              </w:rPr>
            </w:pPr>
            <w:r>
              <w:rPr>
                <w:rFonts w:hint="eastAsia" w:ascii="宋体" w:hAnsi="宋体" w:eastAsia="宋体" w:cs="宋体"/>
                <w:sz w:val="20"/>
                <w:szCs w:val="20"/>
                <w:lang w:bidi="ar"/>
              </w:rPr>
              <w:t>影响工程运行安全</w:t>
            </w:r>
          </w:p>
        </w:tc>
        <w:tc>
          <w:tcPr>
            <w:tcW w:w="901" w:type="dxa"/>
            <w:noWrap/>
            <w:tcMar>
              <w:top w:w="15" w:type="dxa"/>
              <w:left w:w="15" w:type="dxa"/>
              <w:right w:w="15" w:type="dxa"/>
            </w:tcMar>
            <w:vAlign w:val="center"/>
          </w:tcPr>
          <w:p>
            <w:pPr>
              <w:snapToGrid w:val="0"/>
              <w:jc w:val="center"/>
              <w:textAlignment w:val="center"/>
              <w:rPr>
                <w:rFonts w:ascii="宋体" w:hAnsi="宋体" w:eastAsia="宋体" w:cs="宋体"/>
                <w:sz w:val="20"/>
                <w:szCs w:val="20"/>
                <w:lang w:bidi="ar"/>
              </w:rPr>
            </w:pPr>
            <w:r>
              <w:rPr>
                <w:rFonts w:hint="eastAsia" w:ascii="宋体" w:hAnsi="宋体" w:eastAsia="宋体" w:cs="宋体"/>
                <w:sz w:val="20"/>
                <w:szCs w:val="20"/>
                <w:lang w:bidi="ar"/>
              </w:rPr>
              <w:t>LS法</w:t>
            </w:r>
          </w:p>
        </w:tc>
        <w:tc>
          <w:tcPr>
            <w:tcW w:w="901" w:type="dxa"/>
            <w:tcMar>
              <w:top w:w="15" w:type="dxa"/>
              <w:left w:w="15" w:type="dxa"/>
              <w:right w:w="15" w:type="dxa"/>
            </w:tcMar>
            <w:vAlign w:val="center"/>
          </w:tcPr>
          <w:p>
            <w:pPr>
              <w:snapToGrid w:val="0"/>
              <w:jc w:val="center"/>
              <w:textAlignment w:val="center"/>
              <w:rPr>
                <w:rFonts w:ascii="宋体" w:hAnsi="宋体" w:eastAsia="宋体" w:cs="宋体"/>
                <w:sz w:val="20"/>
                <w:szCs w:val="20"/>
                <w:lang w:bidi="ar"/>
              </w:rPr>
            </w:pPr>
            <w:r>
              <w:rPr>
                <w:rFonts w:hint="eastAsia" w:ascii="宋体" w:hAnsi="宋体" w:eastAsia="宋体" w:cs="宋体"/>
                <w:sz w:val="20"/>
                <w:szCs w:val="20"/>
                <w:lang w:bidi="ar"/>
              </w:rPr>
              <w:t>5～30</w:t>
            </w:r>
          </w:p>
        </w:tc>
        <w:tc>
          <w:tcPr>
            <w:tcW w:w="721" w:type="dxa"/>
            <w:tcMar>
              <w:top w:w="15" w:type="dxa"/>
              <w:left w:w="15" w:type="dxa"/>
              <w:right w:w="15" w:type="dxa"/>
            </w:tcMar>
            <w:vAlign w:val="center"/>
          </w:tcPr>
          <w:p>
            <w:pPr>
              <w:widowControl w:val="0"/>
              <w:snapToGrid w:val="0"/>
              <w:jc w:val="center"/>
              <w:rPr>
                <w:rFonts w:ascii="宋体" w:hAnsi="宋体" w:eastAsia="宋体" w:cs="宋体"/>
                <w:kern w:val="2"/>
                <w:sz w:val="20"/>
                <w:szCs w:val="20"/>
              </w:rPr>
            </w:pPr>
            <w:r>
              <w:rPr>
                <w:rFonts w:hint="eastAsia" w:ascii="宋体" w:hAnsi="宋体" w:eastAsia="宋体" w:cs="宋体"/>
                <w:kern w:val="2"/>
                <w:sz w:val="20"/>
                <w:szCs w:val="20"/>
              </w:rPr>
              <w:t>/</w:t>
            </w:r>
          </w:p>
        </w:tc>
        <w:tc>
          <w:tcPr>
            <w:tcW w:w="781" w:type="dxa"/>
            <w:tcMar>
              <w:top w:w="15" w:type="dxa"/>
              <w:left w:w="15" w:type="dxa"/>
              <w:right w:w="15" w:type="dxa"/>
            </w:tcMar>
            <w:vAlign w:val="center"/>
          </w:tcPr>
          <w:p>
            <w:pPr>
              <w:snapToGrid w:val="0"/>
              <w:jc w:val="center"/>
              <w:textAlignment w:val="center"/>
              <w:rPr>
                <w:rFonts w:ascii="宋体" w:hAnsi="宋体" w:eastAsia="宋体" w:cs="宋体"/>
                <w:sz w:val="20"/>
                <w:szCs w:val="20"/>
                <w:lang w:bidi="ar"/>
              </w:rPr>
            </w:pPr>
            <w:r>
              <w:rPr>
                <w:rFonts w:hint="eastAsia" w:ascii="宋体" w:hAnsi="宋体" w:eastAsia="宋体" w:cs="宋体"/>
                <w:sz w:val="20"/>
                <w:szCs w:val="20"/>
                <w:lang w:bidi="ar"/>
              </w:rPr>
              <w:t>3～10</w:t>
            </w:r>
          </w:p>
        </w:tc>
        <w:tc>
          <w:tcPr>
            <w:tcW w:w="1021" w:type="dxa"/>
            <w:tcMar>
              <w:top w:w="15" w:type="dxa"/>
              <w:left w:w="15" w:type="dxa"/>
              <w:right w:w="15" w:type="dxa"/>
            </w:tcMar>
            <w:vAlign w:val="center"/>
          </w:tcPr>
          <w:p>
            <w:pPr>
              <w:snapToGrid w:val="0"/>
              <w:jc w:val="center"/>
              <w:textAlignment w:val="center"/>
              <w:rPr>
                <w:rFonts w:ascii="宋体" w:hAnsi="宋体" w:eastAsia="宋体" w:cs="宋体"/>
                <w:sz w:val="20"/>
                <w:szCs w:val="20"/>
                <w:lang w:bidi="ar"/>
              </w:rPr>
            </w:pPr>
            <w:r>
              <w:rPr>
                <w:rFonts w:hint="eastAsia" w:ascii="宋体" w:hAnsi="宋体" w:eastAsia="宋体" w:cs="宋体"/>
                <w:sz w:val="20"/>
                <w:szCs w:val="20"/>
                <w:lang w:bidi="ar"/>
              </w:rPr>
              <w:t>15～300</w:t>
            </w:r>
          </w:p>
        </w:tc>
        <w:tc>
          <w:tcPr>
            <w:tcW w:w="901" w:type="dxa"/>
            <w:tcMar>
              <w:top w:w="15" w:type="dxa"/>
              <w:left w:w="15" w:type="dxa"/>
              <w:right w:w="15" w:type="dxa"/>
            </w:tcMar>
            <w:vAlign w:val="center"/>
          </w:tcPr>
          <w:p>
            <w:pPr>
              <w:snapToGrid w:val="0"/>
              <w:jc w:val="center"/>
              <w:textAlignment w:val="center"/>
              <w:rPr>
                <w:rFonts w:ascii="宋体" w:hAnsi="宋体" w:eastAsia="宋体" w:cs="宋体"/>
                <w:sz w:val="20"/>
                <w:szCs w:val="20"/>
                <w:lang w:bidi="ar"/>
              </w:rPr>
            </w:pPr>
            <w:r>
              <w:rPr>
                <w:rFonts w:hint="eastAsia" w:ascii="宋体" w:hAnsi="宋体" w:eastAsia="宋体" w:cs="宋体"/>
                <w:sz w:val="20"/>
                <w:szCs w:val="20"/>
                <w:lang w:bidi="ar"/>
              </w:rPr>
              <w:t>低～较大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82" w:hRule="atLeast"/>
        </w:trPr>
        <w:tc>
          <w:tcPr>
            <w:tcW w:w="674" w:type="dxa"/>
            <w:noWrap/>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kern w:val="2"/>
                <w:sz w:val="20"/>
                <w:szCs w:val="20"/>
              </w:rPr>
              <w:t>3</w:t>
            </w:r>
            <w:r>
              <w:rPr>
                <w:rFonts w:ascii="宋体" w:hAnsi="宋体" w:eastAsia="宋体" w:cs="宋体"/>
                <w:kern w:val="2"/>
                <w:sz w:val="20"/>
                <w:szCs w:val="20"/>
              </w:rPr>
              <w:t>0</w:t>
            </w:r>
          </w:p>
        </w:tc>
        <w:tc>
          <w:tcPr>
            <w:tcW w:w="1095" w:type="dxa"/>
            <w:vMerge w:val="continue"/>
            <w:tcMar>
              <w:top w:w="15" w:type="dxa"/>
              <w:left w:w="15" w:type="dxa"/>
              <w:right w:w="15" w:type="dxa"/>
            </w:tcMar>
            <w:vAlign w:val="center"/>
          </w:tcPr>
          <w:p>
            <w:pPr>
              <w:widowControl w:val="0"/>
              <w:snapToGrid w:val="0"/>
              <w:jc w:val="center"/>
              <w:rPr>
                <w:rFonts w:ascii="宋体" w:hAnsi="宋体" w:eastAsia="宋体" w:cs="宋体"/>
                <w:kern w:val="2"/>
                <w:sz w:val="20"/>
                <w:szCs w:val="20"/>
              </w:rPr>
            </w:pPr>
          </w:p>
        </w:tc>
        <w:tc>
          <w:tcPr>
            <w:tcW w:w="1184" w:type="dxa"/>
            <w:vMerge w:val="continue"/>
            <w:tcMar>
              <w:top w:w="15" w:type="dxa"/>
              <w:left w:w="15" w:type="dxa"/>
              <w:right w:w="15" w:type="dxa"/>
            </w:tcMar>
            <w:vAlign w:val="center"/>
          </w:tcPr>
          <w:p>
            <w:pPr>
              <w:widowControl w:val="0"/>
              <w:snapToGrid w:val="0"/>
              <w:jc w:val="center"/>
              <w:rPr>
                <w:rFonts w:ascii="宋体" w:hAnsi="宋体" w:eastAsia="宋体" w:cs="宋体"/>
                <w:kern w:val="2"/>
                <w:sz w:val="20"/>
                <w:szCs w:val="20"/>
              </w:rPr>
            </w:pPr>
          </w:p>
        </w:tc>
        <w:tc>
          <w:tcPr>
            <w:tcW w:w="1607" w:type="dxa"/>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废弃物</w:t>
            </w:r>
          </w:p>
        </w:tc>
        <w:tc>
          <w:tcPr>
            <w:tcW w:w="2437" w:type="dxa"/>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违规倾倒</w:t>
            </w:r>
          </w:p>
        </w:tc>
        <w:tc>
          <w:tcPr>
            <w:tcW w:w="2189" w:type="dxa"/>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影响环境</w:t>
            </w:r>
          </w:p>
        </w:tc>
        <w:tc>
          <w:tcPr>
            <w:tcW w:w="901" w:type="dxa"/>
            <w:noWrap/>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LS法</w:t>
            </w:r>
          </w:p>
        </w:tc>
        <w:tc>
          <w:tcPr>
            <w:tcW w:w="901" w:type="dxa"/>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5～30</w:t>
            </w:r>
          </w:p>
        </w:tc>
        <w:tc>
          <w:tcPr>
            <w:tcW w:w="721" w:type="dxa"/>
            <w:tcMar>
              <w:top w:w="15" w:type="dxa"/>
              <w:left w:w="15" w:type="dxa"/>
              <w:right w:w="15" w:type="dxa"/>
            </w:tcMar>
            <w:vAlign w:val="center"/>
          </w:tcPr>
          <w:p>
            <w:pPr>
              <w:widowControl w:val="0"/>
              <w:snapToGrid w:val="0"/>
              <w:jc w:val="center"/>
              <w:rPr>
                <w:rFonts w:ascii="宋体" w:hAnsi="宋体" w:eastAsia="宋体" w:cs="宋体"/>
                <w:kern w:val="2"/>
                <w:sz w:val="20"/>
                <w:szCs w:val="20"/>
              </w:rPr>
            </w:pPr>
            <w:r>
              <w:rPr>
                <w:rFonts w:hint="eastAsia" w:ascii="宋体" w:hAnsi="宋体" w:eastAsia="宋体" w:cs="宋体"/>
                <w:kern w:val="2"/>
                <w:sz w:val="20"/>
                <w:szCs w:val="20"/>
              </w:rPr>
              <w:t>/</w:t>
            </w:r>
          </w:p>
        </w:tc>
        <w:tc>
          <w:tcPr>
            <w:tcW w:w="781" w:type="dxa"/>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3～10</w:t>
            </w:r>
          </w:p>
        </w:tc>
        <w:tc>
          <w:tcPr>
            <w:tcW w:w="1021" w:type="dxa"/>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15～300</w:t>
            </w:r>
          </w:p>
        </w:tc>
        <w:tc>
          <w:tcPr>
            <w:tcW w:w="901" w:type="dxa"/>
            <w:tcMar>
              <w:top w:w="15" w:type="dxa"/>
              <w:left w:w="15" w:type="dxa"/>
              <w:right w:w="15" w:type="dxa"/>
            </w:tcMar>
            <w:vAlign w:val="center"/>
          </w:tcPr>
          <w:p>
            <w:pPr>
              <w:snapToGrid w:val="0"/>
              <w:jc w:val="center"/>
              <w:textAlignment w:val="center"/>
              <w:rPr>
                <w:rFonts w:ascii="宋体" w:hAnsi="宋体" w:eastAsia="宋体" w:cs="宋体"/>
                <w:kern w:val="2"/>
                <w:sz w:val="20"/>
                <w:szCs w:val="20"/>
              </w:rPr>
            </w:pPr>
            <w:r>
              <w:rPr>
                <w:rFonts w:hint="eastAsia" w:ascii="宋体" w:hAnsi="宋体" w:eastAsia="宋体" w:cs="宋体"/>
                <w:sz w:val="20"/>
                <w:szCs w:val="20"/>
                <w:lang w:bidi="ar"/>
              </w:rPr>
              <w:t>低～较大</w:t>
            </w:r>
          </w:p>
        </w:tc>
      </w:tr>
    </w:tbl>
    <w:p>
      <w:pPr>
        <w:widowControl w:val="0"/>
        <w:rPr>
          <w:rFonts w:ascii="仿宋" w:hAnsi="仿宋" w:eastAsia="仿宋" w:cs="仿宋"/>
          <w:kern w:val="2"/>
        </w:rPr>
      </w:pPr>
    </w:p>
    <w:p>
      <w:pPr>
        <w:rPr>
          <w:rFonts w:asciiTheme="minorEastAsia" w:hAnsiTheme="minorEastAsia" w:eastAsiaTheme="minorEastAsia"/>
          <w:sz w:val="21"/>
          <w:szCs w:val="21"/>
        </w:rPr>
      </w:pPr>
    </w:p>
    <w:p>
      <w:pPr>
        <w:rPr>
          <w:rFonts w:asciiTheme="minorEastAsia" w:hAnsiTheme="minorEastAsia" w:eastAsiaTheme="minorEastAsia"/>
          <w:sz w:val="21"/>
          <w:szCs w:val="21"/>
        </w:rPr>
        <w:sectPr>
          <w:pgSz w:w="16838" w:h="11906" w:orient="landscape"/>
          <w:pgMar w:top="1797" w:right="1440" w:bottom="1797" w:left="1440" w:header="851" w:footer="992" w:gutter="0"/>
          <w:cols w:space="425" w:num="1"/>
          <w:docGrid w:type="lines" w:linePitch="435" w:charSpace="0"/>
        </w:sectPr>
      </w:pPr>
    </w:p>
    <w:p>
      <w:pPr>
        <w:jc w:val="center"/>
        <w:outlineLvl w:val="0"/>
        <w:rPr>
          <w:rFonts w:ascii="方正小标宋_GBK" w:hAnsi="黑体" w:eastAsia="方正小标宋_GBK"/>
          <w:b/>
          <w:bCs/>
          <w:sz w:val="28"/>
          <w:szCs w:val="28"/>
        </w:rPr>
      </w:pPr>
      <w:bookmarkStart w:id="143" w:name="_Toc117541321"/>
      <w:bookmarkStart w:id="144" w:name="_Toc119336602"/>
      <w:bookmarkStart w:id="145" w:name="_Hlk117456442"/>
      <w:r>
        <w:rPr>
          <w:rFonts w:hint="eastAsia" w:ascii="方正小标宋_GBK" w:hAnsi="黑体" w:eastAsia="方正小标宋_GBK"/>
          <w:b/>
          <w:bCs/>
          <w:sz w:val="28"/>
          <w:szCs w:val="28"/>
        </w:rPr>
        <w:t>附录B.1</w:t>
      </w:r>
      <w:bookmarkEnd w:id="143"/>
      <w:bookmarkEnd w:id="144"/>
      <w:bookmarkEnd w:id="145"/>
    </w:p>
    <w:p>
      <w:pPr>
        <w:jc w:val="center"/>
        <w:rPr>
          <w:rFonts w:ascii="方正小标宋_GBK" w:hAnsi="黑体" w:eastAsia="方正小标宋_GBK"/>
          <w:b/>
          <w:bCs/>
          <w:sz w:val="28"/>
          <w:szCs w:val="28"/>
        </w:rPr>
      </w:pPr>
      <w:r>
        <w:rPr>
          <w:rFonts w:hint="eastAsia" w:ascii="方正小标宋_GBK" w:hAnsi="黑体" w:eastAsia="方正小标宋_GBK"/>
          <w:b/>
          <w:bCs/>
          <w:sz w:val="28"/>
          <w:szCs w:val="28"/>
        </w:rPr>
        <w:t>（资料性附录）</w:t>
      </w:r>
    </w:p>
    <w:p>
      <w:pPr>
        <w:jc w:val="center"/>
        <w:rPr>
          <w:rFonts w:ascii="方正小标宋_GBK" w:hAnsi="黑体" w:eastAsia="方正小标宋_GBK"/>
          <w:b/>
          <w:bCs/>
          <w:sz w:val="28"/>
          <w:szCs w:val="28"/>
        </w:rPr>
      </w:pPr>
    </w:p>
    <w:p>
      <w:pPr>
        <w:jc w:val="center"/>
        <w:outlineLvl w:val="1"/>
        <w:rPr>
          <w:rFonts w:ascii="方正小标宋_GBK" w:hAnsi="黑体" w:eastAsia="方正小标宋_GBK"/>
          <w:b/>
          <w:bCs/>
          <w:sz w:val="28"/>
          <w:szCs w:val="28"/>
        </w:rPr>
      </w:pPr>
      <w:bookmarkStart w:id="146" w:name="_Toc119336603"/>
      <w:bookmarkStart w:id="147" w:name="_Toc117541322"/>
      <w:r>
        <w:rPr>
          <w:rFonts w:hint="eastAsia" w:ascii="方正小标宋_GBK" w:hAnsi="黑体" w:eastAsia="方正小标宋_GBK"/>
          <w:b/>
          <w:bCs/>
          <w:sz w:val="28"/>
          <w:szCs w:val="28"/>
        </w:rPr>
        <w:t>危险源辨识方法</w:t>
      </w:r>
      <w:bookmarkEnd w:id="146"/>
      <w:bookmarkEnd w:id="147"/>
    </w:p>
    <w:p>
      <w:pPr>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危险源辨识方法分为直接询问法和系统安全分析方法。包括但不限于以下几种：</w:t>
      </w:r>
    </w:p>
    <w:p>
      <w:pPr>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直接询问法。询问、交谈：到生产一线找从业或知情人员，带着问题询问他们，与他们交流，引导他们谈生产、生活中的不安全健康的因素。可初步分析出工作、生活中所存在的危险源及其风险。</w:t>
      </w:r>
    </w:p>
    <w:p>
      <w:pPr>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现场观察法。通过对工作环境的现场观察，可发现存在的危险源。从事现场观察的人员，要求具有安全技术知识和掌握了完善的职业健康安全法规、标准。</w:t>
      </w:r>
    </w:p>
    <w:p>
      <w:pPr>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查阅有关记录：对现场观察不到的隐性事项，查阅有关记录，可从中发现存在的危险源及其风险。</w:t>
      </w:r>
    </w:p>
    <w:p>
      <w:pPr>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获取外部信息。从有关组织、文献资料、专家咨询、各类网站等方面获取有关危险源信息，加以分析研究，可辨识出组织存在的危险源及其风险。信息内容可包括：国家法律法规、安全生产标准、各级政府文件、有关安全公告、自然灾害预警等。</w:t>
      </w:r>
    </w:p>
    <w:p>
      <w:pPr>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对照、经验法。对照有关标准、法规、检查表或依靠分析人员的观察分析能力，借助于经验和判断能力直观对评价对象的危险、有害因素进行分析的方法。经验法是辨识中常用的方法，其优点是简便易行，缺点是受辨识人员知识、经验、占有资料的限制，可能出现遗漏、偏颇。</w:t>
      </w:r>
    </w:p>
    <w:p>
      <w:pPr>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类比方法。利用相同或相似系统或作业条件的经验和职业安全卫生的统计资料来类推、分析评价对象的危险、有害因素，多用于危害因素和作业条件的危险因素辨识过程。</w:t>
      </w:r>
    </w:p>
    <w:p>
      <w:pPr>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工作任务分析。通过分析组织成员工作任务中所涉及的危害，可识别出有关的危险源及其风险。</w:t>
      </w:r>
    </w:p>
    <w:p>
      <w:pPr>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安全检查表分析法（SCL）。为了系统地找出系统中的不安全因素，把系统加以剖析，查出各层次的不安全因素，然后确定检查项目，以提问的方式把检查项目按系统的组成顺序 编制成表，以便进行检查或评审。设备设施、物料(原辅材料、危险物质)及其他危险源采用安全检查表等。运用己编制好的安全检查表，对组织进行系统的安全检查，可辨识出存在的危险源。</w:t>
      </w:r>
    </w:p>
    <w:p>
      <w:pPr>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预先危险性分析（PHA）。是在每项生产活动之前，特别是在设计的开始阶段，对系统存在的危险类别、出现条件、事故后果等进行概略地分析，尽可能评价出潜在的危险性。</w:t>
      </w:r>
    </w:p>
    <w:p>
      <w:pPr>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作业危害分析法（JHA）。通过分析组织成员工作任务作业活动中所涉及的危害，可识 别出有关的危险源。方法简单易行，较为直观，分析过程简单，没有复杂的理论推理，便于在班组基层推广。</w:t>
      </w:r>
    </w:p>
    <w:p>
      <w:pPr>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复杂的工艺宜采用危险与可操作性分析法（HAZOP）、事故树分析法(FTA)等，简单的生产经营单位宜采用简单、直接、便于操作的方法。</w:t>
      </w:r>
    </w:p>
    <w:p>
      <w:pPr>
        <w:ind w:firstLine="560" w:firstLineChars="200"/>
        <w:rPr>
          <w:rFonts w:asciiTheme="minorEastAsia" w:hAnsiTheme="minorEastAsia" w:eastAsiaTheme="minorEastAsia"/>
          <w:sz w:val="28"/>
          <w:szCs w:val="28"/>
        </w:rPr>
        <w:sectPr>
          <w:footerReference r:id="rId4" w:type="default"/>
          <w:pgSz w:w="11906" w:h="16838"/>
          <w:pgMar w:top="1440" w:right="1797" w:bottom="1440" w:left="1797" w:header="851" w:footer="992" w:gutter="0"/>
          <w:cols w:space="425" w:num="1"/>
          <w:docGrid w:type="lines" w:linePitch="435" w:charSpace="0"/>
        </w:sectPr>
      </w:pPr>
      <w:r>
        <w:rPr>
          <w:rFonts w:hint="eastAsia" w:asciiTheme="minorEastAsia" w:hAnsiTheme="minorEastAsia" w:eastAsiaTheme="minorEastAsia"/>
          <w:sz w:val="28"/>
          <w:szCs w:val="28"/>
        </w:rPr>
        <w:t>辨识危险源过程中使用一种方法往往还不能全面地识别其所存在的危险源，可以综合地运用两种或两种以上方法。推荐参考使用《企业职工伤亡事故分类》（GB6441-1986）中的 20 类事故引导危险源辨识分析。</w:t>
      </w:r>
    </w:p>
    <w:p>
      <w:pPr>
        <w:jc w:val="center"/>
        <w:outlineLvl w:val="0"/>
        <w:rPr>
          <w:rFonts w:ascii="方正小标宋_GBK" w:hAnsi="黑体" w:eastAsia="方正小标宋_GBK"/>
          <w:b/>
          <w:bCs/>
          <w:sz w:val="28"/>
          <w:szCs w:val="28"/>
        </w:rPr>
      </w:pPr>
      <w:bookmarkStart w:id="148" w:name="_Toc117541323"/>
      <w:bookmarkStart w:id="149" w:name="_Toc119336604"/>
      <w:bookmarkStart w:id="150" w:name="_Hlk117456516"/>
      <w:r>
        <w:rPr>
          <w:rFonts w:hint="eastAsia" w:ascii="方正小标宋_GBK" w:hAnsi="黑体" w:eastAsia="方正小标宋_GBK"/>
          <w:b/>
          <w:bCs/>
          <w:sz w:val="28"/>
          <w:szCs w:val="28"/>
        </w:rPr>
        <w:t>附录B.2</w:t>
      </w:r>
      <w:bookmarkEnd w:id="148"/>
      <w:bookmarkEnd w:id="149"/>
    </w:p>
    <w:p>
      <w:pPr>
        <w:jc w:val="center"/>
        <w:rPr>
          <w:rFonts w:ascii="方正小标宋_GBK" w:hAnsi="黑体" w:eastAsia="方正小标宋_GBK"/>
          <w:b/>
          <w:bCs/>
          <w:sz w:val="28"/>
          <w:szCs w:val="28"/>
        </w:rPr>
      </w:pPr>
      <w:r>
        <w:rPr>
          <w:rFonts w:hint="eastAsia" w:ascii="方正小标宋_GBK" w:hAnsi="黑体" w:eastAsia="方正小标宋_GBK"/>
          <w:b/>
          <w:bCs/>
          <w:sz w:val="28"/>
          <w:szCs w:val="28"/>
        </w:rPr>
        <w:t>（资料性附录）</w:t>
      </w:r>
    </w:p>
    <w:p>
      <w:pPr>
        <w:jc w:val="center"/>
        <w:outlineLvl w:val="1"/>
        <w:rPr>
          <w:rFonts w:ascii="Times New Roman" w:eastAsia="等线"/>
          <w:sz w:val="20"/>
          <w:szCs w:val="20"/>
        </w:rPr>
      </w:pPr>
      <w:bookmarkStart w:id="151" w:name="_Toc117541324"/>
      <w:bookmarkStart w:id="152" w:name="_Toc119336605"/>
      <w:r>
        <w:rPr>
          <w:rFonts w:hint="eastAsia" w:ascii="方正小标宋_GBK" w:hAnsi="黑体" w:eastAsia="方正小标宋_GBK"/>
          <w:b/>
          <w:bCs/>
          <w:sz w:val="28"/>
          <w:szCs w:val="28"/>
        </w:rPr>
        <w:t>危险源种类示例</w:t>
      </w:r>
      <w:bookmarkEnd w:id="150"/>
      <w:bookmarkEnd w:id="151"/>
      <w:bookmarkEnd w:id="152"/>
    </w:p>
    <w:p>
      <w:pPr>
        <w:widowControl w:val="0"/>
        <w:kinsoku w:val="0"/>
        <w:overflowPunct w:val="0"/>
        <w:autoSpaceDE w:val="0"/>
        <w:autoSpaceDN w:val="0"/>
        <w:adjustRightInd w:val="0"/>
        <w:spacing w:line="200" w:lineRule="exact"/>
        <w:jc w:val="left"/>
        <w:rPr>
          <w:rFonts w:ascii="Times New Roman" w:eastAsia="等线"/>
          <w:sz w:val="20"/>
          <w:szCs w:val="20"/>
        </w:rPr>
      </w:pPr>
    </w:p>
    <w:tbl>
      <w:tblPr>
        <w:tblStyle w:val="3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706"/>
        <w:gridCol w:w="2984"/>
        <w:gridCol w:w="46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424" w:type="pct"/>
            <w:vAlign w:val="center"/>
          </w:tcPr>
          <w:p>
            <w:pPr>
              <w:widowControl w:val="0"/>
              <w:overflowPunct w:val="0"/>
              <w:autoSpaceDE w:val="0"/>
              <w:autoSpaceDN w:val="0"/>
              <w:adjustRightInd w:val="0"/>
              <w:spacing w:line="240" w:lineRule="exact"/>
              <w:jc w:val="center"/>
              <w:rPr>
                <w:rFonts w:asciiTheme="minorEastAsia" w:hAnsiTheme="minorEastAsia" w:eastAsiaTheme="minorEastAsia"/>
                <w:b/>
                <w:sz w:val="21"/>
                <w:szCs w:val="21"/>
              </w:rPr>
            </w:pPr>
            <w:r>
              <w:rPr>
                <w:rFonts w:hint="eastAsia" w:cs="宋体" w:asciiTheme="minorEastAsia" w:hAnsiTheme="minorEastAsia" w:eastAsiaTheme="minorEastAsia"/>
                <w:b/>
                <w:w w:val="105"/>
                <w:sz w:val="21"/>
                <w:szCs w:val="21"/>
              </w:rPr>
              <w:t>危险源</w:t>
            </w:r>
          </w:p>
        </w:tc>
        <w:tc>
          <w:tcPr>
            <w:tcW w:w="1793" w:type="pct"/>
            <w:vAlign w:val="center"/>
          </w:tcPr>
          <w:p>
            <w:pPr>
              <w:widowControl w:val="0"/>
              <w:tabs>
                <w:tab w:val="left" w:pos="539"/>
              </w:tabs>
              <w:overflowPunct w:val="0"/>
              <w:autoSpaceDE w:val="0"/>
              <w:autoSpaceDN w:val="0"/>
              <w:adjustRightInd w:val="0"/>
              <w:spacing w:line="240" w:lineRule="exact"/>
              <w:jc w:val="center"/>
              <w:rPr>
                <w:rFonts w:asciiTheme="minorEastAsia" w:hAnsiTheme="minorEastAsia" w:eastAsiaTheme="minorEastAsia"/>
                <w:b/>
                <w:sz w:val="21"/>
                <w:szCs w:val="21"/>
              </w:rPr>
            </w:pPr>
            <w:r>
              <w:rPr>
                <w:rFonts w:hint="eastAsia" w:cs="宋体" w:asciiTheme="minorEastAsia" w:hAnsiTheme="minorEastAsia" w:eastAsiaTheme="minorEastAsia"/>
                <w:b/>
                <w:w w:val="115"/>
                <w:sz w:val="21"/>
                <w:szCs w:val="21"/>
              </w:rPr>
              <w:t>种</w:t>
            </w:r>
            <w:r>
              <w:rPr>
                <w:rFonts w:cs="宋体" w:asciiTheme="minorEastAsia" w:hAnsiTheme="minorEastAsia" w:eastAsiaTheme="minorEastAsia"/>
                <w:b/>
                <w:w w:val="115"/>
                <w:sz w:val="21"/>
                <w:szCs w:val="21"/>
              </w:rPr>
              <w:t xml:space="preserve">   </w:t>
            </w:r>
            <w:r>
              <w:rPr>
                <w:rFonts w:hint="eastAsia" w:cs="宋体" w:asciiTheme="minorEastAsia" w:hAnsiTheme="minorEastAsia" w:eastAsiaTheme="minorEastAsia"/>
                <w:b/>
                <w:w w:val="115"/>
                <w:sz w:val="21"/>
                <w:szCs w:val="21"/>
              </w:rPr>
              <w:t>类</w:t>
            </w:r>
          </w:p>
        </w:tc>
        <w:tc>
          <w:tcPr>
            <w:tcW w:w="2783" w:type="pct"/>
            <w:vAlign w:val="center"/>
          </w:tcPr>
          <w:p>
            <w:pPr>
              <w:widowControl w:val="0"/>
              <w:tabs>
                <w:tab w:val="left" w:pos="566"/>
              </w:tabs>
              <w:overflowPunct w:val="0"/>
              <w:autoSpaceDE w:val="0"/>
              <w:autoSpaceDN w:val="0"/>
              <w:adjustRightInd w:val="0"/>
              <w:spacing w:line="240" w:lineRule="exact"/>
              <w:jc w:val="center"/>
              <w:rPr>
                <w:rFonts w:asciiTheme="minorEastAsia" w:hAnsiTheme="minorEastAsia" w:eastAsiaTheme="minorEastAsia"/>
                <w:b/>
                <w:sz w:val="21"/>
                <w:szCs w:val="21"/>
              </w:rPr>
            </w:pPr>
            <w:r>
              <w:rPr>
                <w:rFonts w:hint="eastAsia" w:cs="宋体" w:asciiTheme="minorEastAsia" w:hAnsiTheme="minorEastAsia" w:eastAsiaTheme="minorEastAsia"/>
                <w:b/>
                <w:w w:val="90"/>
                <w:sz w:val="21"/>
                <w:szCs w:val="21"/>
              </w:rPr>
              <w:t xml:space="preserve">示 </w:t>
            </w:r>
            <w:r>
              <w:rPr>
                <w:rFonts w:cs="宋体" w:asciiTheme="minorEastAsia" w:hAnsiTheme="minorEastAsia" w:eastAsiaTheme="minorEastAsia"/>
                <w:b/>
                <w:w w:val="90"/>
                <w:sz w:val="21"/>
                <w:szCs w:val="21"/>
              </w:rPr>
              <w:t xml:space="preserve">   </w:t>
            </w:r>
            <w:r>
              <w:rPr>
                <w:rFonts w:hint="eastAsia" w:cs="宋体" w:asciiTheme="minorEastAsia" w:hAnsiTheme="minorEastAsia" w:eastAsiaTheme="minorEastAsia"/>
                <w:b/>
                <w:w w:val="90"/>
                <w:sz w:val="21"/>
                <w:szCs w:val="21"/>
              </w:rPr>
              <w:t>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424" w:type="pct"/>
            <w:vMerge w:val="restart"/>
            <w:vAlign w:val="center"/>
          </w:tcPr>
          <w:p>
            <w:pPr>
              <w:widowControl w:val="0"/>
              <w:overflowPunct w:val="0"/>
              <w:autoSpaceDE w:val="0"/>
              <w:autoSpaceDN w:val="0"/>
              <w:adjustRightInd w:val="0"/>
              <w:spacing w:line="240" w:lineRule="exact"/>
              <w:jc w:val="center"/>
              <w:rPr>
                <w:rFonts w:asciiTheme="minorEastAsia" w:hAnsiTheme="minorEastAsia" w:eastAsiaTheme="minorEastAsia"/>
                <w:sz w:val="21"/>
                <w:szCs w:val="21"/>
              </w:rPr>
            </w:pPr>
            <w:r>
              <w:rPr>
                <w:rFonts w:hint="eastAsia" w:cs="宋体" w:asciiTheme="minorEastAsia" w:hAnsiTheme="minorEastAsia" w:eastAsiaTheme="minorEastAsia"/>
                <w:w w:val="105"/>
                <w:sz w:val="21"/>
                <w:szCs w:val="21"/>
              </w:rPr>
              <w:t>第一类</w:t>
            </w:r>
          </w:p>
          <w:p>
            <w:pPr>
              <w:widowControl w:val="0"/>
              <w:overflowPunct w:val="0"/>
              <w:autoSpaceDE w:val="0"/>
              <w:autoSpaceDN w:val="0"/>
              <w:adjustRightInd w:val="0"/>
              <w:spacing w:line="240" w:lineRule="exact"/>
              <w:jc w:val="center"/>
              <w:rPr>
                <w:rFonts w:asciiTheme="minorEastAsia" w:hAnsiTheme="minorEastAsia" w:eastAsiaTheme="minorEastAsia"/>
                <w:sz w:val="21"/>
                <w:szCs w:val="21"/>
              </w:rPr>
            </w:pPr>
            <w:r>
              <w:rPr>
                <w:rFonts w:hint="eastAsia" w:cs="宋体" w:asciiTheme="minorEastAsia" w:hAnsiTheme="minorEastAsia" w:eastAsiaTheme="minorEastAsia"/>
                <w:w w:val="105"/>
                <w:sz w:val="21"/>
                <w:szCs w:val="21"/>
              </w:rPr>
              <w:t>危险源</w:t>
            </w:r>
          </w:p>
        </w:tc>
        <w:tc>
          <w:tcPr>
            <w:tcW w:w="1793" w:type="pct"/>
            <w:vAlign w:val="center"/>
          </w:tcPr>
          <w:p>
            <w:pPr>
              <w:widowControl w:val="0"/>
              <w:overflowPunct w:val="0"/>
              <w:autoSpaceDE w:val="0"/>
              <w:autoSpaceDN w:val="0"/>
              <w:adjustRightInd w:val="0"/>
              <w:spacing w:line="240" w:lineRule="exact"/>
              <w:jc w:val="left"/>
              <w:rPr>
                <w:rFonts w:asciiTheme="minorEastAsia" w:hAnsiTheme="minorEastAsia" w:eastAsiaTheme="minorEastAsia"/>
                <w:sz w:val="21"/>
                <w:szCs w:val="21"/>
              </w:rPr>
            </w:pPr>
            <w:r>
              <w:rPr>
                <w:rFonts w:hint="eastAsia" w:cs="宋体" w:asciiTheme="minorEastAsia" w:hAnsiTheme="minorEastAsia" w:eastAsiaTheme="minorEastAsia"/>
                <w:w w:val="105"/>
                <w:sz w:val="21"/>
                <w:szCs w:val="21"/>
              </w:rPr>
              <w:t>产生及供给能量的设备、装置</w:t>
            </w:r>
          </w:p>
        </w:tc>
        <w:tc>
          <w:tcPr>
            <w:tcW w:w="2783" w:type="pct"/>
            <w:vAlign w:val="center"/>
          </w:tcPr>
          <w:p>
            <w:pPr>
              <w:widowControl w:val="0"/>
              <w:overflowPunct w:val="0"/>
              <w:autoSpaceDE w:val="0"/>
              <w:autoSpaceDN w:val="0"/>
              <w:adjustRightInd w:val="0"/>
              <w:spacing w:line="240" w:lineRule="exact"/>
              <w:rPr>
                <w:rFonts w:asciiTheme="minorEastAsia" w:hAnsiTheme="minorEastAsia" w:eastAsiaTheme="minorEastAsia"/>
                <w:sz w:val="21"/>
                <w:szCs w:val="21"/>
              </w:rPr>
            </w:pPr>
            <w:r>
              <w:rPr>
                <w:rFonts w:hint="eastAsia" w:cs="宋体" w:asciiTheme="minorEastAsia" w:hAnsiTheme="minorEastAsia" w:eastAsiaTheme="minorEastAsia"/>
                <w:w w:val="105"/>
                <w:sz w:val="21"/>
                <w:szCs w:val="21"/>
              </w:rPr>
              <w:t>工作中发电机、变压器，油罐等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424" w:type="pct"/>
            <w:vMerge w:val="continue"/>
            <w:vAlign w:val="center"/>
          </w:tcPr>
          <w:p>
            <w:pPr>
              <w:widowControl w:val="0"/>
              <w:overflowPunct w:val="0"/>
              <w:autoSpaceDE w:val="0"/>
              <w:autoSpaceDN w:val="0"/>
              <w:adjustRightInd w:val="0"/>
              <w:spacing w:line="240" w:lineRule="exact"/>
              <w:jc w:val="center"/>
              <w:rPr>
                <w:rFonts w:asciiTheme="minorEastAsia" w:hAnsiTheme="minorEastAsia" w:eastAsiaTheme="minorEastAsia"/>
                <w:sz w:val="21"/>
                <w:szCs w:val="21"/>
              </w:rPr>
            </w:pPr>
          </w:p>
        </w:tc>
        <w:tc>
          <w:tcPr>
            <w:tcW w:w="1793" w:type="pct"/>
            <w:vAlign w:val="center"/>
          </w:tcPr>
          <w:p>
            <w:pPr>
              <w:widowControl w:val="0"/>
              <w:overflowPunct w:val="0"/>
              <w:autoSpaceDE w:val="0"/>
              <w:autoSpaceDN w:val="0"/>
              <w:adjustRightInd w:val="0"/>
              <w:spacing w:line="240" w:lineRule="exact"/>
              <w:jc w:val="left"/>
              <w:rPr>
                <w:rFonts w:asciiTheme="minorEastAsia" w:hAnsiTheme="minorEastAsia" w:eastAsiaTheme="minorEastAsia"/>
                <w:sz w:val="21"/>
                <w:szCs w:val="21"/>
              </w:rPr>
            </w:pPr>
            <w:r>
              <w:rPr>
                <w:rFonts w:hint="eastAsia" w:cs="宋体" w:asciiTheme="minorEastAsia" w:hAnsiTheme="minorEastAsia" w:eastAsiaTheme="minorEastAsia"/>
                <w:w w:val="105"/>
                <w:sz w:val="21"/>
                <w:szCs w:val="21"/>
              </w:rPr>
              <w:t>能量载体</w:t>
            </w:r>
          </w:p>
        </w:tc>
        <w:tc>
          <w:tcPr>
            <w:tcW w:w="2783" w:type="pct"/>
            <w:vAlign w:val="center"/>
          </w:tcPr>
          <w:p>
            <w:pPr>
              <w:widowControl w:val="0"/>
              <w:overflowPunct w:val="0"/>
              <w:autoSpaceDE w:val="0"/>
              <w:autoSpaceDN w:val="0"/>
              <w:adjustRightInd w:val="0"/>
              <w:spacing w:line="240" w:lineRule="exact"/>
              <w:rPr>
                <w:rFonts w:asciiTheme="minorEastAsia" w:hAnsiTheme="minorEastAsia" w:eastAsiaTheme="minorEastAsia"/>
                <w:sz w:val="21"/>
                <w:szCs w:val="21"/>
              </w:rPr>
            </w:pPr>
            <w:r>
              <w:rPr>
                <w:rFonts w:hint="eastAsia" w:cs="宋体" w:asciiTheme="minorEastAsia" w:hAnsiTheme="minorEastAsia" w:eastAsiaTheme="minorEastAsia"/>
                <w:w w:val="105"/>
                <w:sz w:val="21"/>
                <w:szCs w:val="21"/>
              </w:rPr>
              <w:t>带电的导体</w:t>
            </w:r>
            <w:r>
              <w:rPr>
                <w:rFonts w:cs="宋体" w:asciiTheme="minorEastAsia" w:hAnsiTheme="minorEastAsia" w:eastAsiaTheme="minorEastAsia"/>
                <w:w w:val="105"/>
                <w:sz w:val="21"/>
                <w:szCs w:val="21"/>
              </w:rPr>
              <w:t>(</w:t>
            </w:r>
            <w:r>
              <w:rPr>
                <w:rFonts w:hint="eastAsia" w:cs="宋体" w:asciiTheme="minorEastAsia" w:hAnsiTheme="minorEastAsia" w:eastAsiaTheme="minorEastAsia"/>
                <w:w w:val="105"/>
                <w:sz w:val="21"/>
                <w:szCs w:val="21"/>
              </w:rPr>
              <w:t>电能)、行驶中的车辆</w:t>
            </w:r>
            <w:r>
              <w:rPr>
                <w:rFonts w:cs="宋体" w:asciiTheme="minorEastAsia" w:hAnsiTheme="minorEastAsia" w:eastAsiaTheme="minorEastAsia"/>
                <w:w w:val="105"/>
                <w:sz w:val="21"/>
                <w:szCs w:val="21"/>
              </w:rPr>
              <w:t>(</w:t>
            </w:r>
            <w:r>
              <w:rPr>
                <w:rFonts w:hint="eastAsia" w:cs="宋体" w:asciiTheme="minorEastAsia" w:hAnsiTheme="minorEastAsia" w:eastAsiaTheme="minorEastAsia"/>
                <w:w w:val="105"/>
                <w:sz w:val="21"/>
                <w:szCs w:val="21"/>
              </w:rPr>
              <w:t>动能)、运转的皮带、运转的球磨机等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424" w:type="pct"/>
            <w:vMerge w:val="continue"/>
            <w:vAlign w:val="center"/>
          </w:tcPr>
          <w:p>
            <w:pPr>
              <w:widowControl w:val="0"/>
              <w:overflowPunct w:val="0"/>
              <w:autoSpaceDE w:val="0"/>
              <w:autoSpaceDN w:val="0"/>
              <w:adjustRightInd w:val="0"/>
              <w:spacing w:line="240" w:lineRule="exact"/>
              <w:jc w:val="center"/>
              <w:rPr>
                <w:rFonts w:asciiTheme="minorEastAsia" w:hAnsiTheme="minorEastAsia" w:eastAsiaTheme="minorEastAsia"/>
                <w:sz w:val="21"/>
                <w:szCs w:val="21"/>
              </w:rPr>
            </w:pPr>
          </w:p>
        </w:tc>
        <w:tc>
          <w:tcPr>
            <w:tcW w:w="1793" w:type="pct"/>
            <w:vAlign w:val="center"/>
          </w:tcPr>
          <w:p>
            <w:pPr>
              <w:widowControl w:val="0"/>
              <w:overflowPunct w:val="0"/>
              <w:autoSpaceDE w:val="0"/>
              <w:autoSpaceDN w:val="0"/>
              <w:adjustRightInd w:val="0"/>
              <w:spacing w:line="240" w:lineRule="exact"/>
              <w:jc w:val="left"/>
              <w:rPr>
                <w:rFonts w:asciiTheme="minorEastAsia" w:hAnsiTheme="minorEastAsia" w:eastAsiaTheme="minorEastAsia"/>
                <w:sz w:val="21"/>
                <w:szCs w:val="21"/>
              </w:rPr>
            </w:pPr>
            <w:r>
              <w:rPr>
                <w:rFonts w:hint="eastAsia" w:cs="宋体" w:asciiTheme="minorEastAsia" w:hAnsiTheme="minorEastAsia" w:eastAsiaTheme="minorEastAsia"/>
                <w:w w:val="105"/>
                <w:sz w:val="21"/>
                <w:szCs w:val="21"/>
              </w:rPr>
              <w:t>一旦失控可能产生巨大能量的装置、设各或</w:t>
            </w:r>
            <w:r>
              <w:rPr>
                <w:rFonts w:hint="eastAsia" w:cs="宋体" w:asciiTheme="minorEastAsia" w:hAnsiTheme="minorEastAsia" w:eastAsiaTheme="minorEastAsia"/>
                <w:w w:val="110"/>
                <w:sz w:val="21"/>
                <w:szCs w:val="21"/>
              </w:rPr>
              <w:t>场所</w:t>
            </w:r>
          </w:p>
        </w:tc>
        <w:tc>
          <w:tcPr>
            <w:tcW w:w="2783" w:type="pct"/>
            <w:vAlign w:val="center"/>
          </w:tcPr>
          <w:p>
            <w:pPr>
              <w:widowControl w:val="0"/>
              <w:overflowPunct w:val="0"/>
              <w:autoSpaceDE w:val="0"/>
              <w:autoSpaceDN w:val="0"/>
              <w:adjustRightInd w:val="0"/>
              <w:spacing w:line="240" w:lineRule="exact"/>
              <w:rPr>
                <w:rFonts w:asciiTheme="minorEastAsia" w:hAnsiTheme="minorEastAsia" w:eastAsiaTheme="minorEastAsia"/>
                <w:sz w:val="21"/>
                <w:szCs w:val="21"/>
              </w:rPr>
            </w:pPr>
            <w:r>
              <w:rPr>
                <w:rFonts w:hint="eastAsia" w:cs="宋体" w:asciiTheme="minorEastAsia" w:hAnsiTheme="minorEastAsia" w:eastAsiaTheme="minorEastAsia"/>
                <w:w w:val="105"/>
                <w:sz w:val="21"/>
                <w:szCs w:val="21"/>
              </w:rPr>
              <w:t>强烈放热反应的化工装置、煤气发生炉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424" w:type="pct"/>
            <w:vMerge w:val="continue"/>
            <w:vAlign w:val="center"/>
          </w:tcPr>
          <w:p>
            <w:pPr>
              <w:widowControl w:val="0"/>
              <w:overflowPunct w:val="0"/>
              <w:autoSpaceDE w:val="0"/>
              <w:autoSpaceDN w:val="0"/>
              <w:adjustRightInd w:val="0"/>
              <w:spacing w:line="240" w:lineRule="exact"/>
              <w:jc w:val="center"/>
              <w:rPr>
                <w:rFonts w:asciiTheme="minorEastAsia" w:hAnsiTheme="minorEastAsia" w:eastAsiaTheme="minorEastAsia"/>
                <w:sz w:val="21"/>
                <w:szCs w:val="21"/>
              </w:rPr>
            </w:pPr>
          </w:p>
        </w:tc>
        <w:tc>
          <w:tcPr>
            <w:tcW w:w="1793" w:type="pct"/>
            <w:vAlign w:val="center"/>
          </w:tcPr>
          <w:p>
            <w:pPr>
              <w:widowControl w:val="0"/>
              <w:overflowPunct w:val="0"/>
              <w:autoSpaceDE w:val="0"/>
              <w:autoSpaceDN w:val="0"/>
              <w:adjustRightInd w:val="0"/>
              <w:spacing w:line="240" w:lineRule="exact"/>
              <w:jc w:val="left"/>
              <w:rPr>
                <w:rFonts w:asciiTheme="minorEastAsia" w:hAnsiTheme="minorEastAsia" w:eastAsiaTheme="minorEastAsia"/>
                <w:sz w:val="21"/>
                <w:szCs w:val="21"/>
              </w:rPr>
            </w:pPr>
            <w:r>
              <w:rPr>
                <w:rFonts w:hint="eastAsia" w:cs="宋体" w:asciiTheme="minorEastAsia" w:hAnsiTheme="minorEastAsia" w:eastAsiaTheme="minorEastAsia"/>
                <w:w w:val="105"/>
                <w:sz w:val="21"/>
                <w:szCs w:val="21"/>
              </w:rPr>
              <w:t>一旦失控可能发生能量蓄积或突然释放装置、设备和场所</w:t>
            </w:r>
          </w:p>
        </w:tc>
        <w:tc>
          <w:tcPr>
            <w:tcW w:w="2783" w:type="pct"/>
            <w:vAlign w:val="center"/>
          </w:tcPr>
          <w:p>
            <w:pPr>
              <w:widowControl w:val="0"/>
              <w:overflowPunct w:val="0"/>
              <w:autoSpaceDE w:val="0"/>
              <w:autoSpaceDN w:val="0"/>
              <w:adjustRightInd w:val="0"/>
              <w:spacing w:line="240" w:lineRule="exact"/>
              <w:rPr>
                <w:rFonts w:asciiTheme="minorEastAsia" w:hAnsiTheme="minorEastAsia" w:eastAsiaTheme="minorEastAsia"/>
                <w:sz w:val="21"/>
                <w:szCs w:val="21"/>
              </w:rPr>
            </w:pPr>
            <w:r>
              <w:rPr>
                <w:rFonts w:hint="eastAsia" w:cs="宋体" w:asciiTheme="minorEastAsia" w:hAnsiTheme="minorEastAsia" w:eastAsiaTheme="minorEastAsia"/>
                <w:w w:val="105"/>
                <w:sz w:val="21"/>
                <w:szCs w:val="21"/>
              </w:rPr>
              <w:t>各种压力容器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424" w:type="pct"/>
            <w:vMerge w:val="continue"/>
            <w:vAlign w:val="center"/>
          </w:tcPr>
          <w:p>
            <w:pPr>
              <w:widowControl w:val="0"/>
              <w:overflowPunct w:val="0"/>
              <w:autoSpaceDE w:val="0"/>
              <w:autoSpaceDN w:val="0"/>
              <w:adjustRightInd w:val="0"/>
              <w:spacing w:line="240" w:lineRule="exact"/>
              <w:jc w:val="center"/>
              <w:rPr>
                <w:rFonts w:asciiTheme="minorEastAsia" w:hAnsiTheme="minorEastAsia" w:eastAsiaTheme="minorEastAsia"/>
                <w:sz w:val="21"/>
                <w:szCs w:val="21"/>
              </w:rPr>
            </w:pPr>
          </w:p>
        </w:tc>
        <w:tc>
          <w:tcPr>
            <w:tcW w:w="1793" w:type="pct"/>
            <w:vAlign w:val="center"/>
          </w:tcPr>
          <w:p>
            <w:pPr>
              <w:widowControl w:val="0"/>
              <w:overflowPunct w:val="0"/>
              <w:autoSpaceDE w:val="0"/>
              <w:autoSpaceDN w:val="0"/>
              <w:adjustRightInd w:val="0"/>
              <w:spacing w:line="240" w:lineRule="exact"/>
              <w:jc w:val="left"/>
              <w:rPr>
                <w:rFonts w:asciiTheme="minorEastAsia" w:hAnsiTheme="minorEastAsia" w:eastAsiaTheme="minorEastAsia"/>
                <w:sz w:val="21"/>
                <w:szCs w:val="21"/>
              </w:rPr>
            </w:pPr>
            <w:r>
              <w:rPr>
                <w:rFonts w:hint="eastAsia" w:cs="宋体" w:asciiTheme="minorEastAsia" w:hAnsiTheme="minorEastAsia" w:eastAsiaTheme="minorEastAsia"/>
                <w:w w:val="105"/>
                <w:sz w:val="21"/>
                <w:szCs w:val="21"/>
              </w:rPr>
              <w:t>危险物质</w:t>
            </w:r>
          </w:p>
        </w:tc>
        <w:tc>
          <w:tcPr>
            <w:tcW w:w="2783" w:type="pct"/>
            <w:vAlign w:val="center"/>
          </w:tcPr>
          <w:p>
            <w:pPr>
              <w:widowControl w:val="0"/>
              <w:overflowPunct w:val="0"/>
              <w:autoSpaceDE w:val="0"/>
              <w:autoSpaceDN w:val="0"/>
              <w:adjustRightInd w:val="0"/>
              <w:spacing w:line="240" w:lineRule="exact"/>
              <w:rPr>
                <w:rFonts w:asciiTheme="minorEastAsia" w:hAnsiTheme="minorEastAsia" w:eastAsiaTheme="minorEastAsia"/>
                <w:sz w:val="21"/>
                <w:szCs w:val="21"/>
              </w:rPr>
            </w:pPr>
            <w:r>
              <w:rPr>
                <w:rFonts w:hint="eastAsia" w:cs="宋体" w:asciiTheme="minorEastAsia" w:hAnsiTheme="minorEastAsia" w:eastAsiaTheme="minorEastAsia"/>
                <w:w w:val="105"/>
                <w:sz w:val="21"/>
                <w:szCs w:val="21"/>
              </w:rPr>
              <w:t>各种有毒、有害、易燃易爆物质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424" w:type="pct"/>
            <w:vMerge w:val="continue"/>
            <w:vAlign w:val="center"/>
          </w:tcPr>
          <w:p>
            <w:pPr>
              <w:widowControl w:val="0"/>
              <w:overflowPunct w:val="0"/>
              <w:autoSpaceDE w:val="0"/>
              <w:autoSpaceDN w:val="0"/>
              <w:adjustRightInd w:val="0"/>
              <w:spacing w:line="240" w:lineRule="exact"/>
              <w:jc w:val="center"/>
              <w:rPr>
                <w:rFonts w:asciiTheme="minorEastAsia" w:hAnsiTheme="minorEastAsia" w:eastAsiaTheme="minorEastAsia"/>
                <w:sz w:val="21"/>
                <w:szCs w:val="21"/>
              </w:rPr>
            </w:pPr>
          </w:p>
        </w:tc>
        <w:tc>
          <w:tcPr>
            <w:tcW w:w="1793" w:type="pct"/>
            <w:vAlign w:val="center"/>
          </w:tcPr>
          <w:p>
            <w:pPr>
              <w:widowControl w:val="0"/>
              <w:overflowPunct w:val="0"/>
              <w:autoSpaceDE w:val="0"/>
              <w:autoSpaceDN w:val="0"/>
              <w:adjustRightInd w:val="0"/>
              <w:spacing w:line="240" w:lineRule="exact"/>
              <w:jc w:val="left"/>
              <w:rPr>
                <w:rFonts w:asciiTheme="minorEastAsia" w:hAnsiTheme="minorEastAsia" w:eastAsiaTheme="minorEastAsia"/>
                <w:sz w:val="21"/>
                <w:szCs w:val="21"/>
              </w:rPr>
            </w:pPr>
            <w:r>
              <w:rPr>
                <w:rFonts w:hint="eastAsia" w:cs="宋体" w:asciiTheme="minorEastAsia" w:hAnsiTheme="minorEastAsia" w:eastAsiaTheme="minorEastAsia"/>
                <w:w w:val="105"/>
                <w:sz w:val="21"/>
                <w:szCs w:val="21"/>
              </w:rPr>
              <w:t>人一旦与之接触，将导致能量向人体意外释放的物体</w:t>
            </w:r>
          </w:p>
        </w:tc>
        <w:tc>
          <w:tcPr>
            <w:tcW w:w="2783" w:type="pct"/>
            <w:vAlign w:val="center"/>
          </w:tcPr>
          <w:p>
            <w:pPr>
              <w:widowControl w:val="0"/>
              <w:overflowPunct w:val="0"/>
              <w:autoSpaceDE w:val="0"/>
              <w:autoSpaceDN w:val="0"/>
              <w:adjustRightInd w:val="0"/>
              <w:spacing w:line="240" w:lineRule="exact"/>
              <w:rPr>
                <w:rFonts w:asciiTheme="minorEastAsia" w:hAnsiTheme="minorEastAsia" w:eastAsiaTheme="minorEastAsia"/>
                <w:sz w:val="21"/>
                <w:szCs w:val="21"/>
              </w:rPr>
            </w:pPr>
            <w:r>
              <w:rPr>
                <w:rFonts w:hint="eastAsia" w:cs="宋体" w:asciiTheme="minorEastAsia" w:hAnsiTheme="minorEastAsia" w:eastAsiaTheme="minorEastAsia"/>
                <w:w w:val="105"/>
                <w:sz w:val="21"/>
                <w:szCs w:val="21"/>
              </w:rPr>
              <w:t>带电体、高温物体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424" w:type="pct"/>
            <w:vMerge w:val="continue"/>
            <w:vAlign w:val="center"/>
          </w:tcPr>
          <w:p>
            <w:pPr>
              <w:widowControl w:val="0"/>
              <w:overflowPunct w:val="0"/>
              <w:autoSpaceDE w:val="0"/>
              <w:autoSpaceDN w:val="0"/>
              <w:adjustRightInd w:val="0"/>
              <w:spacing w:line="240" w:lineRule="exact"/>
              <w:jc w:val="center"/>
              <w:rPr>
                <w:rFonts w:asciiTheme="minorEastAsia" w:hAnsiTheme="minorEastAsia" w:eastAsiaTheme="minorEastAsia"/>
                <w:sz w:val="21"/>
                <w:szCs w:val="21"/>
              </w:rPr>
            </w:pPr>
          </w:p>
        </w:tc>
        <w:tc>
          <w:tcPr>
            <w:tcW w:w="1793" w:type="pct"/>
            <w:vAlign w:val="center"/>
          </w:tcPr>
          <w:p>
            <w:pPr>
              <w:widowControl w:val="0"/>
              <w:overflowPunct w:val="0"/>
              <w:autoSpaceDE w:val="0"/>
              <w:autoSpaceDN w:val="0"/>
              <w:adjustRightInd w:val="0"/>
              <w:spacing w:line="240" w:lineRule="exact"/>
              <w:jc w:val="left"/>
              <w:rPr>
                <w:rFonts w:asciiTheme="minorEastAsia" w:hAnsiTheme="minorEastAsia" w:eastAsiaTheme="minorEastAsia"/>
                <w:sz w:val="21"/>
                <w:szCs w:val="21"/>
              </w:rPr>
            </w:pPr>
            <w:r>
              <w:rPr>
                <w:rFonts w:hint="eastAsia" w:cs="宋体" w:asciiTheme="minorEastAsia" w:hAnsiTheme="minorEastAsia" w:eastAsiaTheme="minorEastAsia"/>
                <w:w w:val="105"/>
                <w:sz w:val="21"/>
                <w:szCs w:val="21"/>
              </w:rPr>
              <w:t>使人体或物体具有较高势能的装置、设备或</w:t>
            </w:r>
            <w:r>
              <w:rPr>
                <w:rFonts w:hint="eastAsia" w:cs="宋体" w:asciiTheme="minorEastAsia" w:hAnsiTheme="minorEastAsia" w:eastAsiaTheme="minorEastAsia"/>
                <w:w w:val="110"/>
                <w:sz w:val="21"/>
                <w:szCs w:val="21"/>
              </w:rPr>
              <w:t>场所</w:t>
            </w:r>
          </w:p>
        </w:tc>
        <w:tc>
          <w:tcPr>
            <w:tcW w:w="2783" w:type="pct"/>
            <w:vAlign w:val="center"/>
          </w:tcPr>
          <w:p>
            <w:pPr>
              <w:widowControl w:val="0"/>
              <w:overflowPunct w:val="0"/>
              <w:autoSpaceDE w:val="0"/>
              <w:autoSpaceDN w:val="0"/>
              <w:adjustRightInd w:val="0"/>
              <w:spacing w:line="240" w:lineRule="exact"/>
              <w:rPr>
                <w:rFonts w:asciiTheme="minorEastAsia" w:hAnsiTheme="minorEastAsia" w:eastAsiaTheme="minorEastAsia"/>
                <w:sz w:val="21"/>
                <w:szCs w:val="21"/>
              </w:rPr>
            </w:pPr>
            <w:r>
              <w:rPr>
                <w:rFonts w:hint="eastAsia" w:cs="宋体" w:asciiTheme="minorEastAsia" w:hAnsiTheme="minorEastAsia" w:eastAsiaTheme="minorEastAsia"/>
                <w:w w:val="105"/>
                <w:sz w:val="21"/>
                <w:szCs w:val="21"/>
              </w:rPr>
              <w:t>人员高处作业、吊装物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424" w:type="pct"/>
            <w:vMerge w:val="restart"/>
            <w:vAlign w:val="center"/>
          </w:tcPr>
          <w:p>
            <w:pPr>
              <w:widowControl w:val="0"/>
              <w:overflowPunct w:val="0"/>
              <w:autoSpaceDE w:val="0"/>
              <w:autoSpaceDN w:val="0"/>
              <w:adjustRightInd w:val="0"/>
              <w:spacing w:line="240" w:lineRule="exact"/>
              <w:jc w:val="center"/>
              <w:rPr>
                <w:rFonts w:asciiTheme="minorEastAsia" w:hAnsiTheme="minorEastAsia" w:eastAsiaTheme="minorEastAsia"/>
                <w:sz w:val="21"/>
                <w:szCs w:val="21"/>
              </w:rPr>
            </w:pPr>
            <w:r>
              <w:rPr>
                <w:rFonts w:hint="eastAsia" w:cs="宋体" w:asciiTheme="minorEastAsia" w:hAnsiTheme="minorEastAsia" w:eastAsiaTheme="minorEastAsia"/>
                <w:w w:val="105"/>
                <w:sz w:val="21"/>
                <w:szCs w:val="21"/>
              </w:rPr>
              <w:t>第二类</w:t>
            </w:r>
          </w:p>
          <w:p>
            <w:pPr>
              <w:widowControl w:val="0"/>
              <w:overflowPunct w:val="0"/>
              <w:autoSpaceDE w:val="0"/>
              <w:autoSpaceDN w:val="0"/>
              <w:adjustRightInd w:val="0"/>
              <w:spacing w:line="240" w:lineRule="exact"/>
              <w:jc w:val="center"/>
              <w:rPr>
                <w:rFonts w:asciiTheme="minorEastAsia" w:hAnsiTheme="minorEastAsia" w:eastAsiaTheme="minorEastAsia"/>
                <w:sz w:val="21"/>
                <w:szCs w:val="21"/>
              </w:rPr>
            </w:pPr>
            <w:r>
              <w:rPr>
                <w:rFonts w:hint="eastAsia" w:cs="宋体" w:asciiTheme="minorEastAsia" w:hAnsiTheme="minorEastAsia" w:eastAsiaTheme="minorEastAsia"/>
                <w:w w:val="105"/>
                <w:sz w:val="21"/>
                <w:szCs w:val="21"/>
              </w:rPr>
              <w:t>危险源</w:t>
            </w:r>
          </w:p>
        </w:tc>
        <w:tc>
          <w:tcPr>
            <w:tcW w:w="1793" w:type="pct"/>
            <w:vAlign w:val="center"/>
          </w:tcPr>
          <w:p>
            <w:pPr>
              <w:widowControl w:val="0"/>
              <w:overflowPunct w:val="0"/>
              <w:autoSpaceDE w:val="0"/>
              <w:autoSpaceDN w:val="0"/>
              <w:adjustRightInd w:val="0"/>
              <w:spacing w:line="240" w:lineRule="exact"/>
              <w:rPr>
                <w:rFonts w:asciiTheme="minorEastAsia" w:hAnsiTheme="minorEastAsia" w:eastAsiaTheme="minorEastAsia"/>
                <w:sz w:val="21"/>
                <w:szCs w:val="21"/>
              </w:rPr>
            </w:pPr>
            <w:r>
              <w:rPr>
                <w:rFonts w:hint="eastAsia" w:cs="宋体" w:asciiTheme="minorEastAsia" w:hAnsiTheme="minorEastAsia" w:eastAsiaTheme="minorEastAsia"/>
                <w:w w:val="85"/>
                <w:sz w:val="21"/>
                <w:szCs w:val="21"/>
              </w:rPr>
              <w:t>人的不安全行为</w:t>
            </w:r>
            <w:r>
              <w:rPr>
                <w:rFonts w:cs="宋体" w:asciiTheme="minorEastAsia" w:hAnsiTheme="minorEastAsia" w:eastAsiaTheme="minorEastAsia"/>
                <w:w w:val="85"/>
                <w:sz w:val="21"/>
                <w:szCs w:val="21"/>
              </w:rPr>
              <w:t xml:space="preserve"> </w:t>
            </w:r>
            <w:r>
              <w:rPr>
                <w:rFonts w:asciiTheme="minorEastAsia" w:hAnsiTheme="minorEastAsia" w:eastAsiaTheme="minorEastAsia"/>
                <w:w w:val="85"/>
                <w:sz w:val="21"/>
                <w:szCs w:val="21"/>
              </w:rPr>
              <w:t>；</w:t>
            </w:r>
          </w:p>
          <w:p>
            <w:pPr>
              <w:widowControl w:val="0"/>
              <w:overflowPunct w:val="0"/>
              <w:autoSpaceDE w:val="0"/>
              <w:autoSpaceDN w:val="0"/>
              <w:adjustRightInd w:val="0"/>
              <w:spacing w:line="240" w:lineRule="exact"/>
              <w:rPr>
                <w:rFonts w:asciiTheme="minorEastAsia" w:hAnsiTheme="minorEastAsia" w:eastAsiaTheme="minorEastAsia"/>
                <w:sz w:val="21"/>
                <w:szCs w:val="21"/>
              </w:rPr>
            </w:pPr>
            <w:r>
              <w:rPr>
                <w:rFonts w:hint="eastAsia" w:cs="宋体" w:asciiTheme="minorEastAsia" w:hAnsiTheme="minorEastAsia" w:eastAsiaTheme="minorEastAsia"/>
                <w:w w:val="105"/>
                <w:sz w:val="21"/>
                <w:szCs w:val="21"/>
              </w:rPr>
              <w:t>人的行为偏离了规定的目标，或超出了允许的界限，并产生了不良的后果如</w:t>
            </w:r>
            <w:r>
              <w:rPr>
                <w:rFonts w:cs="宋体" w:asciiTheme="minorEastAsia" w:hAnsiTheme="minorEastAsia" w:eastAsiaTheme="minorEastAsia"/>
                <w:w w:val="105"/>
                <w:sz w:val="21"/>
                <w:szCs w:val="21"/>
              </w:rPr>
              <w:t>：</w:t>
            </w:r>
            <w:r>
              <w:rPr>
                <w:rFonts w:hint="eastAsia" w:cs="宋体" w:asciiTheme="minorEastAsia" w:hAnsiTheme="minorEastAsia" w:eastAsiaTheme="minorEastAsia"/>
                <w:w w:val="105"/>
                <w:sz w:val="21"/>
                <w:szCs w:val="21"/>
              </w:rPr>
              <w:t>不采取安全措施、误动作、不按规定的方法操作，某些不安全行为</w:t>
            </w:r>
            <w:r>
              <w:rPr>
                <w:rFonts w:cs="宋体" w:asciiTheme="minorEastAsia" w:hAnsiTheme="minorEastAsia" w:eastAsiaTheme="minorEastAsia"/>
                <w:w w:val="105"/>
                <w:sz w:val="21"/>
                <w:szCs w:val="21"/>
              </w:rPr>
              <w:t>(</w:t>
            </w:r>
            <w:r>
              <w:rPr>
                <w:rFonts w:hint="eastAsia" w:cs="宋体" w:asciiTheme="minorEastAsia" w:hAnsiTheme="minorEastAsia" w:eastAsiaTheme="minorEastAsia"/>
                <w:w w:val="105"/>
                <w:sz w:val="21"/>
                <w:szCs w:val="21"/>
              </w:rPr>
              <w:t>制造危险状态)</w:t>
            </w:r>
          </w:p>
        </w:tc>
        <w:tc>
          <w:tcPr>
            <w:tcW w:w="2783" w:type="pct"/>
            <w:vAlign w:val="center"/>
          </w:tcPr>
          <w:p>
            <w:pPr>
              <w:widowControl w:val="0"/>
              <w:overflowPunct w:val="0"/>
              <w:autoSpaceDE w:val="0"/>
              <w:autoSpaceDN w:val="0"/>
              <w:adjustRightInd w:val="0"/>
              <w:spacing w:line="240" w:lineRule="exact"/>
              <w:rPr>
                <w:rFonts w:asciiTheme="minorEastAsia" w:hAnsiTheme="minorEastAsia" w:eastAsiaTheme="minorEastAsia"/>
                <w:sz w:val="21"/>
                <w:szCs w:val="21"/>
              </w:rPr>
            </w:pPr>
            <w:r>
              <w:rPr>
                <w:rFonts w:cs="宋体" w:asciiTheme="minorEastAsia" w:hAnsiTheme="minorEastAsia" w:eastAsiaTheme="minorEastAsia"/>
                <w:w w:val="90"/>
                <w:sz w:val="21"/>
                <w:szCs w:val="21"/>
              </w:rPr>
              <w:t>1)</w:t>
            </w:r>
            <w:r>
              <w:rPr>
                <w:rFonts w:hint="eastAsia" w:cs="宋体" w:asciiTheme="minorEastAsia" w:hAnsiTheme="minorEastAsia" w:eastAsiaTheme="minorEastAsia"/>
                <w:w w:val="90"/>
                <w:sz w:val="21"/>
                <w:szCs w:val="21"/>
              </w:rPr>
              <w:t>操作错误，忽视安全，忽视警告</w:t>
            </w:r>
            <w:r>
              <w:rPr>
                <w:rFonts w:asciiTheme="minorEastAsia" w:hAnsiTheme="minorEastAsia" w:eastAsiaTheme="minorEastAsia"/>
                <w:w w:val="90"/>
                <w:sz w:val="21"/>
                <w:szCs w:val="21"/>
              </w:rPr>
              <w:t>；</w:t>
            </w:r>
          </w:p>
          <w:p>
            <w:pPr>
              <w:widowControl w:val="0"/>
              <w:overflowPunct w:val="0"/>
              <w:autoSpaceDE w:val="0"/>
              <w:autoSpaceDN w:val="0"/>
              <w:adjustRightInd w:val="0"/>
              <w:spacing w:line="240" w:lineRule="exact"/>
              <w:rPr>
                <w:rFonts w:asciiTheme="minorEastAsia" w:hAnsiTheme="minorEastAsia" w:eastAsiaTheme="minorEastAsia"/>
                <w:sz w:val="21"/>
                <w:szCs w:val="21"/>
              </w:rPr>
            </w:pPr>
            <w:r>
              <w:rPr>
                <w:rFonts w:asciiTheme="minorEastAsia" w:hAnsiTheme="minorEastAsia" w:eastAsiaTheme="minorEastAsia"/>
                <w:w w:val="105"/>
                <w:sz w:val="21"/>
                <w:szCs w:val="21"/>
              </w:rPr>
              <w:t>2)</w:t>
            </w:r>
            <w:r>
              <w:rPr>
                <w:rFonts w:asciiTheme="minorEastAsia" w:hAnsiTheme="minorEastAsia" w:eastAsiaTheme="minorEastAsia"/>
                <w:spacing w:val="40"/>
                <w:w w:val="105"/>
                <w:sz w:val="21"/>
                <w:szCs w:val="21"/>
              </w:rPr>
              <w:t xml:space="preserve"> </w:t>
            </w:r>
            <w:r>
              <w:rPr>
                <w:rFonts w:hint="eastAsia" w:cs="宋体" w:asciiTheme="minorEastAsia" w:hAnsiTheme="minorEastAsia" w:eastAsiaTheme="minorEastAsia"/>
                <w:w w:val="105"/>
                <w:sz w:val="21"/>
                <w:szCs w:val="21"/>
              </w:rPr>
              <w:t>造成安全装置失效</w:t>
            </w:r>
            <w:r>
              <w:rPr>
                <w:rFonts w:asciiTheme="minorEastAsia" w:hAnsiTheme="minorEastAsia" w:eastAsiaTheme="minorEastAsia"/>
                <w:w w:val="90"/>
                <w:sz w:val="21"/>
                <w:szCs w:val="21"/>
              </w:rPr>
              <w:t>；</w:t>
            </w:r>
          </w:p>
          <w:p>
            <w:pPr>
              <w:widowControl w:val="0"/>
              <w:overflowPunct w:val="0"/>
              <w:autoSpaceDE w:val="0"/>
              <w:autoSpaceDN w:val="0"/>
              <w:adjustRightInd w:val="0"/>
              <w:spacing w:line="240" w:lineRule="exact"/>
              <w:rPr>
                <w:rFonts w:asciiTheme="minorEastAsia" w:hAnsiTheme="minorEastAsia" w:eastAsiaTheme="minorEastAsia"/>
                <w:sz w:val="21"/>
                <w:szCs w:val="21"/>
              </w:rPr>
            </w:pPr>
            <w:r>
              <w:rPr>
                <w:rFonts w:asciiTheme="minorEastAsia" w:hAnsiTheme="minorEastAsia" w:eastAsiaTheme="minorEastAsia"/>
                <w:w w:val="105"/>
                <w:sz w:val="21"/>
                <w:szCs w:val="21"/>
              </w:rPr>
              <w:t>3)</w:t>
            </w:r>
            <w:r>
              <w:rPr>
                <w:rFonts w:asciiTheme="minorEastAsia" w:hAnsiTheme="minorEastAsia" w:eastAsiaTheme="minorEastAsia"/>
                <w:spacing w:val="40"/>
                <w:w w:val="105"/>
                <w:sz w:val="21"/>
                <w:szCs w:val="21"/>
              </w:rPr>
              <w:t xml:space="preserve"> </w:t>
            </w:r>
            <w:r>
              <w:rPr>
                <w:rFonts w:hint="eastAsia" w:cs="宋体" w:asciiTheme="minorEastAsia" w:hAnsiTheme="minorEastAsia" w:eastAsiaTheme="minorEastAsia"/>
                <w:w w:val="105"/>
                <w:sz w:val="21"/>
                <w:szCs w:val="21"/>
              </w:rPr>
              <w:t>使用不安全设备</w:t>
            </w:r>
            <w:r>
              <w:rPr>
                <w:rFonts w:asciiTheme="minorEastAsia" w:hAnsiTheme="minorEastAsia" w:eastAsiaTheme="minorEastAsia"/>
                <w:w w:val="90"/>
                <w:sz w:val="21"/>
                <w:szCs w:val="21"/>
              </w:rPr>
              <w:t>；</w:t>
            </w:r>
          </w:p>
          <w:p>
            <w:pPr>
              <w:widowControl w:val="0"/>
              <w:overflowPunct w:val="0"/>
              <w:autoSpaceDE w:val="0"/>
              <w:autoSpaceDN w:val="0"/>
              <w:adjustRightInd w:val="0"/>
              <w:spacing w:line="240" w:lineRule="exact"/>
              <w:rPr>
                <w:rFonts w:asciiTheme="minorEastAsia" w:hAnsiTheme="minorEastAsia" w:eastAsiaTheme="minorEastAsia"/>
                <w:w w:val="90"/>
                <w:sz w:val="21"/>
                <w:szCs w:val="21"/>
              </w:rPr>
            </w:pPr>
            <w:r>
              <w:rPr>
                <w:rFonts w:asciiTheme="minorEastAsia" w:hAnsiTheme="minorEastAsia" w:eastAsiaTheme="minorEastAsia"/>
                <w:w w:val="110"/>
                <w:sz w:val="21"/>
                <w:szCs w:val="21"/>
              </w:rPr>
              <w:t>4)</w:t>
            </w:r>
            <w:r>
              <w:rPr>
                <w:rFonts w:asciiTheme="minorEastAsia" w:hAnsiTheme="minorEastAsia" w:eastAsiaTheme="minorEastAsia"/>
                <w:spacing w:val="9"/>
                <w:w w:val="110"/>
                <w:sz w:val="21"/>
                <w:szCs w:val="21"/>
              </w:rPr>
              <w:t xml:space="preserve"> </w:t>
            </w:r>
            <w:r>
              <w:rPr>
                <w:rFonts w:hint="eastAsia" w:cs="宋体" w:asciiTheme="minorEastAsia" w:hAnsiTheme="minorEastAsia" w:eastAsiaTheme="minorEastAsia"/>
                <w:w w:val="110"/>
                <w:sz w:val="21"/>
                <w:szCs w:val="21"/>
              </w:rPr>
              <w:t>手代替工具操作</w:t>
            </w:r>
            <w:r>
              <w:rPr>
                <w:rFonts w:asciiTheme="minorEastAsia" w:hAnsiTheme="minorEastAsia" w:eastAsiaTheme="minorEastAsia"/>
                <w:w w:val="90"/>
                <w:sz w:val="21"/>
                <w:szCs w:val="21"/>
              </w:rPr>
              <w:t>；</w:t>
            </w:r>
          </w:p>
          <w:p>
            <w:pPr>
              <w:widowControl w:val="0"/>
              <w:overflowPunct w:val="0"/>
              <w:autoSpaceDE w:val="0"/>
              <w:autoSpaceDN w:val="0"/>
              <w:adjustRightInd w:val="0"/>
              <w:spacing w:line="240" w:lineRule="exact"/>
              <w:rPr>
                <w:rFonts w:asciiTheme="minorEastAsia" w:hAnsiTheme="minorEastAsia" w:eastAsiaTheme="minorEastAsia"/>
                <w:sz w:val="21"/>
                <w:szCs w:val="21"/>
              </w:rPr>
            </w:pPr>
            <w:r>
              <w:rPr>
                <w:rFonts w:hint="eastAsia" w:cs="宋体" w:asciiTheme="minorEastAsia" w:hAnsiTheme="minorEastAsia" w:eastAsiaTheme="minorEastAsia"/>
                <w:w w:val="115"/>
                <w:sz w:val="21"/>
                <w:szCs w:val="21"/>
              </w:rPr>
              <w:t>5</w:t>
            </w:r>
            <w:r>
              <w:rPr>
                <w:rFonts w:cs="宋体" w:asciiTheme="minorEastAsia" w:hAnsiTheme="minorEastAsia" w:eastAsiaTheme="minorEastAsia"/>
                <w:w w:val="115"/>
                <w:sz w:val="21"/>
                <w:szCs w:val="21"/>
              </w:rPr>
              <w:t>）</w:t>
            </w:r>
            <w:r>
              <w:rPr>
                <w:rFonts w:hint="eastAsia" w:cs="宋体" w:asciiTheme="minorEastAsia" w:hAnsiTheme="minorEastAsia" w:eastAsiaTheme="minorEastAsia"/>
                <w:w w:val="115"/>
                <w:sz w:val="21"/>
                <w:szCs w:val="21"/>
              </w:rPr>
              <w:t>物体存放不</w:t>
            </w:r>
            <w:r>
              <w:rPr>
                <w:rFonts w:hint="eastAsia" w:cs="宋体" w:asciiTheme="minorEastAsia" w:hAnsiTheme="minorEastAsia" w:eastAsiaTheme="minorEastAsia"/>
                <w:spacing w:val="3"/>
                <w:w w:val="115"/>
                <w:sz w:val="21"/>
                <w:szCs w:val="21"/>
              </w:rPr>
              <w:t>当</w:t>
            </w:r>
            <w:r>
              <w:rPr>
                <w:rFonts w:asciiTheme="minorEastAsia" w:hAnsiTheme="minorEastAsia" w:eastAsiaTheme="minorEastAsia"/>
                <w:w w:val="90"/>
                <w:sz w:val="21"/>
                <w:szCs w:val="21"/>
              </w:rPr>
              <w:t>；</w:t>
            </w:r>
          </w:p>
          <w:p>
            <w:pPr>
              <w:widowControl w:val="0"/>
              <w:overflowPunct w:val="0"/>
              <w:autoSpaceDE w:val="0"/>
              <w:autoSpaceDN w:val="0"/>
              <w:adjustRightInd w:val="0"/>
              <w:spacing w:line="240" w:lineRule="exact"/>
              <w:rPr>
                <w:rFonts w:asciiTheme="minorEastAsia" w:hAnsiTheme="minorEastAsia" w:eastAsiaTheme="minorEastAsia"/>
                <w:sz w:val="21"/>
                <w:szCs w:val="21"/>
              </w:rPr>
            </w:pPr>
            <w:r>
              <w:rPr>
                <w:rFonts w:asciiTheme="minorEastAsia" w:hAnsiTheme="minorEastAsia" w:eastAsiaTheme="minorEastAsia"/>
                <w:w w:val="110"/>
                <w:sz w:val="21"/>
                <w:szCs w:val="21"/>
              </w:rPr>
              <w:t>6)</w:t>
            </w:r>
            <w:r>
              <w:rPr>
                <w:rFonts w:hint="eastAsia" w:cs="宋体" w:asciiTheme="minorEastAsia" w:hAnsiTheme="minorEastAsia" w:eastAsiaTheme="minorEastAsia"/>
                <w:w w:val="110"/>
                <w:sz w:val="21"/>
                <w:szCs w:val="21"/>
              </w:rPr>
              <w:t>冒险进入危险场</w:t>
            </w:r>
            <w:r>
              <w:rPr>
                <w:rFonts w:hint="eastAsia" w:cs="宋体" w:asciiTheme="minorEastAsia" w:hAnsiTheme="minorEastAsia" w:eastAsiaTheme="minorEastAsia"/>
                <w:spacing w:val="4"/>
                <w:w w:val="110"/>
                <w:sz w:val="21"/>
                <w:szCs w:val="21"/>
              </w:rPr>
              <w:t>所</w:t>
            </w:r>
            <w:r>
              <w:rPr>
                <w:rFonts w:asciiTheme="minorEastAsia" w:hAnsiTheme="minorEastAsia" w:eastAsiaTheme="minorEastAsia"/>
                <w:w w:val="90"/>
                <w:sz w:val="21"/>
                <w:szCs w:val="21"/>
              </w:rPr>
              <w:t>；</w:t>
            </w:r>
          </w:p>
          <w:p>
            <w:pPr>
              <w:widowControl w:val="0"/>
              <w:overflowPunct w:val="0"/>
              <w:autoSpaceDE w:val="0"/>
              <w:autoSpaceDN w:val="0"/>
              <w:adjustRightInd w:val="0"/>
              <w:spacing w:line="240" w:lineRule="exact"/>
              <w:rPr>
                <w:rFonts w:asciiTheme="minorEastAsia" w:hAnsiTheme="minorEastAsia" w:eastAsiaTheme="minorEastAsia"/>
                <w:sz w:val="21"/>
                <w:szCs w:val="21"/>
              </w:rPr>
            </w:pPr>
            <w:r>
              <w:rPr>
                <w:rFonts w:cs="宋体" w:asciiTheme="minorEastAsia" w:hAnsiTheme="minorEastAsia" w:eastAsiaTheme="minorEastAsia"/>
                <w:sz w:val="21"/>
                <w:szCs w:val="21"/>
              </w:rPr>
              <w:t>7)</w:t>
            </w:r>
            <w:r>
              <w:rPr>
                <w:rFonts w:hint="eastAsia" w:cs="宋体" w:asciiTheme="minorEastAsia" w:hAnsiTheme="minorEastAsia" w:eastAsiaTheme="minorEastAsia"/>
                <w:sz w:val="21"/>
                <w:szCs w:val="21"/>
              </w:rPr>
              <w:t>攀、坐不安全位置</w:t>
            </w:r>
            <w:r>
              <w:rPr>
                <w:rFonts w:asciiTheme="minorEastAsia" w:hAnsiTheme="minorEastAsia" w:eastAsiaTheme="minorEastAsia"/>
                <w:w w:val="90"/>
                <w:sz w:val="21"/>
                <w:szCs w:val="21"/>
              </w:rPr>
              <w:t>；</w:t>
            </w:r>
          </w:p>
          <w:p>
            <w:pPr>
              <w:widowControl w:val="0"/>
              <w:overflowPunct w:val="0"/>
              <w:autoSpaceDE w:val="0"/>
              <w:autoSpaceDN w:val="0"/>
              <w:adjustRightInd w:val="0"/>
              <w:spacing w:line="240" w:lineRule="exact"/>
              <w:rPr>
                <w:rFonts w:asciiTheme="minorEastAsia" w:hAnsiTheme="minorEastAsia" w:eastAsiaTheme="minorEastAsia"/>
                <w:sz w:val="21"/>
                <w:szCs w:val="21"/>
              </w:rPr>
            </w:pPr>
            <w:r>
              <w:rPr>
                <w:rFonts w:cs="Courier New" w:asciiTheme="minorEastAsia" w:hAnsiTheme="minorEastAsia" w:eastAsiaTheme="minorEastAsia"/>
                <w:sz w:val="21"/>
                <w:szCs w:val="21"/>
              </w:rPr>
              <w:t>8</w:t>
            </w:r>
            <w:r>
              <w:rPr>
                <w:rFonts w:cs="Courier New" w:asciiTheme="minorEastAsia" w:hAnsiTheme="minorEastAsia" w:eastAsiaTheme="minorEastAsia"/>
                <w:spacing w:val="15"/>
                <w:sz w:val="21"/>
                <w:szCs w:val="21"/>
              </w:rPr>
              <w:t>)</w:t>
            </w:r>
            <w:r>
              <w:rPr>
                <w:rFonts w:hint="eastAsia" w:cs="宋体" w:asciiTheme="minorEastAsia" w:hAnsiTheme="minorEastAsia" w:eastAsiaTheme="minorEastAsia"/>
                <w:sz w:val="21"/>
                <w:szCs w:val="21"/>
              </w:rPr>
              <w:t>在吊物下作业、停留</w:t>
            </w:r>
            <w:r>
              <w:rPr>
                <w:rFonts w:cs="宋体" w:asciiTheme="minorEastAsia" w:hAnsiTheme="minorEastAsia" w:eastAsiaTheme="minorEastAsia"/>
                <w:spacing w:val="13"/>
                <w:sz w:val="21"/>
                <w:szCs w:val="21"/>
              </w:rPr>
              <w:t xml:space="preserve"> </w:t>
            </w:r>
            <w:r>
              <w:rPr>
                <w:rFonts w:asciiTheme="minorEastAsia" w:hAnsiTheme="minorEastAsia" w:eastAsiaTheme="minorEastAsia"/>
                <w:sz w:val="21"/>
                <w:szCs w:val="21"/>
              </w:rPr>
              <w:t>s</w:t>
            </w:r>
          </w:p>
          <w:p>
            <w:pPr>
              <w:widowControl w:val="0"/>
              <w:overflowPunct w:val="0"/>
              <w:autoSpaceDE w:val="0"/>
              <w:autoSpaceDN w:val="0"/>
              <w:adjustRightInd w:val="0"/>
              <w:spacing w:line="240" w:lineRule="exact"/>
              <w:rPr>
                <w:rFonts w:asciiTheme="minorEastAsia" w:hAnsiTheme="minorEastAsia" w:eastAsiaTheme="minorEastAsia"/>
                <w:w w:val="90"/>
                <w:sz w:val="21"/>
                <w:szCs w:val="21"/>
              </w:rPr>
            </w:pPr>
            <w:r>
              <w:rPr>
                <w:rFonts w:asciiTheme="minorEastAsia" w:hAnsiTheme="minorEastAsia" w:eastAsiaTheme="minorEastAsia"/>
                <w:sz w:val="21"/>
                <w:szCs w:val="21"/>
              </w:rPr>
              <w:t>9)</w:t>
            </w:r>
            <w:r>
              <w:rPr>
                <w:rFonts w:hint="eastAsia" w:cs="宋体" w:asciiTheme="minorEastAsia" w:hAnsiTheme="minorEastAsia" w:eastAsiaTheme="minorEastAsia"/>
                <w:sz w:val="21"/>
                <w:szCs w:val="21"/>
              </w:rPr>
              <w:t>机器运转时加油、修理、检查、调整、焊接、清扫等工作</w:t>
            </w:r>
            <w:r>
              <w:rPr>
                <w:rFonts w:asciiTheme="minorEastAsia" w:hAnsiTheme="minorEastAsia" w:eastAsiaTheme="minorEastAsia"/>
                <w:w w:val="90"/>
                <w:sz w:val="21"/>
                <w:szCs w:val="21"/>
              </w:rPr>
              <w:t>；</w:t>
            </w:r>
          </w:p>
          <w:p>
            <w:pPr>
              <w:widowControl w:val="0"/>
              <w:overflowPunct w:val="0"/>
              <w:autoSpaceDE w:val="0"/>
              <w:autoSpaceDN w:val="0"/>
              <w:adjustRightInd w:val="0"/>
              <w:spacing w:line="240" w:lineRule="exact"/>
              <w:rPr>
                <w:rFonts w:asciiTheme="minorEastAsia" w:hAnsiTheme="minorEastAsia" w:eastAsiaTheme="minorEastAsia"/>
                <w:sz w:val="21"/>
                <w:szCs w:val="21"/>
              </w:rPr>
            </w:pPr>
            <w:r>
              <w:rPr>
                <w:rFonts w:asciiTheme="minorEastAsia" w:hAnsiTheme="minorEastAsia" w:eastAsiaTheme="minorEastAsia"/>
                <w:w w:val="105"/>
                <w:sz w:val="21"/>
                <w:szCs w:val="21"/>
              </w:rPr>
              <w:t>10)</w:t>
            </w:r>
            <w:r>
              <w:rPr>
                <w:rFonts w:hint="eastAsia" w:cs="宋体" w:asciiTheme="minorEastAsia" w:hAnsiTheme="minorEastAsia" w:eastAsiaTheme="minorEastAsia"/>
                <w:w w:val="105"/>
                <w:sz w:val="21"/>
                <w:szCs w:val="21"/>
              </w:rPr>
              <w:t>有分散注意力行为</w:t>
            </w:r>
            <w:r>
              <w:rPr>
                <w:rFonts w:asciiTheme="minorEastAsia" w:hAnsiTheme="minorEastAsia" w:eastAsiaTheme="minorEastAsia"/>
                <w:w w:val="90"/>
                <w:sz w:val="21"/>
                <w:szCs w:val="21"/>
              </w:rPr>
              <w:t>；</w:t>
            </w:r>
          </w:p>
          <w:p>
            <w:pPr>
              <w:widowControl w:val="0"/>
              <w:overflowPunct w:val="0"/>
              <w:autoSpaceDE w:val="0"/>
              <w:autoSpaceDN w:val="0"/>
              <w:adjustRightInd w:val="0"/>
              <w:spacing w:line="240" w:lineRule="exact"/>
              <w:rPr>
                <w:rFonts w:asciiTheme="minorEastAsia" w:hAnsiTheme="minorEastAsia" w:eastAsiaTheme="minorEastAsia"/>
                <w:w w:val="90"/>
                <w:sz w:val="21"/>
                <w:szCs w:val="21"/>
              </w:rPr>
            </w:pPr>
            <w:r>
              <w:rPr>
                <w:rFonts w:asciiTheme="minorEastAsia" w:hAnsiTheme="minorEastAsia" w:eastAsiaTheme="minorEastAsia"/>
                <w:w w:val="105"/>
                <w:sz w:val="21"/>
                <w:szCs w:val="21"/>
              </w:rPr>
              <w:t>11)</w:t>
            </w:r>
            <w:r>
              <w:rPr>
                <w:rFonts w:hint="eastAsia" w:cs="宋体" w:asciiTheme="minorEastAsia" w:hAnsiTheme="minorEastAsia" w:eastAsiaTheme="minorEastAsia"/>
                <w:w w:val="105"/>
                <w:sz w:val="21"/>
                <w:szCs w:val="21"/>
              </w:rPr>
              <w:t>在必须使用个人防护用晶用具的作业或场所中，忽视其使用</w:t>
            </w:r>
            <w:r>
              <w:rPr>
                <w:rFonts w:asciiTheme="minorEastAsia" w:hAnsiTheme="minorEastAsia" w:eastAsiaTheme="minorEastAsia"/>
                <w:w w:val="90"/>
                <w:sz w:val="21"/>
                <w:szCs w:val="21"/>
              </w:rPr>
              <w:t>；</w:t>
            </w:r>
          </w:p>
          <w:p>
            <w:pPr>
              <w:widowControl w:val="0"/>
              <w:overflowPunct w:val="0"/>
              <w:autoSpaceDE w:val="0"/>
              <w:autoSpaceDN w:val="0"/>
              <w:adjustRightInd w:val="0"/>
              <w:spacing w:line="240" w:lineRule="exact"/>
              <w:rPr>
                <w:rFonts w:asciiTheme="minorEastAsia" w:hAnsiTheme="minorEastAsia" w:eastAsiaTheme="minorEastAsia"/>
                <w:sz w:val="21"/>
                <w:szCs w:val="21"/>
              </w:rPr>
            </w:pPr>
            <w:r>
              <w:rPr>
                <w:rFonts w:asciiTheme="minorEastAsia" w:hAnsiTheme="minorEastAsia" w:eastAsiaTheme="minorEastAsia"/>
                <w:w w:val="110"/>
                <w:sz w:val="21"/>
                <w:szCs w:val="21"/>
              </w:rPr>
              <w:t>12)</w:t>
            </w:r>
            <w:r>
              <w:rPr>
                <w:rFonts w:hint="eastAsia" w:cs="宋体" w:asciiTheme="minorEastAsia" w:hAnsiTheme="minorEastAsia" w:eastAsiaTheme="minorEastAsia"/>
                <w:w w:val="110"/>
                <w:sz w:val="21"/>
                <w:szCs w:val="21"/>
              </w:rPr>
              <w:t>不安全装束</w:t>
            </w:r>
            <w:r>
              <w:rPr>
                <w:rFonts w:asciiTheme="minorEastAsia" w:hAnsiTheme="minorEastAsia" w:eastAsiaTheme="minorEastAsia"/>
                <w:w w:val="90"/>
                <w:sz w:val="21"/>
                <w:szCs w:val="21"/>
              </w:rPr>
              <w:t>；</w:t>
            </w:r>
          </w:p>
          <w:p>
            <w:pPr>
              <w:widowControl w:val="0"/>
              <w:overflowPunct w:val="0"/>
              <w:autoSpaceDE w:val="0"/>
              <w:autoSpaceDN w:val="0"/>
              <w:adjustRightInd w:val="0"/>
              <w:spacing w:line="240" w:lineRule="exact"/>
              <w:rPr>
                <w:rFonts w:asciiTheme="minorEastAsia" w:hAnsiTheme="minorEastAsia" w:eastAsiaTheme="minorEastAsia"/>
                <w:sz w:val="21"/>
                <w:szCs w:val="21"/>
              </w:rPr>
            </w:pPr>
            <w:r>
              <w:rPr>
                <w:rFonts w:asciiTheme="minorEastAsia" w:hAnsiTheme="minorEastAsia" w:eastAsiaTheme="minorEastAsia"/>
                <w:w w:val="105"/>
                <w:sz w:val="21"/>
                <w:szCs w:val="21"/>
              </w:rPr>
              <w:t>13)</w:t>
            </w:r>
            <w:r>
              <w:rPr>
                <w:rFonts w:hint="eastAsia" w:cs="宋体" w:asciiTheme="minorEastAsia" w:hAnsiTheme="minorEastAsia" w:eastAsiaTheme="minorEastAsia"/>
                <w:w w:val="105"/>
                <w:sz w:val="21"/>
                <w:szCs w:val="21"/>
              </w:rPr>
              <w:t>对易燃易爆等危险物品处理错误。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424" w:type="pct"/>
            <w:vMerge w:val="continue"/>
            <w:vAlign w:val="center"/>
          </w:tcPr>
          <w:p>
            <w:pPr>
              <w:widowControl w:val="0"/>
              <w:overflowPunct w:val="0"/>
              <w:autoSpaceDE w:val="0"/>
              <w:autoSpaceDN w:val="0"/>
              <w:adjustRightInd w:val="0"/>
              <w:spacing w:line="240" w:lineRule="exact"/>
              <w:jc w:val="center"/>
              <w:rPr>
                <w:rFonts w:asciiTheme="minorEastAsia" w:hAnsiTheme="minorEastAsia" w:eastAsiaTheme="minorEastAsia"/>
                <w:sz w:val="21"/>
                <w:szCs w:val="21"/>
              </w:rPr>
            </w:pPr>
          </w:p>
        </w:tc>
        <w:tc>
          <w:tcPr>
            <w:tcW w:w="1793" w:type="pct"/>
            <w:vAlign w:val="center"/>
          </w:tcPr>
          <w:p>
            <w:pPr>
              <w:widowControl w:val="0"/>
              <w:overflowPunct w:val="0"/>
              <w:autoSpaceDE w:val="0"/>
              <w:autoSpaceDN w:val="0"/>
              <w:adjustRightInd w:val="0"/>
              <w:spacing w:line="240" w:lineRule="exact"/>
              <w:jc w:val="left"/>
              <w:rPr>
                <w:rFonts w:asciiTheme="minorEastAsia" w:hAnsiTheme="minorEastAsia" w:eastAsiaTheme="minorEastAsia"/>
                <w:sz w:val="21"/>
                <w:szCs w:val="21"/>
              </w:rPr>
            </w:pPr>
            <w:r>
              <w:rPr>
                <w:rFonts w:hint="eastAsia" w:cs="宋体" w:asciiTheme="minorEastAsia" w:hAnsiTheme="minorEastAsia" w:eastAsiaTheme="minorEastAsia"/>
                <w:w w:val="90"/>
                <w:sz w:val="21"/>
                <w:szCs w:val="21"/>
              </w:rPr>
              <w:t>物的不安全状态</w:t>
            </w:r>
            <w:r>
              <w:rPr>
                <w:rFonts w:cs="Courier New" w:asciiTheme="minorEastAsia" w:hAnsiTheme="minorEastAsia" w:eastAsiaTheme="minorEastAsia"/>
                <w:w w:val="90"/>
                <w:sz w:val="21"/>
                <w:szCs w:val="21"/>
              </w:rPr>
              <w:t>；</w:t>
            </w:r>
            <w:r>
              <w:rPr>
                <w:rFonts w:hint="eastAsia" w:cs="宋体" w:asciiTheme="minorEastAsia" w:hAnsiTheme="minorEastAsia" w:eastAsiaTheme="minorEastAsia"/>
                <w:w w:val="90"/>
                <w:sz w:val="21"/>
                <w:szCs w:val="21"/>
              </w:rPr>
              <w:t>可能导致事故发生和危害</w:t>
            </w:r>
            <w:r>
              <w:rPr>
                <w:rFonts w:hint="eastAsia" w:cs="宋体" w:asciiTheme="minorEastAsia" w:hAnsiTheme="minorEastAsia" w:eastAsiaTheme="minorEastAsia"/>
                <w:w w:val="105"/>
                <w:sz w:val="21"/>
                <w:szCs w:val="21"/>
              </w:rPr>
              <w:t>扩大的设计缺陷、工艺缺陷、设备缺陷、保护措施和安全装置的缺陷</w:t>
            </w:r>
          </w:p>
        </w:tc>
        <w:tc>
          <w:tcPr>
            <w:tcW w:w="2783" w:type="pct"/>
            <w:vAlign w:val="center"/>
          </w:tcPr>
          <w:p>
            <w:pPr>
              <w:widowControl w:val="0"/>
              <w:overflowPunct w:val="0"/>
              <w:autoSpaceDE w:val="0"/>
              <w:autoSpaceDN w:val="0"/>
              <w:adjustRightInd w:val="0"/>
              <w:spacing w:line="240" w:lineRule="exact"/>
              <w:rPr>
                <w:rFonts w:asciiTheme="minorEastAsia" w:hAnsiTheme="minorEastAsia" w:eastAsiaTheme="minorEastAsia"/>
                <w:sz w:val="21"/>
                <w:szCs w:val="21"/>
              </w:rPr>
            </w:pPr>
            <w:r>
              <w:rPr>
                <w:rFonts w:hint="eastAsia" w:cs="宋体" w:asciiTheme="minorEastAsia" w:hAnsiTheme="minorEastAsia" w:eastAsiaTheme="minorEastAsia"/>
                <w:w w:val="90"/>
                <w:sz w:val="21"/>
                <w:szCs w:val="21"/>
              </w:rPr>
              <w:t>如</w:t>
            </w:r>
            <w:r>
              <w:rPr>
                <w:rFonts w:asciiTheme="minorEastAsia" w:hAnsiTheme="minorEastAsia" w:eastAsiaTheme="minorEastAsia"/>
                <w:w w:val="90"/>
                <w:sz w:val="21"/>
                <w:szCs w:val="21"/>
              </w:rPr>
              <w:t>：</w:t>
            </w:r>
          </w:p>
          <w:p>
            <w:pPr>
              <w:widowControl w:val="0"/>
              <w:overflowPunct w:val="0"/>
              <w:autoSpaceDE w:val="0"/>
              <w:autoSpaceDN w:val="0"/>
              <w:adjustRightInd w:val="0"/>
              <w:spacing w:line="240" w:lineRule="exact"/>
              <w:rPr>
                <w:rFonts w:asciiTheme="minorEastAsia" w:hAnsiTheme="minorEastAsia" w:eastAsiaTheme="minorEastAsia"/>
                <w:sz w:val="21"/>
                <w:szCs w:val="21"/>
              </w:rPr>
            </w:pPr>
            <w:r>
              <w:rPr>
                <w:rFonts w:cs="宋体" w:asciiTheme="minorEastAsia" w:hAnsiTheme="minorEastAsia" w:eastAsiaTheme="minorEastAsia"/>
                <w:w w:val="105"/>
                <w:sz w:val="21"/>
                <w:szCs w:val="21"/>
              </w:rPr>
              <w:t>1)</w:t>
            </w:r>
            <w:r>
              <w:rPr>
                <w:rFonts w:hint="eastAsia" w:cs="宋体" w:asciiTheme="minorEastAsia" w:hAnsiTheme="minorEastAsia" w:eastAsiaTheme="minorEastAsia"/>
                <w:w w:val="105"/>
                <w:sz w:val="21"/>
                <w:szCs w:val="21"/>
              </w:rPr>
              <w:t>防护、保险、信号灯装置缺乏或有缺陷</w:t>
            </w:r>
            <w:r>
              <w:rPr>
                <w:rFonts w:cs="宋体" w:asciiTheme="minorEastAsia" w:hAnsiTheme="minorEastAsia" w:eastAsiaTheme="minorEastAsia"/>
                <w:w w:val="105"/>
                <w:sz w:val="21"/>
                <w:szCs w:val="21"/>
              </w:rPr>
              <w:t>；</w:t>
            </w:r>
          </w:p>
          <w:p>
            <w:pPr>
              <w:widowControl w:val="0"/>
              <w:overflowPunct w:val="0"/>
              <w:autoSpaceDE w:val="0"/>
              <w:autoSpaceDN w:val="0"/>
              <w:adjustRightInd w:val="0"/>
              <w:spacing w:line="240" w:lineRule="exact"/>
              <w:rPr>
                <w:rFonts w:cs="宋体" w:asciiTheme="minorEastAsia" w:hAnsiTheme="minorEastAsia" w:eastAsiaTheme="minorEastAsia"/>
                <w:w w:val="105"/>
                <w:sz w:val="21"/>
                <w:szCs w:val="21"/>
              </w:rPr>
            </w:pPr>
            <w:r>
              <w:rPr>
                <w:rFonts w:asciiTheme="minorEastAsia" w:hAnsiTheme="minorEastAsia" w:eastAsiaTheme="minorEastAsia"/>
                <w:w w:val="95"/>
                <w:sz w:val="21"/>
                <w:szCs w:val="21"/>
              </w:rPr>
              <w:t xml:space="preserve">2) </w:t>
            </w:r>
            <w:r>
              <w:rPr>
                <w:rFonts w:hint="eastAsia" w:cs="宋体" w:asciiTheme="minorEastAsia" w:hAnsiTheme="minorEastAsia" w:eastAsiaTheme="minorEastAsia"/>
                <w:w w:val="95"/>
                <w:sz w:val="21"/>
                <w:szCs w:val="21"/>
              </w:rPr>
              <w:t>设备设施、工具、附件有缺陷</w:t>
            </w:r>
            <w:r>
              <w:rPr>
                <w:rFonts w:cs="宋体" w:asciiTheme="minorEastAsia" w:hAnsiTheme="minorEastAsia" w:eastAsiaTheme="minorEastAsia"/>
                <w:w w:val="105"/>
                <w:sz w:val="21"/>
                <w:szCs w:val="21"/>
              </w:rPr>
              <w:t>；</w:t>
            </w:r>
          </w:p>
          <w:p>
            <w:pPr>
              <w:widowControl w:val="0"/>
              <w:overflowPunct w:val="0"/>
              <w:autoSpaceDE w:val="0"/>
              <w:autoSpaceDN w:val="0"/>
              <w:adjustRightInd w:val="0"/>
              <w:spacing w:line="240" w:lineRule="exact"/>
              <w:rPr>
                <w:rFonts w:cs="宋体" w:asciiTheme="minorEastAsia" w:hAnsiTheme="minorEastAsia" w:eastAsiaTheme="minorEastAsia"/>
                <w:w w:val="105"/>
                <w:sz w:val="21"/>
                <w:szCs w:val="21"/>
              </w:rPr>
            </w:pPr>
            <w:r>
              <w:rPr>
                <w:rFonts w:asciiTheme="minorEastAsia" w:hAnsiTheme="minorEastAsia" w:eastAsiaTheme="minorEastAsia"/>
                <w:w w:val="105"/>
                <w:sz w:val="21"/>
                <w:szCs w:val="21"/>
              </w:rPr>
              <w:t>3)</w:t>
            </w:r>
            <w:r>
              <w:rPr>
                <w:rFonts w:hint="eastAsia" w:cs="宋体" w:asciiTheme="minorEastAsia" w:hAnsiTheme="minorEastAsia" w:eastAsiaTheme="minorEastAsia"/>
                <w:w w:val="105"/>
                <w:sz w:val="21"/>
                <w:szCs w:val="21"/>
              </w:rPr>
              <w:t>个人防护用品、用具缺少或有缺陷</w:t>
            </w:r>
            <w:r>
              <w:rPr>
                <w:rFonts w:cs="宋体" w:asciiTheme="minorEastAsia" w:hAnsiTheme="minorEastAsia" w:eastAsiaTheme="minorEastAsia"/>
                <w:w w:val="105"/>
                <w:sz w:val="21"/>
                <w:szCs w:val="21"/>
              </w:rPr>
              <w:t>；</w:t>
            </w:r>
          </w:p>
          <w:p>
            <w:pPr>
              <w:widowControl w:val="0"/>
              <w:overflowPunct w:val="0"/>
              <w:autoSpaceDE w:val="0"/>
              <w:autoSpaceDN w:val="0"/>
              <w:adjustRightInd w:val="0"/>
              <w:spacing w:line="240" w:lineRule="exact"/>
              <w:rPr>
                <w:rFonts w:asciiTheme="minorEastAsia" w:hAnsiTheme="minorEastAsia" w:eastAsiaTheme="minorEastAsia"/>
                <w:sz w:val="21"/>
                <w:szCs w:val="21"/>
              </w:rPr>
            </w:pPr>
            <w:r>
              <w:rPr>
                <w:rFonts w:asciiTheme="minorEastAsia" w:hAnsiTheme="minorEastAsia" w:eastAsiaTheme="minorEastAsia"/>
                <w:w w:val="105"/>
                <w:sz w:val="21"/>
                <w:szCs w:val="21"/>
              </w:rPr>
              <w:t xml:space="preserve">4) </w:t>
            </w:r>
            <w:r>
              <w:rPr>
                <w:rFonts w:hint="eastAsia" w:cs="宋体" w:asciiTheme="minorEastAsia" w:hAnsiTheme="minorEastAsia" w:eastAsiaTheme="minorEastAsia"/>
                <w:w w:val="105"/>
                <w:sz w:val="21"/>
                <w:szCs w:val="21"/>
              </w:rPr>
              <w:t>设备在非正常状态下运行如带</w:t>
            </w:r>
            <w:r>
              <w:rPr>
                <w:rFonts w:cs="宋体" w:asciiTheme="minorEastAsia" w:hAnsiTheme="minorEastAsia" w:eastAsiaTheme="minorEastAsia"/>
                <w:w w:val="105"/>
                <w:sz w:val="21"/>
                <w:szCs w:val="21"/>
              </w:rPr>
              <w:t>"</w:t>
            </w:r>
            <w:r>
              <w:rPr>
                <w:rFonts w:hint="eastAsia" w:cs="宋体" w:asciiTheme="minorEastAsia" w:hAnsiTheme="minorEastAsia" w:eastAsiaTheme="minorEastAsia"/>
                <w:w w:val="105"/>
                <w:sz w:val="21"/>
                <w:szCs w:val="21"/>
              </w:rPr>
              <w:t>病</w:t>
            </w:r>
            <w:r>
              <w:rPr>
                <w:rFonts w:cs="宋体" w:asciiTheme="minorEastAsia" w:hAnsiTheme="minorEastAsia" w:eastAsiaTheme="minorEastAsia"/>
                <w:w w:val="105"/>
                <w:sz w:val="21"/>
                <w:szCs w:val="21"/>
              </w:rPr>
              <w:t>"</w:t>
            </w:r>
            <w:r>
              <w:rPr>
                <w:rFonts w:hint="eastAsia" w:cs="宋体" w:asciiTheme="minorEastAsia" w:hAnsiTheme="minorEastAsia" w:eastAsiaTheme="minorEastAsia"/>
                <w:w w:val="105"/>
                <w:sz w:val="21"/>
                <w:szCs w:val="21"/>
              </w:rPr>
              <w:t>运行，超负荷运行，设备失修、保养不当，设备失灵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424" w:type="pct"/>
            <w:vMerge w:val="continue"/>
            <w:vAlign w:val="center"/>
          </w:tcPr>
          <w:p>
            <w:pPr>
              <w:widowControl w:val="0"/>
              <w:overflowPunct w:val="0"/>
              <w:autoSpaceDE w:val="0"/>
              <w:autoSpaceDN w:val="0"/>
              <w:adjustRightInd w:val="0"/>
              <w:spacing w:line="240" w:lineRule="exact"/>
              <w:jc w:val="center"/>
              <w:rPr>
                <w:rFonts w:asciiTheme="minorEastAsia" w:hAnsiTheme="minorEastAsia" w:eastAsiaTheme="minorEastAsia"/>
                <w:sz w:val="21"/>
                <w:szCs w:val="21"/>
              </w:rPr>
            </w:pPr>
          </w:p>
        </w:tc>
        <w:tc>
          <w:tcPr>
            <w:tcW w:w="1793" w:type="pct"/>
            <w:vAlign w:val="center"/>
          </w:tcPr>
          <w:p>
            <w:pPr>
              <w:widowControl w:val="0"/>
              <w:overflowPunct w:val="0"/>
              <w:autoSpaceDE w:val="0"/>
              <w:autoSpaceDN w:val="0"/>
              <w:adjustRightInd w:val="0"/>
              <w:spacing w:line="240" w:lineRule="exact"/>
              <w:jc w:val="left"/>
              <w:rPr>
                <w:rFonts w:asciiTheme="minorEastAsia" w:hAnsiTheme="minorEastAsia" w:eastAsiaTheme="minorEastAsia"/>
                <w:sz w:val="21"/>
                <w:szCs w:val="21"/>
              </w:rPr>
            </w:pPr>
            <w:r>
              <w:rPr>
                <w:rFonts w:hint="eastAsia" w:cs="宋体" w:asciiTheme="minorEastAsia" w:hAnsiTheme="minorEastAsia" w:eastAsiaTheme="minorEastAsia"/>
                <w:w w:val="105"/>
                <w:sz w:val="21"/>
                <w:szCs w:val="21"/>
              </w:rPr>
              <w:t>环境的不安全因素</w:t>
            </w:r>
          </w:p>
        </w:tc>
        <w:tc>
          <w:tcPr>
            <w:tcW w:w="2783" w:type="pct"/>
            <w:vAlign w:val="center"/>
          </w:tcPr>
          <w:p>
            <w:pPr>
              <w:widowControl w:val="0"/>
              <w:overflowPunct w:val="0"/>
              <w:autoSpaceDE w:val="0"/>
              <w:autoSpaceDN w:val="0"/>
              <w:adjustRightInd w:val="0"/>
              <w:spacing w:line="240" w:lineRule="exact"/>
              <w:rPr>
                <w:rFonts w:asciiTheme="minorEastAsia" w:hAnsiTheme="minorEastAsia" w:eastAsiaTheme="minorEastAsia"/>
                <w:sz w:val="21"/>
                <w:szCs w:val="21"/>
              </w:rPr>
            </w:pPr>
            <w:r>
              <w:rPr>
                <w:rFonts w:hint="eastAsia" w:cs="宋体" w:asciiTheme="minorEastAsia" w:hAnsiTheme="minorEastAsia" w:eastAsiaTheme="minorEastAsia"/>
                <w:w w:val="105"/>
                <w:sz w:val="21"/>
                <w:szCs w:val="21"/>
              </w:rPr>
              <w:t>物理的（噪音、振动、湿度、辐射</w:t>
            </w:r>
            <w:r>
              <w:rPr>
                <w:rFonts w:cs="宋体" w:asciiTheme="minorEastAsia" w:hAnsiTheme="minorEastAsia" w:eastAsiaTheme="minorEastAsia"/>
                <w:w w:val="105"/>
                <w:sz w:val="21"/>
                <w:szCs w:val="21"/>
              </w:rPr>
              <w:t>），</w:t>
            </w:r>
            <w:r>
              <w:rPr>
                <w:rFonts w:hint="eastAsia" w:cs="宋体" w:asciiTheme="minorEastAsia" w:hAnsiTheme="minorEastAsia" w:eastAsiaTheme="minorEastAsia"/>
                <w:w w:val="105"/>
                <w:sz w:val="21"/>
                <w:szCs w:val="21"/>
              </w:rPr>
              <w:t xml:space="preserve"> 化学的（易燃易爆、有毒、危险气体、氧化物等）以及生物因素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424" w:type="pct"/>
            <w:vMerge w:val="continue"/>
            <w:vAlign w:val="center"/>
          </w:tcPr>
          <w:p>
            <w:pPr>
              <w:widowControl w:val="0"/>
              <w:overflowPunct w:val="0"/>
              <w:autoSpaceDE w:val="0"/>
              <w:autoSpaceDN w:val="0"/>
              <w:adjustRightInd w:val="0"/>
              <w:spacing w:line="240" w:lineRule="exact"/>
              <w:jc w:val="center"/>
              <w:rPr>
                <w:rFonts w:asciiTheme="minorEastAsia" w:hAnsiTheme="minorEastAsia" w:eastAsiaTheme="minorEastAsia"/>
                <w:sz w:val="21"/>
                <w:szCs w:val="21"/>
              </w:rPr>
            </w:pPr>
          </w:p>
        </w:tc>
        <w:tc>
          <w:tcPr>
            <w:tcW w:w="1793" w:type="pct"/>
            <w:vAlign w:val="center"/>
          </w:tcPr>
          <w:p>
            <w:pPr>
              <w:widowControl w:val="0"/>
              <w:overflowPunct w:val="0"/>
              <w:autoSpaceDE w:val="0"/>
              <w:autoSpaceDN w:val="0"/>
              <w:adjustRightInd w:val="0"/>
              <w:spacing w:line="240" w:lineRule="exact"/>
              <w:jc w:val="left"/>
              <w:rPr>
                <w:rFonts w:asciiTheme="minorEastAsia" w:hAnsiTheme="minorEastAsia" w:eastAsiaTheme="minorEastAsia"/>
                <w:sz w:val="21"/>
                <w:szCs w:val="21"/>
              </w:rPr>
            </w:pPr>
            <w:r>
              <w:rPr>
                <w:rFonts w:hint="eastAsia" w:cs="宋体" w:asciiTheme="minorEastAsia" w:hAnsiTheme="minorEastAsia" w:eastAsiaTheme="minorEastAsia"/>
                <w:w w:val="105"/>
                <w:sz w:val="21"/>
                <w:szCs w:val="21"/>
              </w:rPr>
              <w:t>管理缺</w:t>
            </w:r>
            <w:r>
              <w:rPr>
                <w:rFonts w:hint="eastAsia" w:cs="宋体" w:asciiTheme="minorEastAsia" w:hAnsiTheme="minorEastAsia" w:eastAsiaTheme="minorEastAsia"/>
                <w:spacing w:val="5"/>
                <w:w w:val="105"/>
                <w:sz w:val="21"/>
                <w:szCs w:val="21"/>
              </w:rPr>
              <w:t>陷</w:t>
            </w:r>
            <w:r>
              <w:rPr>
                <w:rFonts w:asciiTheme="minorEastAsia" w:hAnsiTheme="minorEastAsia" w:eastAsiaTheme="minorEastAsia"/>
                <w:w w:val="105"/>
                <w:sz w:val="21"/>
                <w:szCs w:val="21"/>
              </w:rPr>
              <w:t>：</w:t>
            </w:r>
            <w:r>
              <w:rPr>
                <w:rFonts w:hint="eastAsia" w:cs="宋体" w:asciiTheme="minorEastAsia" w:hAnsiTheme="minorEastAsia" w:eastAsiaTheme="minorEastAsia"/>
                <w:w w:val="105"/>
                <w:sz w:val="21"/>
                <w:szCs w:val="21"/>
              </w:rPr>
              <w:t>安全监督、检查、事故防范、应</w:t>
            </w:r>
            <w:r>
              <w:rPr>
                <w:rFonts w:hint="eastAsia" w:cs="宋体" w:asciiTheme="minorEastAsia" w:hAnsiTheme="minorEastAsia" w:eastAsiaTheme="minorEastAsia"/>
                <w:sz w:val="21"/>
                <w:szCs w:val="21"/>
              </w:rPr>
              <w:t>急管理、作业人员安排、防护用晶缺少、工艺过程和操作方法等的管理</w:t>
            </w:r>
          </w:p>
        </w:tc>
        <w:tc>
          <w:tcPr>
            <w:tcW w:w="2783" w:type="pct"/>
            <w:vAlign w:val="center"/>
          </w:tcPr>
          <w:p>
            <w:pPr>
              <w:widowControl w:val="0"/>
              <w:overflowPunct w:val="0"/>
              <w:autoSpaceDE w:val="0"/>
              <w:autoSpaceDN w:val="0"/>
              <w:adjustRightInd w:val="0"/>
              <w:spacing w:line="240" w:lineRule="exact"/>
              <w:rPr>
                <w:rFonts w:asciiTheme="minorEastAsia" w:hAnsiTheme="minorEastAsia" w:eastAsiaTheme="minorEastAsia"/>
                <w:sz w:val="21"/>
                <w:szCs w:val="21"/>
              </w:rPr>
            </w:pPr>
            <w:r>
              <w:rPr>
                <w:rFonts w:cs="宋体" w:asciiTheme="minorEastAsia" w:hAnsiTheme="minorEastAsia" w:eastAsiaTheme="minorEastAsia"/>
                <w:sz w:val="21"/>
                <w:szCs w:val="21"/>
              </w:rPr>
              <w:t>1)</w:t>
            </w:r>
            <w:r>
              <w:rPr>
                <w:rFonts w:hint="eastAsia" w:cs="宋体" w:asciiTheme="minorEastAsia" w:hAnsiTheme="minorEastAsia" w:eastAsiaTheme="minorEastAsia"/>
                <w:sz w:val="21"/>
                <w:szCs w:val="21"/>
              </w:rPr>
              <w:t>技术和设计上缺陷</w:t>
            </w:r>
            <w:r>
              <w:rPr>
                <w:rFonts w:asciiTheme="minorEastAsia" w:hAnsiTheme="minorEastAsia" w:eastAsiaTheme="minorEastAsia"/>
                <w:sz w:val="21"/>
                <w:szCs w:val="21"/>
              </w:rPr>
              <w:t>；</w:t>
            </w:r>
          </w:p>
          <w:p>
            <w:pPr>
              <w:widowControl w:val="0"/>
              <w:tabs>
                <w:tab w:val="left" w:pos="5180"/>
              </w:tabs>
              <w:overflowPunct w:val="0"/>
              <w:autoSpaceDE w:val="0"/>
              <w:autoSpaceDN w:val="0"/>
              <w:adjustRightInd w:val="0"/>
              <w:spacing w:line="240" w:lineRule="exact"/>
              <w:rPr>
                <w:rFonts w:cs="宋体" w:asciiTheme="minorEastAsia" w:hAnsiTheme="minorEastAsia" w:eastAsiaTheme="minorEastAsia"/>
                <w:sz w:val="21"/>
                <w:szCs w:val="21"/>
              </w:rPr>
            </w:pPr>
            <w:r>
              <w:rPr>
                <w:rFonts w:asciiTheme="minorEastAsia" w:hAnsiTheme="minorEastAsia" w:eastAsiaTheme="minorEastAsia"/>
                <w:w w:val="105"/>
                <w:sz w:val="21"/>
                <w:szCs w:val="21"/>
              </w:rPr>
              <w:t>2)</w:t>
            </w:r>
            <w:r>
              <w:rPr>
                <w:rFonts w:asciiTheme="minorEastAsia" w:hAnsiTheme="minorEastAsia" w:eastAsiaTheme="minorEastAsia"/>
                <w:spacing w:val="4"/>
                <w:w w:val="105"/>
                <w:sz w:val="21"/>
                <w:szCs w:val="21"/>
              </w:rPr>
              <w:t xml:space="preserve"> </w:t>
            </w:r>
            <w:r>
              <w:rPr>
                <w:rFonts w:hint="eastAsia" w:cs="宋体" w:asciiTheme="minorEastAsia" w:hAnsiTheme="minorEastAsia" w:eastAsiaTheme="minorEastAsia"/>
                <w:w w:val="105"/>
                <w:sz w:val="21"/>
                <w:szCs w:val="21"/>
              </w:rPr>
              <w:t>安全教育培训不够，未经培训，缺乏或不懂安全操作技术</w:t>
            </w:r>
            <w:r>
              <w:rPr>
                <w:rFonts w:hint="eastAsia" w:cs="宋体" w:asciiTheme="minorEastAsia" w:hAnsiTheme="minorEastAsia" w:eastAsiaTheme="minorEastAsia"/>
                <w:sz w:val="21"/>
                <w:szCs w:val="21"/>
              </w:rPr>
              <w:t>知识</w:t>
            </w:r>
            <w:r>
              <w:rPr>
                <w:rFonts w:cs="宋体" w:asciiTheme="minorEastAsia" w:hAnsiTheme="minorEastAsia" w:eastAsiaTheme="minorEastAsia"/>
                <w:sz w:val="21"/>
                <w:szCs w:val="21"/>
              </w:rPr>
              <w:t>:</w:t>
            </w:r>
          </w:p>
          <w:p>
            <w:pPr>
              <w:widowControl w:val="0"/>
              <w:overflowPunct w:val="0"/>
              <w:autoSpaceDE w:val="0"/>
              <w:autoSpaceDN w:val="0"/>
              <w:adjustRightInd w:val="0"/>
              <w:spacing w:line="240" w:lineRule="exact"/>
              <w:rPr>
                <w:rFonts w:asciiTheme="minorEastAsia" w:hAnsiTheme="minorEastAsia" w:eastAsiaTheme="minorEastAsia"/>
                <w:sz w:val="21"/>
                <w:szCs w:val="21"/>
              </w:rPr>
            </w:pPr>
            <w:r>
              <w:rPr>
                <w:rFonts w:asciiTheme="minorEastAsia" w:hAnsiTheme="minorEastAsia" w:eastAsiaTheme="minorEastAsia"/>
                <w:w w:val="105"/>
                <w:sz w:val="21"/>
                <w:szCs w:val="21"/>
              </w:rPr>
              <w:t xml:space="preserve">3) </w:t>
            </w:r>
            <w:r>
              <w:rPr>
                <w:rFonts w:hint="eastAsia" w:cs="宋体" w:asciiTheme="minorEastAsia" w:hAnsiTheme="minorEastAsia" w:eastAsiaTheme="minorEastAsia"/>
                <w:w w:val="105"/>
                <w:sz w:val="21"/>
                <w:szCs w:val="21"/>
              </w:rPr>
              <w:t>劳动组织不合理</w:t>
            </w:r>
            <w:r>
              <w:rPr>
                <w:rFonts w:cs="宋体" w:asciiTheme="minorEastAsia" w:hAnsiTheme="minorEastAsia" w:eastAsiaTheme="minorEastAsia"/>
                <w:spacing w:val="-85"/>
                <w:w w:val="105"/>
                <w:sz w:val="21"/>
                <w:szCs w:val="21"/>
              </w:rPr>
              <w:t xml:space="preserve"> </w:t>
            </w:r>
            <w:r>
              <w:rPr>
                <w:rFonts w:asciiTheme="minorEastAsia" w:hAnsiTheme="minorEastAsia" w:eastAsiaTheme="minorEastAsia"/>
                <w:sz w:val="21"/>
                <w:szCs w:val="21"/>
              </w:rPr>
              <w:t>；</w:t>
            </w:r>
          </w:p>
          <w:p>
            <w:pPr>
              <w:widowControl w:val="0"/>
              <w:overflowPunct w:val="0"/>
              <w:autoSpaceDE w:val="0"/>
              <w:autoSpaceDN w:val="0"/>
              <w:adjustRightInd w:val="0"/>
              <w:spacing w:line="240" w:lineRule="exact"/>
              <w:rPr>
                <w:rFonts w:asciiTheme="minorEastAsia" w:hAnsiTheme="minorEastAsia" w:eastAsiaTheme="minorEastAsia"/>
                <w:w w:val="80"/>
                <w:sz w:val="21"/>
                <w:szCs w:val="21"/>
              </w:rPr>
            </w:pPr>
            <w:r>
              <w:rPr>
                <w:rFonts w:asciiTheme="minorEastAsia" w:hAnsiTheme="minorEastAsia" w:eastAsiaTheme="minorEastAsia"/>
                <w:w w:val="110"/>
                <w:sz w:val="21"/>
                <w:szCs w:val="21"/>
              </w:rPr>
              <w:t xml:space="preserve">4) </w:t>
            </w:r>
            <w:r>
              <w:rPr>
                <w:rFonts w:hint="eastAsia" w:cs="宋体" w:asciiTheme="minorEastAsia" w:hAnsiTheme="minorEastAsia" w:eastAsiaTheme="minorEastAsia"/>
                <w:w w:val="95"/>
                <w:sz w:val="21"/>
                <w:szCs w:val="21"/>
              </w:rPr>
              <w:t>对现场工作缺乏检查和指导错误</w:t>
            </w:r>
            <w:r>
              <w:rPr>
                <w:rFonts w:cs="宋体" w:asciiTheme="minorEastAsia" w:hAnsiTheme="minorEastAsia" w:eastAsiaTheme="minorEastAsia"/>
                <w:spacing w:val="-11"/>
                <w:w w:val="95"/>
                <w:sz w:val="21"/>
                <w:szCs w:val="21"/>
              </w:rPr>
              <w:t xml:space="preserve"> </w:t>
            </w:r>
            <w:r>
              <w:rPr>
                <w:rFonts w:asciiTheme="minorEastAsia" w:hAnsiTheme="minorEastAsia" w:eastAsiaTheme="minorEastAsia"/>
                <w:w w:val="80"/>
                <w:sz w:val="21"/>
                <w:szCs w:val="21"/>
              </w:rPr>
              <w:t>；</w:t>
            </w:r>
          </w:p>
          <w:p>
            <w:pPr>
              <w:widowControl w:val="0"/>
              <w:overflowPunct w:val="0"/>
              <w:autoSpaceDE w:val="0"/>
              <w:autoSpaceDN w:val="0"/>
              <w:adjustRightInd w:val="0"/>
              <w:spacing w:line="240" w:lineRule="exact"/>
              <w:rPr>
                <w:rFonts w:asciiTheme="minorEastAsia" w:hAnsiTheme="minorEastAsia" w:eastAsiaTheme="minorEastAsia"/>
                <w:w w:val="85"/>
                <w:sz w:val="21"/>
                <w:szCs w:val="21"/>
              </w:rPr>
            </w:pPr>
            <w:r>
              <w:rPr>
                <w:rFonts w:hint="eastAsia" w:asciiTheme="minorEastAsia" w:hAnsiTheme="minorEastAsia" w:eastAsiaTheme="minorEastAsia"/>
                <w:w w:val="80"/>
                <w:sz w:val="21"/>
                <w:szCs w:val="21"/>
              </w:rPr>
              <w:t>5</w:t>
            </w:r>
            <w:r>
              <w:rPr>
                <w:rFonts w:asciiTheme="minorEastAsia" w:hAnsiTheme="minorEastAsia" w:eastAsiaTheme="minorEastAsia"/>
                <w:w w:val="80"/>
                <w:sz w:val="21"/>
                <w:szCs w:val="21"/>
              </w:rPr>
              <w:t>）</w:t>
            </w:r>
            <w:r>
              <w:rPr>
                <w:rFonts w:hint="eastAsia" w:cs="宋体" w:asciiTheme="minorEastAsia" w:hAnsiTheme="minorEastAsia" w:eastAsiaTheme="minorEastAsia"/>
                <w:w w:val="85"/>
                <w:sz w:val="21"/>
                <w:szCs w:val="21"/>
              </w:rPr>
              <w:t>没有安全操作规程或不健全</w:t>
            </w:r>
            <w:r>
              <w:rPr>
                <w:rFonts w:asciiTheme="minorEastAsia" w:hAnsiTheme="minorEastAsia" w:eastAsiaTheme="minorEastAsia"/>
                <w:w w:val="85"/>
                <w:sz w:val="21"/>
                <w:szCs w:val="21"/>
              </w:rPr>
              <w:t>；</w:t>
            </w:r>
          </w:p>
          <w:p>
            <w:pPr>
              <w:widowControl w:val="0"/>
              <w:overflowPunct w:val="0"/>
              <w:autoSpaceDE w:val="0"/>
              <w:autoSpaceDN w:val="0"/>
              <w:adjustRightInd w:val="0"/>
              <w:spacing w:line="240" w:lineRule="exact"/>
              <w:rPr>
                <w:rFonts w:asciiTheme="minorEastAsia" w:hAnsiTheme="minorEastAsia" w:eastAsiaTheme="minorEastAsia"/>
                <w:w w:val="80"/>
                <w:sz w:val="21"/>
                <w:szCs w:val="21"/>
              </w:rPr>
            </w:pPr>
            <w:r>
              <w:rPr>
                <w:rFonts w:asciiTheme="minorEastAsia" w:hAnsiTheme="minorEastAsia" w:eastAsiaTheme="minorEastAsia"/>
                <w:sz w:val="21"/>
                <w:szCs w:val="21"/>
              </w:rPr>
              <w:t>6)</w:t>
            </w:r>
            <w:r>
              <w:rPr>
                <w:rFonts w:asciiTheme="minorEastAsia" w:hAnsiTheme="minorEastAsia" w:eastAsiaTheme="minorEastAsia"/>
                <w:spacing w:val="34"/>
                <w:sz w:val="21"/>
                <w:szCs w:val="21"/>
              </w:rPr>
              <w:t xml:space="preserve"> </w:t>
            </w:r>
            <w:r>
              <w:rPr>
                <w:rFonts w:hint="eastAsia" w:cs="宋体" w:asciiTheme="minorEastAsia" w:hAnsiTheme="minorEastAsia" w:eastAsiaTheme="minorEastAsia"/>
                <w:sz w:val="21"/>
                <w:szCs w:val="21"/>
              </w:rPr>
              <w:t>没有或不认真实施事故防范措施</w:t>
            </w:r>
            <w:r>
              <w:rPr>
                <w:rFonts w:asciiTheme="minorEastAsia" w:hAnsiTheme="minorEastAsia" w:eastAsiaTheme="minorEastAsia"/>
                <w:w w:val="80"/>
                <w:sz w:val="21"/>
                <w:szCs w:val="21"/>
              </w:rPr>
              <w:t>；</w:t>
            </w:r>
          </w:p>
          <w:p>
            <w:pPr>
              <w:widowControl w:val="0"/>
              <w:overflowPunct w:val="0"/>
              <w:autoSpaceDE w:val="0"/>
              <w:autoSpaceDN w:val="0"/>
              <w:adjustRightInd w:val="0"/>
              <w:spacing w:line="240" w:lineRule="exact"/>
              <w:rPr>
                <w:rFonts w:asciiTheme="minorEastAsia" w:hAnsiTheme="minorEastAsia" w:eastAsiaTheme="minorEastAsia"/>
                <w:sz w:val="21"/>
                <w:szCs w:val="21"/>
              </w:rPr>
            </w:pPr>
            <w:r>
              <w:rPr>
                <w:rFonts w:cs="宋体" w:asciiTheme="minorEastAsia" w:hAnsiTheme="minorEastAsia" w:eastAsiaTheme="minorEastAsia"/>
                <w:w w:val="105"/>
                <w:sz w:val="21"/>
                <w:szCs w:val="21"/>
              </w:rPr>
              <w:t>7)</w:t>
            </w:r>
            <w:r>
              <w:rPr>
                <w:rFonts w:hint="eastAsia" w:cs="宋体" w:asciiTheme="minorEastAsia" w:hAnsiTheme="minorEastAsia" w:eastAsiaTheme="minorEastAsia"/>
                <w:w w:val="105"/>
                <w:sz w:val="21"/>
                <w:szCs w:val="21"/>
              </w:rPr>
              <w:t>对事故隐患整改不力等</w:t>
            </w:r>
          </w:p>
        </w:tc>
      </w:tr>
    </w:tbl>
    <w:p>
      <w:pPr>
        <w:kinsoku w:val="0"/>
        <w:overflowPunct w:val="0"/>
        <w:rPr>
          <w:rFonts w:ascii="宋体" w:eastAsia="宋体" w:cs="宋体"/>
          <w:w w:val="105"/>
          <w:sz w:val="20"/>
          <w:szCs w:val="20"/>
        </w:rPr>
      </w:pPr>
    </w:p>
    <w:p>
      <w:pPr>
        <w:jc w:val="center"/>
        <w:outlineLvl w:val="0"/>
        <w:rPr>
          <w:rFonts w:ascii="方正小标宋_GBK" w:hAnsi="黑体" w:eastAsia="方正小标宋_GBK"/>
          <w:b/>
          <w:bCs/>
          <w:sz w:val="28"/>
          <w:szCs w:val="28"/>
        </w:rPr>
      </w:pPr>
      <w:r>
        <w:rPr>
          <w:rFonts w:ascii="宋体" w:eastAsia="宋体" w:cs="宋体"/>
          <w:w w:val="105"/>
          <w:sz w:val="20"/>
          <w:szCs w:val="20"/>
        </w:rPr>
        <w:br w:type="page"/>
      </w:r>
      <w:bookmarkStart w:id="153" w:name="_Toc119336606"/>
      <w:bookmarkStart w:id="154" w:name="_Toc117541325"/>
      <w:r>
        <w:rPr>
          <w:rFonts w:hint="eastAsia" w:ascii="方正小标宋_GBK" w:hAnsi="黑体" w:eastAsia="方正小标宋_GBK"/>
          <w:b/>
          <w:bCs/>
          <w:sz w:val="28"/>
          <w:szCs w:val="28"/>
        </w:rPr>
        <w:t>附录B.3</w:t>
      </w:r>
      <w:bookmarkEnd w:id="153"/>
      <w:bookmarkEnd w:id="154"/>
    </w:p>
    <w:p>
      <w:pPr>
        <w:jc w:val="center"/>
        <w:rPr>
          <w:rFonts w:ascii="方正小标宋_GBK" w:hAnsi="黑体" w:eastAsia="方正小标宋_GBK"/>
          <w:b/>
          <w:bCs/>
          <w:sz w:val="28"/>
          <w:szCs w:val="28"/>
        </w:rPr>
      </w:pPr>
      <w:r>
        <w:rPr>
          <w:rFonts w:hint="eastAsia" w:ascii="方正小标宋_GBK" w:hAnsi="黑体" w:eastAsia="方正小标宋_GBK"/>
          <w:b/>
          <w:bCs/>
          <w:sz w:val="28"/>
          <w:szCs w:val="28"/>
        </w:rPr>
        <w:t>（资料性附录）</w:t>
      </w:r>
      <w:bookmarkStart w:id="155" w:name="_Hlk117456571"/>
    </w:p>
    <w:p>
      <w:pPr>
        <w:jc w:val="center"/>
        <w:outlineLvl w:val="1"/>
        <w:rPr>
          <w:rFonts w:ascii="方正小标宋_GBK" w:hAnsi="黑体" w:eastAsia="方正小标宋_GBK"/>
          <w:b/>
          <w:bCs/>
          <w:sz w:val="28"/>
          <w:szCs w:val="28"/>
        </w:rPr>
      </w:pPr>
      <w:bookmarkStart w:id="156" w:name="_Toc119336607"/>
      <w:bookmarkStart w:id="157" w:name="_Toc117541326"/>
      <w:r>
        <w:rPr>
          <w:rFonts w:hint="eastAsia" w:ascii="方正小标宋_GBK" w:hAnsi="黑体" w:eastAsia="方正小标宋_GBK"/>
          <w:b/>
          <w:bCs/>
          <w:sz w:val="28"/>
          <w:szCs w:val="28"/>
        </w:rPr>
        <w:t>危险源辨识范围示例</w:t>
      </w:r>
      <w:bookmarkEnd w:id="156"/>
      <w:bookmarkEnd w:id="157"/>
    </w:p>
    <w:bookmarkEnd w:id="155"/>
    <w:p>
      <w:pPr>
        <w:kinsoku w:val="0"/>
        <w:overflowPunct w:val="0"/>
        <w:spacing w:line="200" w:lineRule="exact"/>
        <w:rPr>
          <w:sz w:val="20"/>
          <w:szCs w:val="20"/>
        </w:rPr>
      </w:pPr>
    </w:p>
    <w:tbl>
      <w:tblPr>
        <w:tblStyle w:val="3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709"/>
        <w:gridCol w:w="992"/>
        <w:gridCol w:w="66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426" w:type="pct"/>
            <w:vMerge w:val="restart"/>
            <w:vAlign w:val="center"/>
          </w:tcPr>
          <w:p>
            <w:pPr>
              <w:overflowPunct w:val="0"/>
              <w:spacing w:line="280" w:lineRule="exact"/>
              <w:jc w:val="center"/>
              <w:rPr>
                <w:sz w:val="21"/>
                <w:szCs w:val="21"/>
              </w:rPr>
            </w:pPr>
          </w:p>
          <w:p>
            <w:pPr>
              <w:overflowPunct w:val="0"/>
              <w:spacing w:line="280" w:lineRule="exact"/>
              <w:jc w:val="center"/>
              <w:rPr>
                <w:sz w:val="21"/>
                <w:szCs w:val="21"/>
              </w:rPr>
            </w:pPr>
            <w:r>
              <w:rPr>
                <w:rFonts w:hint="eastAsia" w:ascii="宋体" w:eastAsia="宋体" w:cs="宋体"/>
                <w:sz w:val="21"/>
                <w:szCs w:val="21"/>
              </w:rPr>
              <w:t>九个方</w:t>
            </w:r>
          </w:p>
          <w:p>
            <w:pPr>
              <w:widowControl w:val="0"/>
              <w:overflowPunct w:val="0"/>
              <w:autoSpaceDE w:val="0"/>
              <w:autoSpaceDN w:val="0"/>
              <w:adjustRightInd w:val="0"/>
              <w:spacing w:line="280" w:lineRule="exact"/>
              <w:jc w:val="center"/>
              <w:rPr>
                <w:sz w:val="21"/>
                <w:szCs w:val="21"/>
              </w:rPr>
            </w:pPr>
            <w:r>
              <w:rPr>
                <w:rFonts w:hint="eastAsia" w:ascii="宋体" w:eastAsia="宋体" w:cs="宋体"/>
                <w:sz w:val="21"/>
                <w:szCs w:val="21"/>
              </w:rPr>
              <w:t>面辨识</w:t>
            </w:r>
          </w:p>
        </w:tc>
        <w:tc>
          <w:tcPr>
            <w:tcW w:w="596" w:type="pct"/>
            <w:vAlign w:val="center"/>
          </w:tcPr>
          <w:p>
            <w:pPr>
              <w:overflowPunct w:val="0"/>
              <w:spacing w:line="280" w:lineRule="exact"/>
              <w:rPr>
                <w:sz w:val="21"/>
                <w:szCs w:val="21"/>
              </w:rPr>
            </w:pPr>
            <w:r>
              <w:rPr>
                <w:rFonts w:hint="eastAsia" w:ascii="宋体" w:eastAsia="宋体" w:cs="宋体"/>
                <w:sz w:val="21"/>
                <w:szCs w:val="21"/>
              </w:rPr>
              <w:t>地理位置</w:t>
            </w:r>
          </w:p>
        </w:tc>
        <w:tc>
          <w:tcPr>
            <w:tcW w:w="3979" w:type="pct"/>
            <w:vAlign w:val="center"/>
          </w:tcPr>
          <w:p>
            <w:pPr>
              <w:overflowPunct w:val="0"/>
              <w:spacing w:line="280" w:lineRule="exact"/>
              <w:rPr>
                <w:rFonts w:ascii="宋体" w:hAnsi="宋体" w:eastAsia="宋体"/>
                <w:sz w:val="21"/>
                <w:szCs w:val="21"/>
              </w:rPr>
            </w:pPr>
            <w:r>
              <w:rPr>
                <w:rFonts w:hint="eastAsia" w:ascii="宋体" w:hAnsi="宋体" w:eastAsia="宋体" w:cs="宋体"/>
                <w:sz w:val="21"/>
                <w:szCs w:val="21"/>
              </w:rPr>
              <w:t>从地址的工程地质、地形地貌、水文、气象条件、周围环境、交通运输条件、自然灾害、抢险救灾支持条件等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426" w:type="pct"/>
            <w:vMerge w:val="continue"/>
            <w:vAlign w:val="center"/>
          </w:tcPr>
          <w:p>
            <w:pPr>
              <w:widowControl w:val="0"/>
              <w:overflowPunct w:val="0"/>
              <w:autoSpaceDE w:val="0"/>
              <w:autoSpaceDN w:val="0"/>
              <w:adjustRightInd w:val="0"/>
              <w:spacing w:line="280" w:lineRule="exact"/>
              <w:jc w:val="center"/>
              <w:rPr>
                <w:sz w:val="21"/>
                <w:szCs w:val="21"/>
              </w:rPr>
            </w:pPr>
          </w:p>
        </w:tc>
        <w:tc>
          <w:tcPr>
            <w:tcW w:w="596" w:type="pct"/>
            <w:vAlign w:val="center"/>
          </w:tcPr>
          <w:p>
            <w:pPr>
              <w:overflowPunct w:val="0"/>
              <w:spacing w:line="280" w:lineRule="exact"/>
              <w:rPr>
                <w:sz w:val="21"/>
                <w:szCs w:val="21"/>
              </w:rPr>
            </w:pPr>
          </w:p>
          <w:p>
            <w:pPr>
              <w:overflowPunct w:val="0"/>
              <w:spacing w:line="280" w:lineRule="exact"/>
              <w:rPr>
                <w:sz w:val="21"/>
                <w:szCs w:val="21"/>
              </w:rPr>
            </w:pPr>
            <w:r>
              <w:rPr>
                <w:rFonts w:hint="eastAsia" w:ascii="宋体" w:eastAsia="宋体" w:cs="宋体"/>
                <w:sz w:val="21"/>
                <w:szCs w:val="21"/>
              </w:rPr>
              <w:t>平面布局</w:t>
            </w:r>
          </w:p>
        </w:tc>
        <w:tc>
          <w:tcPr>
            <w:tcW w:w="3979" w:type="pct"/>
            <w:vAlign w:val="center"/>
          </w:tcPr>
          <w:p>
            <w:pPr>
              <w:overflowPunct w:val="0"/>
              <w:spacing w:line="280" w:lineRule="exact"/>
              <w:rPr>
                <w:rFonts w:ascii="宋体" w:hAnsi="宋体" w:eastAsia="宋体"/>
                <w:sz w:val="21"/>
                <w:szCs w:val="21"/>
              </w:rPr>
            </w:pPr>
            <w:r>
              <w:rPr>
                <w:rFonts w:hint="eastAsia" w:ascii="宋体" w:hAnsi="宋体" w:eastAsia="宋体" w:cs="宋体"/>
                <w:sz w:val="21"/>
                <w:szCs w:val="21"/>
              </w:rPr>
              <w:t>功能分区</w:t>
            </w:r>
            <w:r>
              <w:rPr>
                <w:rFonts w:ascii="宋体" w:hAnsi="宋体" w:eastAsia="宋体" w:cs="宋体"/>
                <w:sz w:val="21"/>
                <w:szCs w:val="21"/>
              </w:rPr>
              <w:t>(</w:t>
            </w:r>
            <w:r>
              <w:rPr>
                <w:rFonts w:hint="eastAsia" w:ascii="宋体" w:hAnsi="宋体" w:eastAsia="宋体" w:cs="宋体"/>
                <w:sz w:val="21"/>
                <w:szCs w:val="21"/>
              </w:rPr>
              <w:t>生产、管理、辅助生产、生活区等)布置：高温、有害物质、噪声、辐射、易燃易爆、危险化学品设施布置；工艺流程布置；建</w:t>
            </w:r>
            <w:r>
              <w:rPr>
                <w:rFonts w:ascii="宋体" w:hAnsi="宋体" w:eastAsia="宋体" w:cs="宋体"/>
                <w:sz w:val="21"/>
                <w:szCs w:val="21"/>
              </w:rPr>
              <w:t>(</w:t>
            </w:r>
            <w:r>
              <w:rPr>
                <w:rFonts w:hint="eastAsia" w:ascii="宋体" w:hAnsi="宋体" w:eastAsia="宋体" w:cs="宋体"/>
                <w:sz w:val="21"/>
                <w:szCs w:val="21"/>
              </w:rPr>
              <w:t>构)筑物布置；风向、安全距离、卫生防护距离、运输线路、厂区道路、危险品装卸区及库房等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426" w:type="pct"/>
            <w:vMerge w:val="continue"/>
            <w:vAlign w:val="center"/>
          </w:tcPr>
          <w:p>
            <w:pPr>
              <w:widowControl w:val="0"/>
              <w:overflowPunct w:val="0"/>
              <w:autoSpaceDE w:val="0"/>
              <w:autoSpaceDN w:val="0"/>
              <w:adjustRightInd w:val="0"/>
              <w:spacing w:line="280" w:lineRule="exact"/>
              <w:jc w:val="center"/>
              <w:rPr>
                <w:sz w:val="21"/>
                <w:szCs w:val="21"/>
              </w:rPr>
            </w:pPr>
          </w:p>
        </w:tc>
        <w:tc>
          <w:tcPr>
            <w:tcW w:w="596" w:type="pct"/>
            <w:vAlign w:val="center"/>
          </w:tcPr>
          <w:p>
            <w:pPr>
              <w:overflowPunct w:val="0"/>
              <w:spacing w:line="280" w:lineRule="exact"/>
              <w:rPr>
                <w:sz w:val="21"/>
                <w:szCs w:val="21"/>
              </w:rPr>
            </w:pPr>
            <w:r>
              <w:rPr>
                <w:rFonts w:hint="eastAsia" w:ascii="宋体" w:eastAsia="宋体" w:cs="宋体"/>
                <w:sz w:val="21"/>
                <w:szCs w:val="21"/>
              </w:rPr>
              <w:t>基础设施</w:t>
            </w:r>
          </w:p>
        </w:tc>
        <w:tc>
          <w:tcPr>
            <w:tcW w:w="3979" w:type="pct"/>
            <w:vAlign w:val="center"/>
          </w:tcPr>
          <w:p>
            <w:pPr>
              <w:overflowPunct w:val="0"/>
              <w:spacing w:line="280" w:lineRule="exact"/>
              <w:rPr>
                <w:rFonts w:ascii="宋体" w:hAnsi="宋体" w:eastAsia="宋体"/>
                <w:sz w:val="21"/>
                <w:szCs w:val="21"/>
              </w:rPr>
            </w:pPr>
            <w:r>
              <w:rPr>
                <w:rFonts w:hint="eastAsia" w:ascii="宋体" w:hAnsi="宋体" w:eastAsia="宋体" w:cs="宋体"/>
                <w:sz w:val="21"/>
                <w:szCs w:val="21"/>
              </w:rPr>
              <w:t>建（构）筑物的结构、防火、防爆、朝向、采光、运输</w:t>
            </w:r>
            <w:r>
              <w:rPr>
                <w:rFonts w:ascii="宋体" w:hAnsi="宋体" w:eastAsia="宋体" w:cs="宋体"/>
                <w:sz w:val="21"/>
                <w:szCs w:val="21"/>
              </w:rPr>
              <w:t>(</w:t>
            </w:r>
            <w:r>
              <w:rPr>
                <w:rFonts w:hint="eastAsia" w:ascii="宋体" w:hAnsi="宋体" w:eastAsia="宋体" w:cs="宋体"/>
                <w:sz w:val="21"/>
                <w:szCs w:val="21"/>
              </w:rPr>
              <w:t>操作、安全、运输、检修)通道、开门；应急、消防、急救、逃生、劳保、警示、防护、监视、报警设施；生活服务配套设施等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426" w:type="pct"/>
            <w:vMerge w:val="continue"/>
            <w:vAlign w:val="center"/>
          </w:tcPr>
          <w:p>
            <w:pPr>
              <w:widowControl w:val="0"/>
              <w:overflowPunct w:val="0"/>
              <w:autoSpaceDE w:val="0"/>
              <w:autoSpaceDN w:val="0"/>
              <w:adjustRightInd w:val="0"/>
              <w:spacing w:line="280" w:lineRule="exact"/>
              <w:jc w:val="center"/>
              <w:rPr>
                <w:sz w:val="21"/>
                <w:szCs w:val="21"/>
              </w:rPr>
            </w:pPr>
          </w:p>
        </w:tc>
        <w:tc>
          <w:tcPr>
            <w:tcW w:w="596" w:type="pct"/>
            <w:vAlign w:val="center"/>
          </w:tcPr>
          <w:p>
            <w:pPr>
              <w:overflowPunct w:val="0"/>
              <w:spacing w:line="280" w:lineRule="exact"/>
              <w:rPr>
                <w:sz w:val="21"/>
                <w:szCs w:val="21"/>
              </w:rPr>
            </w:pPr>
            <w:r>
              <w:rPr>
                <w:rFonts w:hint="eastAsia" w:ascii="宋体" w:eastAsia="宋体" w:cs="宋体"/>
                <w:sz w:val="21"/>
                <w:szCs w:val="21"/>
              </w:rPr>
              <w:t>作业环境</w:t>
            </w:r>
          </w:p>
        </w:tc>
        <w:tc>
          <w:tcPr>
            <w:tcW w:w="3979" w:type="pct"/>
            <w:vAlign w:val="center"/>
          </w:tcPr>
          <w:p>
            <w:pPr>
              <w:overflowPunct w:val="0"/>
              <w:spacing w:line="280" w:lineRule="exact"/>
              <w:rPr>
                <w:rFonts w:ascii="宋体" w:hAnsi="宋体" w:eastAsia="宋体"/>
                <w:sz w:val="21"/>
                <w:szCs w:val="21"/>
              </w:rPr>
            </w:pPr>
            <w:r>
              <w:rPr>
                <w:rFonts w:hint="eastAsia" w:ascii="宋体" w:hAnsi="宋体" w:eastAsia="宋体" w:cs="宋体"/>
                <w:sz w:val="21"/>
                <w:szCs w:val="21"/>
              </w:rPr>
              <w:t>毒物、粉尘、噪声、振动、辐射、高低温、通风不良、照明不良、空间狭窄、地面湿滑、烟雾弥漫、色彩等，以及野外作业可能存在的大风、大雾、雷电、雨雪等不良天气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426" w:type="pct"/>
            <w:vMerge w:val="continue"/>
            <w:vAlign w:val="center"/>
          </w:tcPr>
          <w:p>
            <w:pPr>
              <w:widowControl w:val="0"/>
              <w:overflowPunct w:val="0"/>
              <w:autoSpaceDE w:val="0"/>
              <w:autoSpaceDN w:val="0"/>
              <w:adjustRightInd w:val="0"/>
              <w:spacing w:line="280" w:lineRule="exact"/>
              <w:jc w:val="center"/>
              <w:rPr>
                <w:sz w:val="21"/>
                <w:szCs w:val="21"/>
              </w:rPr>
            </w:pPr>
          </w:p>
        </w:tc>
        <w:tc>
          <w:tcPr>
            <w:tcW w:w="596" w:type="pct"/>
            <w:vAlign w:val="center"/>
          </w:tcPr>
          <w:p>
            <w:pPr>
              <w:overflowPunct w:val="0"/>
              <w:spacing w:line="280" w:lineRule="exact"/>
              <w:rPr>
                <w:sz w:val="21"/>
                <w:szCs w:val="21"/>
              </w:rPr>
            </w:pPr>
            <w:r>
              <w:rPr>
                <w:rFonts w:hint="eastAsia" w:ascii="宋体" w:eastAsia="宋体" w:cs="宋体"/>
                <w:sz w:val="21"/>
                <w:szCs w:val="21"/>
              </w:rPr>
              <w:t>生产工艺</w:t>
            </w:r>
          </w:p>
        </w:tc>
        <w:tc>
          <w:tcPr>
            <w:tcW w:w="3979" w:type="pct"/>
            <w:vAlign w:val="center"/>
          </w:tcPr>
          <w:p>
            <w:pPr>
              <w:overflowPunct w:val="0"/>
              <w:spacing w:line="280" w:lineRule="exact"/>
              <w:rPr>
                <w:rFonts w:ascii="宋体" w:hAnsi="宋体" w:eastAsia="宋体"/>
                <w:sz w:val="21"/>
                <w:szCs w:val="21"/>
              </w:rPr>
            </w:pPr>
            <w:r>
              <w:rPr>
                <w:rFonts w:hint="eastAsia" w:ascii="宋体" w:hAnsi="宋体" w:eastAsia="宋体" w:cs="宋体"/>
                <w:sz w:val="21"/>
                <w:szCs w:val="21"/>
              </w:rPr>
              <w:t>温度、压力、速度、作业及控制条件、事故及失控状态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426" w:type="pct"/>
            <w:vMerge w:val="continue"/>
            <w:vAlign w:val="center"/>
          </w:tcPr>
          <w:p>
            <w:pPr>
              <w:overflowPunct w:val="0"/>
              <w:spacing w:line="280" w:lineRule="exact"/>
              <w:jc w:val="center"/>
              <w:rPr>
                <w:sz w:val="21"/>
                <w:szCs w:val="21"/>
              </w:rPr>
            </w:pPr>
          </w:p>
        </w:tc>
        <w:tc>
          <w:tcPr>
            <w:tcW w:w="596" w:type="pct"/>
            <w:vAlign w:val="center"/>
          </w:tcPr>
          <w:p>
            <w:pPr>
              <w:overflowPunct w:val="0"/>
              <w:spacing w:line="280" w:lineRule="exact"/>
              <w:rPr>
                <w:sz w:val="21"/>
                <w:szCs w:val="21"/>
              </w:rPr>
            </w:pPr>
            <w:r>
              <w:rPr>
                <w:rFonts w:hint="eastAsia" w:ascii="宋体" w:eastAsia="宋体" w:cs="宋体"/>
                <w:sz w:val="21"/>
                <w:szCs w:val="21"/>
              </w:rPr>
              <w:t>物料性质</w:t>
            </w:r>
          </w:p>
        </w:tc>
        <w:tc>
          <w:tcPr>
            <w:tcW w:w="3979" w:type="pct"/>
            <w:vAlign w:val="center"/>
          </w:tcPr>
          <w:p>
            <w:pPr>
              <w:overflowPunct w:val="0"/>
              <w:spacing w:line="280" w:lineRule="exact"/>
              <w:rPr>
                <w:rFonts w:ascii="宋体" w:hAnsi="宋体" w:eastAsia="宋体"/>
                <w:sz w:val="21"/>
                <w:szCs w:val="21"/>
              </w:rPr>
            </w:pPr>
            <w:r>
              <w:rPr>
                <w:rFonts w:hint="eastAsia" w:ascii="宋体" w:hAnsi="宋体" w:eastAsia="宋体" w:cs="宋体"/>
                <w:sz w:val="21"/>
                <w:szCs w:val="21"/>
              </w:rPr>
              <w:t>物料的毒性、腐蚀性、燃爆性等危险化学品的安全说明书与防护措施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426" w:type="pct"/>
            <w:vMerge w:val="continue"/>
            <w:vAlign w:val="center"/>
          </w:tcPr>
          <w:p>
            <w:pPr>
              <w:overflowPunct w:val="0"/>
              <w:spacing w:line="280" w:lineRule="exact"/>
              <w:jc w:val="center"/>
              <w:rPr>
                <w:sz w:val="21"/>
                <w:szCs w:val="21"/>
              </w:rPr>
            </w:pPr>
          </w:p>
        </w:tc>
        <w:tc>
          <w:tcPr>
            <w:tcW w:w="596" w:type="pct"/>
            <w:vAlign w:val="center"/>
          </w:tcPr>
          <w:p>
            <w:pPr>
              <w:overflowPunct w:val="0"/>
              <w:spacing w:line="280" w:lineRule="exact"/>
              <w:rPr>
                <w:sz w:val="21"/>
                <w:szCs w:val="21"/>
              </w:rPr>
            </w:pPr>
            <w:r>
              <w:rPr>
                <w:rFonts w:hint="eastAsia" w:ascii="宋体" w:eastAsia="宋体" w:cs="宋体"/>
                <w:sz w:val="21"/>
                <w:szCs w:val="21"/>
              </w:rPr>
              <w:t>设备设施</w:t>
            </w:r>
          </w:p>
        </w:tc>
        <w:tc>
          <w:tcPr>
            <w:tcW w:w="3979" w:type="pct"/>
            <w:vAlign w:val="center"/>
          </w:tcPr>
          <w:p>
            <w:pPr>
              <w:overflowPunct w:val="0"/>
              <w:spacing w:line="280" w:lineRule="exact"/>
              <w:rPr>
                <w:rFonts w:ascii="宋体" w:hAnsi="宋体" w:eastAsia="宋体"/>
                <w:sz w:val="21"/>
                <w:szCs w:val="21"/>
              </w:rPr>
            </w:pPr>
            <w:r>
              <w:rPr>
                <w:rFonts w:hint="eastAsia" w:ascii="宋体" w:hAnsi="宋体" w:eastAsia="宋体" w:cs="宋体"/>
                <w:sz w:val="21"/>
                <w:szCs w:val="21"/>
              </w:rPr>
              <w:t>化工设备、装置</w:t>
            </w:r>
            <w:r>
              <w:rPr>
                <w:rFonts w:hint="eastAsia" w:ascii="宋体" w:hAnsi="宋体" w:eastAsia="宋体" w:cs="Courier New"/>
                <w:sz w:val="21"/>
                <w:szCs w:val="21"/>
              </w:rPr>
              <w:t>：高</w:t>
            </w:r>
            <w:r>
              <w:rPr>
                <w:rFonts w:hint="eastAsia" w:ascii="宋体" w:hAnsi="宋体" w:eastAsia="宋体" w:cs="宋体"/>
                <w:sz w:val="21"/>
                <w:szCs w:val="21"/>
              </w:rPr>
              <w:t>温、低温、腐蚀、高压、振动、关键部位的备用设施、控制和操作、检修和故障、失误时的紧急异常情况；机械设备</w:t>
            </w:r>
            <w:r>
              <w:rPr>
                <w:rFonts w:hint="eastAsia" w:ascii="宋体" w:hAnsi="宋体" w:eastAsia="宋体"/>
                <w:sz w:val="21"/>
                <w:szCs w:val="21"/>
              </w:rPr>
              <w:t>：</w:t>
            </w:r>
            <w:r>
              <w:rPr>
                <w:rFonts w:hint="eastAsia" w:ascii="宋体" w:hAnsi="宋体" w:eastAsia="宋体" w:cs="宋体"/>
                <w:sz w:val="21"/>
                <w:szCs w:val="21"/>
              </w:rPr>
              <w:t>运动的零部件和工件、操作条件、检修作业、误运转、误操</w:t>
            </w:r>
            <w:r>
              <w:rPr>
                <w:rFonts w:hint="eastAsia" w:ascii="宋体" w:hAnsi="宋体" w:eastAsia="宋体" w:cs="宋体"/>
                <w:spacing w:val="9"/>
                <w:sz w:val="21"/>
                <w:szCs w:val="21"/>
              </w:rPr>
              <w:t>作</w:t>
            </w:r>
            <w:r>
              <w:rPr>
                <w:rFonts w:hint="eastAsia" w:ascii="宋体" w:hAnsi="宋体" w:eastAsia="宋体" w:cs="Courier New"/>
                <w:sz w:val="21"/>
                <w:szCs w:val="21"/>
              </w:rPr>
              <w:t>；</w:t>
            </w:r>
            <w:r>
              <w:rPr>
                <w:rFonts w:hint="eastAsia" w:ascii="宋体" w:hAnsi="宋体" w:eastAsia="宋体" w:cs="宋体"/>
                <w:sz w:val="21"/>
                <w:szCs w:val="21"/>
              </w:rPr>
              <w:t>电气设</w:t>
            </w:r>
            <w:r>
              <w:rPr>
                <w:rFonts w:hint="eastAsia" w:ascii="宋体" w:hAnsi="宋体" w:eastAsia="宋体" w:cs="宋体"/>
                <w:spacing w:val="-1"/>
                <w:sz w:val="21"/>
                <w:szCs w:val="21"/>
              </w:rPr>
              <w:t>备</w:t>
            </w:r>
            <w:r>
              <w:rPr>
                <w:rFonts w:hint="eastAsia" w:ascii="宋体" w:hAnsi="宋体" w:eastAsia="宋体"/>
                <w:sz w:val="21"/>
                <w:szCs w:val="21"/>
              </w:rPr>
              <w:t>：</w:t>
            </w:r>
            <w:r>
              <w:rPr>
                <w:rFonts w:hint="eastAsia" w:ascii="宋体" w:hAnsi="宋体" w:eastAsia="宋体" w:cs="宋体"/>
                <w:sz w:val="21"/>
                <w:szCs w:val="21"/>
              </w:rPr>
              <w:t>断电、触电、火灾、爆炸、误运转、误操作、静电、雷电</w:t>
            </w:r>
            <w:r>
              <w:rPr>
                <w:rFonts w:hint="eastAsia" w:ascii="宋体" w:hAnsi="宋体" w:eastAsia="宋体"/>
                <w:sz w:val="21"/>
                <w:szCs w:val="21"/>
              </w:rPr>
              <w:t>；</w:t>
            </w:r>
            <w:r>
              <w:rPr>
                <w:rFonts w:hint="eastAsia" w:ascii="宋体" w:hAnsi="宋体" w:eastAsia="宋体" w:cs="宋体"/>
                <w:sz w:val="21"/>
                <w:szCs w:val="21"/>
              </w:rPr>
              <w:t>危险性较大设备、高处作业设备</w:t>
            </w:r>
            <w:r>
              <w:rPr>
                <w:rFonts w:hint="eastAsia" w:ascii="宋体" w:hAnsi="宋体" w:eastAsia="宋体" w:cs="Courier New"/>
                <w:sz w:val="21"/>
                <w:szCs w:val="21"/>
              </w:rPr>
              <w:t>；</w:t>
            </w:r>
            <w:r>
              <w:rPr>
                <w:rFonts w:hint="eastAsia" w:ascii="宋体" w:hAnsi="宋体" w:eastAsia="宋体" w:cs="宋体"/>
                <w:sz w:val="21"/>
                <w:szCs w:val="21"/>
              </w:rPr>
              <w:t>特殊单体设备、装置：配电室、锅炉房、乙炔站、氧气站、空压机房、化学品库、手持电动工具等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426" w:type="pct"/>
            <w:vMerge w:val="continue"/>
            <w:vAlign w:val="center"/>
          </w:tcPr>
          <w:p>
            <w:pPr>
              <w:overflowPunct w:val="0"/>
              <w:spacing w:line="280" w:lineRule="exact"/>
              <w:jc w:val="center"/>
              <w:rPr>
                <w:sz w:val="21"/>
                <w:szCs w:val="21"/>
              </w:rPr>
            </w:pPr>
          </w:p>
        </w:tc>
        <w:tc>
          <w:tcPr>
            <w:tcW w:w="596" w:type="pct"/>
            <w:vAlign w:val="center"/>
          </w:tcPr>
          <w:p>
            <w:pPr>
              <w:overflowPunct w:val="0"/>
              <w:spacing w:line="280" w:lineRule="exact"/>
              <w:rPr>
                <w:sz w:val="21"/>
                <w:szCs w:val="21"/>
              </w:rPr>
            </w:pPr>
            <w:r>
              <w:rPr>
                <w:rFonts w:hint="eastAsia" w:ascii="宋体" w:eastAsia="宋体" w:cs="宋体"/>
                <w:sz w:val="21"/>
                <w:szCs w:val="21"/>
              </w:rPr>
              <w:t>人员活动</w:t>
            </w:r>
          </w:p>
        </w:tc>
        <w:tc>
          <w:tcPr>
            <w:tcW w:w="3979" w:type="pct"/>
            <w:vAlign w:val="center"/>
          </w:tcPr>
          <w:p>
            <w:pPr>
              <w:overflowPunct w:val="0"/>
              <w:spacing w:line="280" w:lineRule="exact"/>
              <w:rPr>
                <w:rFonts w:ascii="宋体" w:hAnsi="宋体" w:eastAsia="宋体"/>
                <w:sz w:val="21"/>
                <w:szCs w:val="21"/>
              </w:rPr>
            </w:pPr>
            <w:r>
              <w:rPr>
                <w:rFonts w:hint="eastAsia" w:ascii="宋体" w:hAnsi="宋体" w:eastAsia="宋体" w:cs="宋体"/>
                <w:sz w:val="21"/>
                <w:szCs w:val="21"/>
              </w:rPr>
              <w:t>各项有计划的正常工作，如设计开发、加工制造、采购供应、仓储运输、后勤保障等</w:t>
            </w:r>
            <w:r>
              <w:rPr>
                <w:rFonts w:hint="eastAsia" w:ascii="宋体" w:hAnsi="宋体" w:eastAsia="宋体"/>
                <w:sz w:val="21"/>
                <w:szCs w:val="21"/>
              </w:rPr>
              <w:t>；</w:t>
            </w:r>
            <w:r>
              <w:rPr>
                <w:rFonts w:hint="eastAsia" w:ascii="宋体" w:hAnsi="宋体" w:eastAsia="宋体" w:cs="宋体"/>
                <w:sz w:val="21"/>
                <w:szCs w:val="21"/>
              </w:rPr>
              <w:t>临时性的活动，如开工、停工、搬迁、维护检修、应急等</w:t>
            </w:r>
            <w:r>
              <w:rPr>
                <w:rFonts w:hint="eastAsia" w:ascii="宋体" w:hAnsi="宋体" w:eastAsia="宋体" w:cs="Courier New"/>
                <w:sz w:val="21"/>
                <w:szCs w:val="21"/>
              </w:rPr>
              <w:t>；</w:t>
            </w:r>
            <w:r>
              <w:rPr>
                <w:rFonts w:hint="eastAsia" w:ascii="宋体" w:hAnsi="宋体" w:eastAsia="宋体" w:cs="宋体"/>
                <w:sz w:val="21"/>
                <w:szCs w:val="21"/>
              </w:rPr>
              <w:t>临时访问者、供方、运输方、合同方、承包方等其他所有相关人员的活动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426" w:type="pct"/>
            <w:vMerge w:val="continue"/>
            <w:vAlign w:val="center"/>
          </w:tcPr>
          <w:p>
            <w:pPr>
              <w:overflowPunct w:val="0"/>
              <w:spacing w:line="280" w:lineRule="exact"/>
              <w:jc w:val="center"/>
              <w:rPr>
                <w:sz w:val="21"/>
                <w:szCs w:val="21"/>
              </w:rPr>
            </w:pPr>
          </w:p>
        </w:tc>
        <w:tc>
          <w:tcPr>
            <w:tcW w:w="596" w:type="pct"/>
            <w:vAlign w:val="center"/>
          </w:tcPr>
          <w:p>
            <w:pPr>
              <w:overflowPunct w:val="0"/>
              <w:spacing w:line="280" w:lineRule="exact"/>
              <w:rPr>
                <w:sz w:val="21"/>
                <w:szCs w:val="21"/>
              </w:rPr>
            </w:pPr>
            <w:r>
              <w:rPr>
                <w:rFonts w:hint="eastAsia" w:ascii="宋体" w:eastAsia="宋体" w:cs="宋体"/>
                <w:sz w:val="21"/>
                <w:szCs w:val="21"/>
              </w:rPr>
              <w:t>管理制度</w:t>
            </w:r>
          </w:p>
        </w:tc>
        <w:tc>
          <w:tcPr>
            <w:tcW w:w="3979" w:type="pct"/>
            <w:vAlign w:val="center"/>
          </w:tcPr>
          <w:p>
            <w:pPr>
              <w:overflowPunct w:val="0"/>
              <w:spacing w:line="280" w:lineRule="exact"/>
              <w:rPr>
                <w:rFonts w:ascii="宋体" w:hAnsi="宋体" w:eastAsia="宋体"/>
                <w:sz w:val="21"/>
                <w:szCs w:val="21"/>
              </w:rPr>
            </w:pPr>
            <w:r>
              <w:rPr>
                <w:rFonts w:hint="eastAsia" w:ascii="宋体" w:hAnsi="宋体" w:eastAsia="宋体" w:cs="宋体"/>
                <w:sz w:val="21"/>
                <w:szCs w:val="21"/>
              </w:rPr>
              <w:t>各类安全管理制度如审批制度、作业票制度；各类体系文件、操作规程、应急计划等</w:t>
            </w:r>
          </w:p>
        </w:tc>
      </w:tr>
    </w:tbl>
    <w:p>
      <w:pPr>
        <w:widowControl w:val="0"/>
        <w:kinsoku w:val="0"/>
        <w:overflowPunct w:val="0"/>
        <w:autoSpaceDE w:val="0"/>
        <w:autoSpaceDN w:val="0"/>
        <w:adjustRightInd w:val="0"/>
        <w:jc w:val="center"/>
        <w:rPr>
          <w:rFonts w:asciiTheme="minorEastAsia" w:hAnsiTheme="minorEastAsia" w:eastAsiaTheme="minorEastAsia"/>
          <w:sz w:val="21"/>
          <w:szCs w:val="21"/>
        </w:rPr>
      </w:pPr>
    </w:p>
    <w:p>
      <w:pPr>
        <w:rPr>
          <w:rFonts w:asciiTheme="minorEastAsia" w:hAnsiTheme="minorEastAsia" w:eastAsiaTheme="minorEastAsia"/>
          <w:sz w:val="21"/>
          <w:szCs w:val="21"/>
        </w:rPr>
      </w:pPr>
    </w:p>
    <w:p>
      <w:pPr>
        <w:rPr>
          <w:rFonts w:asciiTheme="minorEastAsia" w:hAnsiTheme="minorEastAsia" w:eastAsiaTheme="minorEastAsia"/>
          <w:sz w:val="21"/>
          <w:szCs w:val="21"/>
        </w:rPr>
        <w:sectPr>
          <w:pgSz w:w="11906" w:h="16838"/>
          <w:pgMar w:top="1440" w:right="1797" w:bottom="1440" w:left="1797" w:header="851" w:footer="992" w:gutter="0"/>
          <w:cols w:space="425" w:num="1"/>
          <w:docGrid w:type="lines" w:linePitch="435" w:charSpace="0"/>
        </w:sectPr>
      </w:pPr>
    </w:p>
    <w:p>
      <w:pPr>
        <w:jc w:val="center"/>
        <w:outlineLvl w:val="0"/>
        <w:rPr>
          <w:rFonts w:ascii="方正小标宋_GBK" w:hAnsi="黑体" w:eastAsia="方正小标宋_GBK"/>
          <w:b/>
          <w:bCs/>
          <w:sz w:val="28"/>
          <w:szCs w:val="28"/>
        </w:rPr>
      </w:pPr>
      <w:bookmarkStart w:id="158" w:name="_Toc119336608"/>
      <w:bookmarkStart w:id="159" w:name="_Toc117541327"/>
      <w:r>
        <w:rPr>
          <w:rFonts w:hint="eastAsia" w:ascii="方正小标宋_GBK" w:hAnsi="黑体" w:eastAsia="方正小标宋_GBK"/>
          <w:b/>
          <w:bCs/>
          <w:sz w:val="28"/>
          <w:szCs w:val="28"/>
        </w:rPr>
        <w:t>附录B.4</w:t>
      </w:r>
      <w:bookmarkEnd w:id="158"/>
      <w:bookmarkEnd w:id="159"/>
    </w:p>
    <w:p>
      <w:pPr>
        <w:jc w:val="center"/>
        <w:rPr>
          <w:rFonts w:ascii="方正小标宋_GBK" w:hAnsi="黑体" w:eastAsia="方正小标宋_GBK"/>
          <w:b/>
          <w:bCs/>
          <w:sz w:val="28"/>
          <w:szCs w:val="28"/>
        </w:rPr>
      </w:pPr>
      <w:r>
        <w:rPr>
          <w:rFonts w:hint="eastAsia" w:ascii="方正小标宋_GBK" w:hAnsi="黑体" w:eastAsia="方正小标宋_GBK"/>
          <w:b/>
          <w:bCs/>
          <w:sz w:val="28"/>
          <w:szCs w:val="28"/>
        </w:rPr>
        <w:t>（资料性附录）</w:t>
      </w:r>
    </w:p>
    <w:p>
      <w:pPr>
        <w:rPr>
          <w:rFonts w:asciiTheme="minorEastAsia" w:hAnsiTheme="minorEastAsia" w:eastAsiaTheme="minorEastAsia"/>
          <w:sz w:val="21"/>
          <w:szCs w:val="21"/>
          <w:u w:val="single"/>
        </w:rPr>
      </w:pPr>
    </w:p>
    <w:p>
      <w:pPr>
        <w:jc w:val="center"/>
        <w:outlineLvl w:val="1"/>
        <w:rPr>
          <w:rFonts w:ascii="方正小标宋_GBK" w:hAnsi="黑体" w:eastAsia="方正小标宋_GBK"/>
          <w:b/>
          <w:bCs/>
          <w:sz w:val="28"/>
          <w:szCs w:val="28"/>
        </w:rPr>
      </w:pPr>
      <w:bookmarkStart w:id="160" w:name="_Toc119336609"/>
      <w:bookmarkStart w:id="161" w:name="_Toc117541328"/>
      <w:r>
        <w:rPr>
          <w:rFonts w:hint="eastAsia" w:ascii="方正小标宋_GBK" w:hAnsi="黑体" w:eastAsia="方正小标宋_GBK"/>
          <w:b/>
          <w:bCs/>
          <w:sz w:val="28"/>
          <w:szCs w:val="28"/>
        </w:rPr>
        <w:t>危险源清单</w:t>
      </w:r>
      <w:bookmarkEnd w:id="160"/>
      <w:bookmarkEnd w:id="161"/>
    </w:p>
    <w:tbl>
      <w:tblPr>
        <w:tblStyle w:val="34"/>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51"/>
        <w:gridCol w:w="1730"/>
        <w:gridCol w:w="1009"/>
        <w:gridCol w:w="2713"/>
        <w:gridCol w:w="1576"/>
        <w:gridCol w:w="1576"/>
        <w:gridCol w:w="1576"/>
        <w:gridCol w:w="1792"/>
        <w:gridCol w:w="135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32" w:hRule="atLeast"/>
          <w:tblHeader/>
          <w:jc w:val="center"/>
        </w:trPr>
        <w:tc>
          <w:tcPr>
            <w:tcW w:w="300" w:type="pct"/>
            <w:vAlign w:val="center"/>
          </w:tcPr>
          <w:p>
            <w:pPr>
              <w:jc w:val="center"/>
              <w:rPr>
                <w:rFonts w:cs="宋体" w:asciiTheme="minorEastAsia" w:hAnsiTheme="minorEastAsia" w:eastAsiaTheme="minorEastAsia"/>
                <w:bCs/>
                <w:sz w:val="21"/>
                <w:szCs w:val="21"/>
              </w:rPr>
            </w:pPr>
            <w:bookmarkStart w:id="162" w:name="_Hlk78808061"/>
            <w:r>
              <w:rPr>
                <w:rFonts w:hint="eastAsia" w:cs="宋体" w:asciiTheme="minorEastAsia" w:hAnsiTheme="minorEastAsia" w:eastAsiaTheme="minorEastAsia"/>
                <w:bCs/>
                <w:sz w:val="21"/>
                <w:szCs w:val="21"/>
              </w:rPr>
              <w:t>序号</w:t>
            </w:r>
          </w:p>
        </w:tc>
        <w:tc>
          <w:tcPr>
            <w:tcW w:w="610" w:type="pct"/>
            <w:vAlign w:val="center"/>
          </w:tcPr>
          <w:p>
            <w:pPr>
              <w:jc w:val="center"/>
              <w:rPr>
                <w:rFonts w:cs="宋体" w:asciiTheme="minorEastAsia" w:hAnsiTheme="minorEastAsia" w:eastAsiaTheme="minorEastAsia"/>
                <w:bCs/>
                <w:sz w:val="21"/>
                <w:szCs w:val="21"/>
              </w:rPr>
            </w:pPr>
            <w:r>
              <w:rPr>
                <w:rFonts w:hint="eastAsia" w:cs="宋体" w:asciiTheme="minorEastAsia" w:hAnsiTheme="minorEastAsia" w:eastAsiaTheme="minorEastAsia"/>
                <w:bCs/>
                <w:sz w:val="21"/>
                <w:szCs w:val="21"/>
              </w:rPr>
              <w:t>危险源类别</w:t>
            </w:r>
          </w:p>
        </w:tc>
        <w:tc>
          <w:tcPr>
            <w:tcW w:w="356" w:type="pct"/>
            <w:vAlign w:val="center"/>
          </w:tcPr>
          <w:p>
            <w:pPr>
              <w:jc w:val="center"/>
              <w:rPr>
                <w:rFonts w:cs="宋体" w:asciiTheme="minorEastAsia" w:hAnsiTheme="minorEastAsia" w:eastAsiaTheme="minorEastAsia"/>
                <w:bCs/>
                <w:sz w:val="21"/>
                <w:szCs w:val="21"/>
              </w:rPr>
            </w:pPr>
            <w:r>
              <w:rPr>
                <w:rFonts w:hint="eastAsia" w:cs="宋体" w:asciiTheme="minorEastAsia" w:hAnsiTheme="minorEastAsia" w:eastAsiaTheme="minorEastAsia"/>
                <w:bCs/>
                <w:sz w:val="21"/>
                <w:szCs w:val="21"/>
              </w:rPr>
              <w:t>项目</w:t>
            </w:r>
          </w:p>
        </w:tc>
        <w:tc>
          <w:tcPr>
            <w:tcW w:w="957" w:type="pct"/>
            <w:vAlign w:val="center"/>
          </w:tcPr>
          <w:p>
            <w:pPr>
              <w:jc w:val="center"/>
              <w:rPr>
                <w:rFonts w:cs="宋体" w:asciiTheme="minorEastAsia" w:hAnsiTheme="minorEastAsia" w:eastAsiaTheme="minorEastAsia"/>
                <w:bCs/>
                <w:sz w:val="21"/>
                <w:szCs w:val="21"/>
              </w:rPr>
            </w:pPr>
            <w:r>
              <w:rPr>
                <w:rFonts w:hint="eastAsia" w:cs="宋体" w:asciiTheme="minorEastAsia" w:hAnsiTheme="minorEastAsia" w:eastAsiaTheme="minorEastAsia"/>
                <w:bCs/>
                <w:sz w:val="21"/>
                <w:szCs w:val="21"/>
              </w:rPr>
              <w:t>作业区域</w:t>
            </w:r>
          </w:p>
          <w:p>
            <w:pPr>
              <w:jc w:val="center"/>
              <w:rPr>
                <w:rFonts w:cs="宋体" w:asciiTheme="minorEastAsia" w:hAnsiTheme="minorEastAsia" w:eastAsiaTheme="minorEastAsia"/>
                <w:bCs/>
                <w:sz w:val="21"/>
                <w:szCs w:val="21"/>
              </w:rPr>
            </w:pPr>
            <w:r>
              <w:rPr>
                <w:rFonts w:hint="eastAsia" w:asciiTheme="minorEastAsia" w:hAnsiTheme="minorEastAsia" w:eastAsiaTheme="minorEastAsia"/>
                <w:bCs/>
                <w:sz w:val="21"/>
                <w:szCs w:val="21"/>
              </w:rPr>
              <w:t>（步骤/部位/环节）</w:t>
            </w:r>
          </w:p>
        </w:tc>
        <w:tc>
          <w:tcPr>
            <w:tcW w:w="556" w:type="pct"/>
            <w:vAlign w:val="center"/>
          </w:tcPr>
          <w:p>
            <w:pPr>
              <w:jc w:val="center"/>
              <w:rPr>
                <w:rFonts w:cs="宋体" w:asciiTheme="minorEastAsia" w:hAnsiTheme="minorEastAsia" w:eastAsiaTheme="minorEastAsia"/>
                <w:bCs/>
                <w:sz w:val="21"/>
                <w:szCs w:val="21"/>
              </w:rPr>
            </w:pPr>
            <w:r>
              <w:rPr>
                <w:rFonts w:hint="eastAsia" w:cs="宋体" w:asciiTheme="minorEastAsia" w:hAnsiTheme="minorEastAsia" w:eastAsiaTheme="minorEastAsia"/>
                <w:bCs/>
                <w:sz w:val="21"/>
                <w:szCs w:val="21"/>
              </w:rPr>
              <w:t>危险源名称</w:t>
            </w:r>
          </w:p>
        </w:tc>
        <w:tc>
          <w:tcPr>
            <w:tcW w:w="556" w:type="pct"/>
            <w:vAlign w:val="center"/>
          </w:tcPr>
          <w:p>
            <w:pPr>
              <w:jc w:val="center"/>
              <w:rPr>
                <w:rFonts w:cs="宋体" w:asciiTheme="minorEastAsia" w:hAnsiTheme="minorEastAsia" w:eastAsiaTheme="minorEastAsia"/>
                <w:bCs/>
                <w:sz w:val="21"/>
                <w:szCs w:val="21"/>
              </w:rPr>
            </w:pPr>
            <w:r>
              <w:rPr>
                <w:rFonts w:hint="eastAsia" w:cs="宋体" w:asciiTheme="minorEastAsia" w:hAnsiTheme="minorEastAsia" w:eastAsiaTheme="minorEastAsia"/>
                <w:bCs/>
                <w:sz w:val="21"/>
                <w:szCs w:val="21"/>
              </w:rPr>
              <w:t>事故诱因</w:t>
            </w:r>
          </w:p>
        </w:tc>
        <w:tc>
          <w:tcPr>
            <w:tcW w:w="556" w:type="pct"/>
            <w:vAlign w:val="center"/>
          </w:tcPr>
          <w:p>
            <w:pPr>
              <w:jc w:val="center"/>
              <w:rPr>
                <w:rFonts w:cs="宋体" w:asciiTheme="minorEastAsia" w:hAnsiTheme="minorEastAsia" w:eastAsiaTheme="minorEastAsia"/>
                <w:bCs/>
                <w:sz w:val="21"/>
                <w:szCs w:val="21"/>
              </w:rPr>
            </w:pPr>
            <w:r>
              <w:rPr>
                <w:rFonts w:hint="eastAsia" w:cs="宋体" w:asciiTheme="minorEastAsia" w:hAnsiTheme="minorEastAsia" w:eastAsiaTheme="minorEastAsia"/>
                <w:bCs/>
                <w:sz w:val="21"/>
                <w:szCs w:val="21"/>
              </w:rPr>
              <w:t>可能导致的</w:t>
            </w:r>
          </w:p>
          <w:p>
            <w:pPr>
              <w:jc w:val="center"/>
              <w:rPr>
                <w:rFonts w:cs="宋体" w:asciiTheme="minorEastAsia" w:hAnsiTheme="minorEastAsia" w:eastAsiaTheme="minorEastAsia"/>
                <w:bCs/>
                <w:sz w:val="21"/>
                <w:szCs w:val="21"/>
              </w:rPr>
            </w:pPr>
            <w:r>
              <w:rPr>
                <w:rFonts w:hint="eastAsia" w:cs="宋体" w:asciiTheme="minorEastAsia" w:hAnsiTheme="minorEastAsia" w:eastAsiaTheme="minorEastAsia"/>
                <w:bCs/>
                <w:sz w:val="21"/>
                <w:szCs w:val="21"/>
              </w:rPr>
              <w:t>事故类型</w:t>
            </w:r>
          </w:p>
        </w:tc>
        <w:tc>
          <w:tcPr>
            <w:tcW w:w="632" w:type="pct"/>
            <w:vAlign w:val="center"/>
          </w:tcPr>
          <w:p>
            <w:pPr>
              <w:jc w:val="center"/>
              <w:rPr>
                <w:rFonts w:cs="宋体" w:asciiTheme="minorEastAsia" w:hAnsiTheme="minorEastAsia" w:eastAsiaTheme="minorEastAsia"/>
                <w:bCs/>
                <w:sz w:val="21"/>
                <w:szCs w:val="21"/>
              </w:rPr>
            </w:pPr>
            <w:r>
              <w:rPr>
                <w:rFonts w:hint="eastAsia" w:cs="宋体" w:asciiTheme="minorEastAsia" w:hAnsiTheme="minorEastAsia" w:eastAsiaTheme="minorEastAsia"/>
                <w:bCs/>
                <w:sz w:val="21"/>
                <w:szCs w:val="21"/>
              </w:rPr>
              <w:t>危险源</w:t>
            </w:r>
          </w:p>
          <w:p>
            <w:pPr>
              <w:jc w:val="center"/>
              <w:rPr>
                <w:rFonts w:cs="宋体" w:asciiTheme="minorEastAsia" w:hAnsiTheme="minorEastAsia" w:eastAsiaTheme="minorEastAsia"/>
                <w:bCs/>
                <w:sz w:val="21"/>
                <w:szCs w:val="21"/>
              </w:rPr>
            </w:pPr>
            <w:r>
              <w:rPr>
                <w:rFonts w:hint="eastAsia" w:cs="宋体" w:asciiTheme="minorEastAsia" w:hAnsiTheme="minorEastAsia" w:eastAsiaTheme="minorEastAsia"/>
                <w:bCs/>
                <w:sz w:val="21"/>
                <w:szCs w:val="21"/>
              </w:rPr>
              <w:t>级别</w:t>
            </w:r>
          </w:p>
        </w:tc>
        <w:tc>
          <w:tcPr>
            <w:tcW w:w="476" w:type="pct"/>
            <w:vAlign w:val="center"/>
          </w:tcPr>
          <w:p>
            <w:pPr>
              <w:jc w:val="center"/>
              <w:rPr>
                <w:rFonts w:cs="宋体" w:asciiTheme="minorEastAsia" w:hAnsiTheme="minorEastAsia" w:eastAsiaTheme="minorEastAsia"/>
                <w:bCs/>
                <w:sz w:val="21"/>
                <w:szCs w:val="21"/>
              </w:rPr>
            </w:pPr>
            <w:r>
              <w:rPr>
                <w:rFonts w:hint="eastAsia" w:cs="宋体" w:asciiTheme="minorEastAsia" w:hAnsiTheme="minorEastAsia" w:eastAsiaTheme="minorEastAsia"/>
                <w:bCs/>
                <w:sz w:val="21"/>
                <w:szCs w:val="21"/>
              </w:rPr>
              <w:t>责任人</w:t>
            </w:r>
          </w:p>
        </w:tc>
      </w:tr>
      <w:bookmarkEnd w:id="162"/>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25" w:hRule="atLeast"/>
          <w:tblHeader/>
          <w:jc w:val="center"/>
        </w:trPr>
        <w:tc>
          <w:tcPr>
            <w:tcW w:w="300" w:type="pct"/>
            <w:vAlign w:val="center"/>
          </w:tcPr>
          <w:p>
            <w:pPr>
              <w:jc w:val="center"/>
              <w:rPr>
                <w:rFonts w:cs="宋体" w:asciiTheme="minorEastAsia" w:hAnsiTheme="minorEastAsia" w:eastAsiaTheme="minorEastAsia"/>
                <w:bCs/>
                <w:sz w:val="21"/>
                <w:szCs w:val="21"/>
              </w:rPr>
            </w:pPr>
            <w:r>
              <w:rPr>
                <w:rFonts w:hint="eastAsia" w:cs="宋体" w:asciiTheme="minorEastAsia" w:hAnsiTheme="minorEastAsia" w:eastAsiaTheme="minorEastAsia"/>
                <w:bCs/>
                <w:sz w:val="21"/>
                <w:szCs w:val="21"/>
              </w:rPr>
              <w:t>1</w:t>
            </w:r>
          </w:p>
        </w:tc>
        <w:tc>
          <w:tcPr>
            <w:tcW w:w="610" w:type="pct"/>
            <w:vAlign w:val="center"/>
          </w:tcPr>
          <w:p>
            <w:pPr>
              <w:jc w:val="left"/>
              <w:rPr>
                <w:rFonts w:cs="宋体" w:asciiTheme="minorEastAsia" w:hAnsiTheme="minorEastAsia" w:eastAsiaTheme="minorEastAsia"/>
                <w:bCs/>
                <w:sz w:val="21"/>
                <w:szCs w:val="21"/>
              </w:rPr>
            </w:pPr>
          </w:p>
        </w:tc>
        <w:tc>
          <w:tcPr>
            <w:tcW w:w="356" w:type="pct"/>
            <w:vAlign w:val="center"/>
          </w:tcPr>
          <w:p>
            <w:pPr>
              <w:jc w:val="left"/>
              <w:rPr>
                <w:rFonts w:cs="宋体" w:asciiTheme="minorEastAsia" w:hAnsiTheme="minorEastAsia" w:eastAsiaTheme="minorEastAsia"/>
                <w:bCs/>
                <w:sz w:val="21"/>
                <w:szCs w:val="21"/>
              </w:rPr>
            </w:pPr>
          </w:p>
        </w:tc>
        <w:tc>
          <w:tcPr>
            <w:tcW w:w="957" w:type="pct"/>
            <w:vAlign w:val="center"/>
          </w:tcPr>
          <w:p>
            <w:pPr>
              <w:jc w:val="left"/>
              <w:rPr>
                <w:rFonts w:cs="宋体" w:asciiTheme="minorEastAsia" w:hAnsiTheme="minorEastAsia" w:eastAsiaTheme="minorEastAsia"/>
                <w:bCs/>
                <w:sz w:val="21"/>
                <w:szCs w:val="21"/>
              </w:rPr>
            </w:pPr>
          </w:p>
        </w:tc>
        <w:tc>
          <w:tcPr>
            <w:tcW w:w="556" w:type="pct"/>
            <w:vAlign w:val="center"/>
          </w:tcPr>
          <w:p>
            <w:pPr>
              <w:jc w:val="left"/>
              <w:rPr>
                <w:rFonts w:cs="宋体" w:asciiTheme="minorEastAsia" w:hAnsiTheme="minorEastAsia" w:eastAsiaTheme="minorEastAsia"/>
                <w:bCs/>
                <w:sz w:val="21"/>
                <w:szCs w:val="21"/>
              </w:rPr>
            </w:pPr>
          </w:p>
        </w:tc>
        <w:tc>
          <w:tcPr>
            <w:tcW w:w="556" w:type="pct"/>
            <w:vAlign w:val="center"/>
          </w:tcPr>
          <w:p>
            <w:pPr>
              <w:jc w:val="center"/>
              <w:rPr>
                <w:rFonts w:cs="宋体" w:asciiTheme="minorEastAsia" w:hAnsiTheme="minorEastAsia" w:eastAsiaTheme="minorEastAsia"/>
                <w:bCs/>
                <w:sz w:val="21"/>
                <w:szCs w:val="21"/>
              </w:rPr>
            </w:pPr>
          </w:p>
        </w:tc>
        <w:tc>
          <w:tcPr>
            <w:tcW w:w="556" w:type="pct"/>
            <w:vAlign w:val="center"/>
          </w:tcPr>
          <w:p>
            <w:pPr>
              <w:jc w:val="center"/>
              <w:rPr>
                <w:rFonts w:cs="宋体" w:asciiTheme="minorEastAsia" w:hAnsiTheme="minorEastAsia" w:eastAsiaTheme="minorEastAsia"/>
                <w:bCs/>
                <w:sz w:val="21"/>
                <w:szCs w:val="21"/>
              </w:rPr>
            </w:pPr>
          </w:p>
        </w:tc>
        <w:tc>
          <w:tcPr>
            <w:tcW w:w="632" w:type="pct"/>
            <w:vAlign w:val="center"/>
          </w:tcPr>
          <w:p>
            <w:pPr>
              <w:jc w:val="left"/>
              <w:rPr>
                <w:rFonts w:cs="宋体" w:asciiTheme="minorEastAsia" w:hAnsiTheme="minorEastAsia" w:eastAsiaTheme="minorEastAsia"/>
                <w:bCs/>
                <w:sz w:val="21"/>
                <w:szCs w:val="21"/>
              </w:rPr>
            </w:pPr>
          </w:p>
        </w:tc>
        <w:tc>
          <w:tcPr>
            <w:tcW w:w="476" w:type="pct"/>
            <w:vAlign w:val="center"/>
          </w:tcPr>
          <w:p>
            <w:pPr>
              <w:jc w:val="left"/>
              <w:rPr>
                <w:rFonts w:cs="宋体" w:asciiTheme="minorEastAsia" w:hAnsiTheme="minorEastAsia" w:eastAsiaTheme="minorEastAsia"/>
                <w:bCs/>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25" w:hRule="atLeast"/>
          <w:tblHeader/>
          <w:jc w:val="center"/>
        </w:trPr>
        <w:tc>
          <w:tcPr>
            <w:tcW w:w="300" w:type="pct"/>
            <w:vAlign w:val="center"/>
          </w:tcPr>
          <w:p>
            <w:pPr>
              <w:jc w:val="center"/>
              <w:rPr>
                <w:rFonts w:cs="宋体" w:asciiTheme="minorEastAsia" w:hAnsiTheme="minorEastAsia" w:eastAsiaTheme="minorEastAsia"/>
                <w:bCs/>
                <w:sz w:val="21"/>
                <w:szCs w:val="21"/>
              </w:rPr>
            </w:pPr>
            <w:r>
              <w:rPr>
                <w:rFonts w:hint="eastAsia" w:cs="宋体" w:asciiTheme="minorEastAsia" w:hAnsiTheme="minorEastAsia" w:eastAsiaTheme="minorEastAsia"/>
                <w:bCs/>
                <w:sz w:val="21"/>
                <w:szCs w:val="21"/>
              </w:rPr>
              <w:t>2</w:t>
            </w:r>
          </w:p>
        </w:tc>
        <w:tc>
          <w:tcPr>
            <w:tcW w:w="610" w:type="pct"/>
            <w:vAlign w:val="center"/>
          </w:tcPr>
          <w:p>
            <w:pPr>
              <w:jc w:val="left"/>
              <w:rPr>
                <w:rFonts w:cs="宋体" w:asciiTheme="minorEastAsia" w:hAnsiTheme="minorEastAsia" w:eastAsiaTheme="minorEastAsia"/>
                <w:bCs/>
                <w:sz w:val="21"/>
                <w:szCs w:val="21"/>
              </w:rPr>
            </w:pPr>
          </w:p>
        </w:tc>
        <w:tc>
          <w:tcPr>
            <w:tcW w:w="356" w:type="pct"/>
            <w:vAlign w:val="center"/>
          </w:tcPr>
          <w:p>
            <w:pPr>
              <w:jc w:val="left"/>
              <w:rPr>
                <w:rFonts w:cs="宋体" w:asciiTheme="minorEastAsia" w:hAnsiTheme="minorEastAsia" w:eastAsiaTheme="minorEastAsia"/>
                <w:bCs/>
                <w:sz w:val="21"/>
                <w:szCs w:val="21"/>
              </w:rPr>
            </w:pPr>
          </w:p>
        </w:tc>
        <w:tc>
          <w:tcPr>
            <w:tcW w:w="957" w:type="pct"/>
            <w:vAlign w:val="center"/>
          </w:tcPr>
          <w:p>
            <w:pPr>
              <w:jc w:val="left"/>
              <w:rPr>
                <w:rFonts w:cs="宋体" w:asciiTheme="minorEastAsia" w:hAnsiTheme="minorEastAsia" w:eastAsiaTheme="minorEastAsia"/>
                <w:bCs/>
                <w:sz w:val="21"/>
                <w:szCs w:val="21"/>
              </w:rPr>
            </w:pPr>
          </w:p>
        </w:tc>
        <w:tc>
          <w:tcPr>
            <w:tcW w:w="556" w:type="pct"/>
            <w:vAlign w:val="center"/>
          </w:tcPr>
          <w:p>
            <w:pPr>
              <w:jc w:val="left"/>
              <w:rPr>
                <w:rFonts w:cs="宋体" w:asciiTheme="minorEastAsia" w:hAnsiTheme="minorEastAsia" w:eastAsiaTheme="minorEastAsia"/>
                <w:bCs/>
                <w:sz w:val="21"/>
                <w:szCs w:val="21"/>
              </w:rPr>
            </w:pPr>
          </w:p>
        </w:tc>
        <w:tc>
          <w:tcPr>
            <w:tcW w:w="556" w:type="pct"/>
            <w:vAlign w:val="center"/>
          </w:tcPr>
          <w:p>
            <w:pPr>
              <w:jc w:val="center"/>
              <w:rPr>
                <w:rFonts w:cs="宋体" w:asciiTheme="minorEastAsia" w:hAnsiTheme="minorEastAsia" w:eastAsiaTheme="minorEastAsia"/>
                <w:bCs/>
                <w:sz w:val="21"/>
                <w:szCs w:val="21"/>
              </w:rPr>
            </w:pPr>
          </w:p>
        </w:tc>
        <w:tc>
          <w:tcPr>
            <w:tcW w:w="556" w:type="pct"/>
            <w:vAlign w:val="center"/>
          </w:tcPr>
          <w:p>
            <w:pPr>
              <w:jc w:val="center"/>
              <w:rPr>
                <w:rFonts w:cs="宋体" w:asciiTheme="minorEastAsia" w:hAnsiTheme="minorEastAsia" w:eastAsiaTheme="minorEastAsia"/>
                <w:bCs/>
                <w:sz w:val="21"/>
                <w:szCs w:val="21"/>
              </w:rPr>
            </w:pPr>
          </w:p>
        </w:tc>
        <w:tc>
          <w:tcPr>
            <w:tcW w:w="632" w:type="pct"/>
            <w:vAlign w:val="center"/>
          </w:tcPr>
          <w:p>
            <w:pPr>
              <w:jc w:val="left"/>
              <w:rPr>
                <w:rFonts w:cs="宋体" w:asciiTheme="minorEastAsia" w:hAnsiTheme="minorEastAsia" w:eastAsiaTheme="minorEastAsia"/>
                <w:bCs/>
                <w:sz w:val="21"/>
                <w:szCs w:val="21"/>
              </w:rPr>
            </w:pPr>
          </w:p>
        </w:tc>
        <w:tc>
          <w:tcPr>
            <w:tcW w:w="476" w:type="pct"/>
            <w:vAlign w:val="center"/>
          </w:tcPr>
          <w:p>
            <w:pPr>
              <w:jc w:val="left"/>
              <w:rPr>
                <w:rFonts w:cs="宋体" w:asciiTheme="minorEastAsia" w:hAnsiTheme="minorEastAsia" w:eastAsiaTheme="minorEastAsia"/>
                <w:bCs/>
                <w:sz w:val="21"/>
                <w:szCs w:val="21"/>
              </w:rPr>
            </w:pPr>
          </w:p>
        </w:tc>
      </w:tr>
    </w:tbl>
    <w:p>
      <w:pPr>
        <w:rPr>
          <w:rFonts w:asciiTheme="minorEastAsia" w:hAnsiTheme="minorEastAsia" w:eastAsiaTheme="minorEastAsia"/>
          <w:sz w:val="21"/>
          <w:szCs w:val="21"/>
          <w:u w:val="single"/>
        </w:rPr>
        <w:sectPr>
          <w:pgSz w:w="16838" w:h="11906" w:orient="landscape"/>
          <w:pgMar w:top="1797" w:right="1440" w:bottom="1797" w:left="1440" w:header="851" w:footer="992" w:gutter="0"/>
          <w:cols w:space="425" w:num="1"/>
          <w:docGrid w:type="lines" w:linePitch="435" w:charSpace="0"/>
        </w:sectPr>
      </w:pPr>
    </w:p>
    <w:p>
      <w:pPr>
        <w:jc w:val="center"/>
        <w:outlineLvl w:val="0"/>
        <w:rPr>
          <w:rFonts w:ascii="方正小标宋_GBK" w:hAnsi="黑体" w:eastAsia="方正小标宋_GBK"/>
          <w:b/>
          <w:bCs/>
          <w:sz w:val="28"/>
          <w:szCs w:val="28"/>
        </w:rPr>
      </w:pPr>
      <w:bookmarkStart w:id="163" w:name="_Toc119336610"/>
      <w:bookmarkStart w:id="164" w:name="_Toc117541329"/>
      <w:r>
        <w:rPr>
          <w:rFonts w:hint="eastAsia" w:ascii="方正小标宋_GBK" w:hAnsi="黑体" w:eastAsia="方正小标宋_GBK"/>
          <w:b/>
          <w:bCs/>
          <w:sz w:val="28"/>
          <w:szCs w:val="28"/>
        </w:rPr>
        <w:t>附录C</w:t>
      </w:r>
      <w:bookmarkEnd w:id="163"/>
      <w:bookmarkEnd w:id="164"/>
    </w:p>
    <w:p>
      <w:pPr>
        <w:jc w:val="center"/>
        <w:rPr>
          <w:rFonts w:ascii="方正小标宋_GBK" w:hAnsi="黑体" w:eastAsia="方正小标宋_GBK"/>
          <w:b/>
          <w:bCs/>
          <w:sz w:val="28"/>
          <w:szCs w:val="28"/>
        </w:rPr>
      </w:pPr>
      <w:r>
        <w:rPr>
          <w:rFonts w:hint="eastAsia" w:ascii="方正小标宋_GBK" w:hAnsi="黑体" w:eastAsia="方正小标宋_GBK"/>
          <w:b/>
          <w:bCs/>
          <w:sz w:val="28"/>
          <w:szCs w:val="28"/>
        </w:rPr>
        <w:t>（资料性附录）</w:t>
      </w:r>
    </w:p>
    <w:p>
      <w:pPr>
        <w:jc w:val="center"/>
        <w:rPr>
          <w:rFonts w:ascii="方正小标宋_GBK" w:hAnsi="黑体" w:eastAsia="方正小标宋_GBK"/>
          <w:b/>
          <w:bCs/>
          <w:sz w:val="28"/>
          <w:szCs w:val="28"/>
        </w:rPr>
      </w:pPr>
      <w:r>
        <w:rPr>
          <w:rFonts w:hint="eastAsia" w:ascii="方正小标宋_GBK" w:hAnsi="黑体" w:eastAsia="方正小标宋_GBK"/>
          <w:b/>
          <w:bCs/>
          <w:sz w:val="28"/>
          <w:szCs w:val="28"/>
        </w:rPr>
        <w:t>《水利工程生产安全重大事故隐患清单》</w:t>
      </w:r>
    </w:p>
    <w:p>
      <w:pPr>
        <w:jc w:val="center"/>
        <w:rPr>
          <w:rFonts w:ascii="方正小标宋_GBK" w:hAnsi="黑体" w:eastAsia="方正小标宋_GBK"/>
          <w:b/>
          <w:bCs/>
          <w:sz w:val="28"/>
          <w:szCs w:val="28"/>
        </w:rPr>
      </w:pPr>
    </w:p>
    <w:p>
      <w:pPr>
        <w:jc w:val="center"/>
        <w:outlineLvl w:val="1"/>
        <w:rPr>
          <w:rFonts w:ascii="方正小标宋_GBK" w:hAnsi="黑体" w:eastAsia="方正小标宋_GBK"/>
          <w:b/>
          <w:bCs/>
          <w:sz w:val="28"/>
          <w:szCs w:val="28"/>
        </w:rPr>
      </w:pPr>
      <w:bookmarkStart w:id="165" w:name="_Toc119336611"/>
      <w:bookmarkStart w:id="166" w:name="_Toc117541330"/>
      <w:r>
        <w:rPr>
          <w:rFonts w:hint="eastAsia" w:ascii="方正小标宋_GBK" w:hAnsi="黑体" w:eastAsia="方正小标宋_GBK"/>
          <w:b/>
          <w:bCs/>
          <w:sz w:val="28"/>
          <w:szCs w:val="28"/>
        </w:rPr>
        <w:t>水利工程建设项目生产安全重大事故隐患清单指南</w:t>
      </w:r>
      <w:bookmarkEnd w:id="165"/>
      <w:bookmarkEnd w:id="166"/>
    </w:p>
    <w:tbl>
      <w:tblPr>
        <w:tblStyle w:val="34"/>
        <w:tblW w:w="5000" w:type="pct"/>
        <w:tblInd w:w="0" w:type="dxa"/>
        <w:tblLayout w:type="autofit"/>
        <w:tblCellMar>
          <w:top w:w="0" w:type="dxa"/>
          <w:left w:w="108" w:type="dxa"/>
          <w:bottom w:w="0" w:type="dxa"/>
          <w:right w:w="108" w:type="dxa"/>
        </w:tblCellMar>
      </w:tblPr>
      <w:tblGrid>
        <w:gridCol w:w="576"/>
        <w:gridCol w:w="875"/>
        <w:gridCol w:w="1163"/>
        <w:gridCol w:w="1022"/>
        <w:gridCol w:w="4892"/>
      </w:tblGrid>
      <w:tr>
        <w:tblPrEx>
          <w:tblCellMar>
            <w:top w:w="0" w:type="dxa"/>
            <w:left w:w="108" w:type="dxa"/>
            <w:bottom w:w="0" w:type="dxa"/>
            <w:right w:w="108" w:type="dxa"/>
          </w:tblCellMar>
        </w:tblPrEx>
        <w:trPr>
          <w:trHeight w:val="20" w:hRule="atLeast"/>
          <w:tblHeader/>
        </w:trPr>
        <w:tc>
          <w:tcPr>
            <w:tcW w:w="338"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textAlignment w:val="center"/>
              <w:rPr>
                <w:rFonts w:cs="黑体" w:asciiTheme="minorEastAsia" w:hAnsiTheme="minorEastAsia" w:eastAsiaTheme="minorEastAsia"/>
                <w:b/>
                <w:sz w:val="18"/>
                <w:szCs w:val="18"/>
                <w:lang w:val="zh-CN" w:bidi="zh-CN"/>
              </w:rPr>
            </w:pPr>
            <w:r>
              <w:rPr>
                <w:rFonts w:hint="eastAsia" w:cs="黑体" w:asciiTheme="minorEastAsia" w:hAnsiTheme="minorEastAsia" w:eastAsiaTheme="minorEastAsia"/>
                <w:b/>
                <w:sz w:val="18"/>
                <w:szCs w:val="18"/>
                <w:lang w:bidi="ar"/>
              </w:rPr>
              <w:t>序号</w:t>
            </w:r>
          </w:p>
        </w:tc>
        <w:tc>
          <w:tcPr>
            <w:tcW w:w="513"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textAlignment w:val="center"/>
              <w:rPr>
                <w:rFonts w:cs="黑体" w:asciiTheme="minorEastAsia" w:hAnsiTheme="minorEastAsia" w:eastAsiaTheme="minorEastAsia"/>
                <w:b/>
                <w:sz w:val="18"/>
                <w:szCs w:val="18"/>
                <w:lang w:val="zh-CN" w:bidi="zh-CN"/>
              </w:rPr>
            </w:pPr>
            <w:r>
              <w:rPr>
                <w:rFonts w:hint="eastAsia" w:cs="黑体" w:asciiTheme="minorEastAsia" w:hAnsiTheme="minorEastAsia" w:eastAsiaTheme="minorEastAsia"/>
                <w:b/>
                <w:sz w:val="18"/>
                <w:szCs w:val="18"/>
                <w:lang w:bidi="ar"/>
              </w:rPr>
              <w:t>类别</w:t>
            </w:r>
          </w:p>
        </w:tc>
        <w:tc>
          <w:tcPr>
            <w:tcW w:w="682"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textAlignment w:val="center"/>
              <w:rPr>
                <w:rFonts w:cs="黑体" w:asciiTheme="minorEastAsia" w:hAnsiTheme="minorEastAsia" w:eastAsiaTheme="minorEastAsia"/>
                <w:b/>
                <w:sz w:val="18"/>
                <w:szCs w:val="18"/>
                <w:lang w:val="zh-CN" w:bidi="zh-CN"/>
              </w:rPr>
            </w:pPr>
            <w:r>
              <w:rPr>
                <w:rFonts w:hint="eastAsia" w:cs="黑体" w:asciiTheme="minorEastAsia" w:hAnsiTheme="minorEastAsia" w:eastAsiaTheme="minorEastAsia"/>
                <w:b/>
                <w:sz w:val="18"/>
                <w:szCs w:val="18"/>
                <w:lang w:bidi="ar"/>
              </w:rPr>
              <w:t>管理环节</w:t>
            </w:r>
          </w:p>
        </w:tc>
        <w:tc>
          <w:tcPr>
            <w:tcW w:w="599"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textAlignment w:val="center"/>
              <w:rPr>
                <w:rFonts w:cs="黑体" w:asciiTheme="minorEastAsia" w:hAnsiTheme="minorEastAsia" w:eastAsiaTheme="minorEastAsia"/>
                <w:b/>
                <w:sz w:val="18"/>
                <w:szCs w:val="18"/>
                <w:lang w:bidi="ar"/>
              </w:rPr>
            </w:pPr>
            <w:r>
              <w:rPr>
                <w:rFonts w:hint="eastAsia" w:cs="黑体" w:asciiTheme="minorEastAsia" w:hAnsiTheme="minorEastAsia" w:eastAsiaTheme="minorEastAsia"/>
                <w:b/>
                <w:sz w:val="18"/>
                <w:szCs w:val="18"/>
                <w:lang w:bidi="ar"/>
              </w:rPr>
              <w:t>隐患</w:t>
            </w:r>
          </w:p>
          <w:p>
            <w:pPr>
              <w:adjustRightInd w:val="0"/>
              <w:snapToGrid w:val="0"/>
              <w:jc w:val="center"/>
              <w:textAlignment w:val="center"/>
              <w:rPr>
                <w:rFonts w:cs="黑体" w:asciiTheme="minorEastAsia" w:hAnsiTheme="minorEastAsia" w:eastAsiaTheme="minorEastAsia"/>
                <w:b/>
                <w:sz w:val="18"/>
                <w:szCs w:val="18"/>
                <w:lang w:val="zh-CN" w:bidi="zh-CN"/>
              </w:rPr>
            </w:pPr>
            <w:r>
              <w:rPr>
                <w:rFonts w:hint="eastAsia" w:cs="黑体" w:asciiTheme="minorEastAsia" w:hAnsiTheme="minorEastAsia" w:eastAsiaTheme="minorEastAsia"/>
                <w:b/>
                <w:sz w:val="18"/>
                <w:szCs w:val="18"/>
                <w:lang w:bidi="ar"/>
              </w:rPr>
              <w:t>编号</w:t>
            </w:r>
          </w:p>
        </w:tc>
        <w:tc>
          <w:tcPr>
            <w:tcW w:w="2869"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textAlignment w:val="center"/>
              <w:rPr>
                <w:rFonts w:cs="黑体" w:asciiTheme="minorEastAsia" w:hAnsiTheme="minorEastAsia" w:eastAsiaTheme="minorEastAsia"/>
                <w:b/>
                <w:sz w:val="18"/>
                <w:szCs w:val="18"/>
                <w:lang w:val="zh-CN" w:bidi="zh-CN"/>
              </w:rPr>
            </w:pPr>
            <w:r>
              <w:rPr>
                <w:rFonts w:hint="eastAsia" w:cs="黑体" w:asciiTheme="minorEastAsia" w:hAnsiTheme="minorEastAsia" w:eastAsiaTheme="minorEastAsia"/>
                <w:b/>
                <w:sz w:val="18"/>
                <w:szCs w:val="18"/>
                <w:lang w:bidi="ar"/>
              </w:rPr>
              <w:t>隐患内容</w:t>
            </w:r>
          </w:p>
        </w:tc>
      </w:tr>
      <w:tr>
        <w:tblPrEx>
          <w:tblCellMar>
            <w:top w:w="0" w:type="dxa"/>
            <w:left w:w="108" w:type="dxa"/>
            <w:bottom w:w="0" w:type="dxa"/>
            <w:right w:w="108" w:type="dxa"/>
          </w:tblCellMar>
        </w:tblPrEx>
        <w:trPr>
          <w:trHeight w:val="20" w:hRule="atLeast"/>
        </w:trPr>
        <w:tc>
          <w:tcPr>
            <w:tcW w:w="338"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textAlignment w:val="center"/>
              <w:rPr>
                <w:rFonts w:cs="仿宋_GB2312" w:asciiTheme="minorEastAsia" w:hAnsiTheme="minorEastAsia" w:eastAsiaTheme="minorEastAsia"/>
                <w:sz w:val="18"/>
                <w:szCs w:val="18"/>
                <w:lang w:val="zh-CN" w:bidi="zh-CN"/>
              </w:rPr>
            </w:pPr>
            <w:r>
              <w:rPr>
                <w:rFonts w:hint="eastAsia" w:cs="仿宋_GB2312" w:asciiTheme="minorEastAsia" w:hAnsiTheme="minorEastAsia" w:eastAsiaTheme="minorEastAsia"/>
                <w:sz w:val="18"/>
                <w:szCs w:val="18"/>
                <w:lang w:bidi="ar"/>
              </w:rPr>
              <w:t>1</w:t>
            </w:r>
          </w:p>
        </w:tc>
        <w:tc>
          <w:tcPr>
            <w:tcW w:w="513" w:type="pct"/>
            <w:vMerge w:val="restart"/>
            <w:tcBorders>
              <w:top w:val="single" w:color="000000" w:sz="4" w:space="0"/>
              <w:left w:val="single" w:color="000000" w:sz="4" w:space="0"/>
              <w:bottom w:val="nil"/>
              <w:right w:val="single" w:color="000000" w:sz="4" w:space="0"/>
            </w:tcBorders>
            <w:vAlign w:val="center"/>
          </w:tcPr>
          <w:p>
            <w:pPr>
              <w:adjustRightInd w:val="0"/>
              <w:snapToGrid w:val="0"/>
              <w:jc w:val="center"/>
              <w:textAlignment w:val="center"/>
              <w:rPr>
                <w:rFonts w:cs="仿宋_GB2312" w:asciiTheme="minorEastAsia" w:hAnsiTheme="minorEastAsia" w:eastAsiaTheme="minorEastAsia"/>
                <w:sz w:val="18"/>
                <w:szCs w:val="18"/>
                <w:lang w:bidi="ar"/>
              </w:rPr>
            </w:pPr>
            <w:r>
              <w:rPr>
                <w:rFonts w:hint="eastAsia" w:cs="仿宋_GB2312" w:asciiTheme="minorEastAsia" w:hAnsiTheme="minorEastAsia" w:eastAsiaTheme="minorEastAsia"/>
                <w:sz w:val="18"/>
                <w:szCs w:val="18"/>
                <w:lang w:bidi="ar"/>
              </w:rPr>
              <w:t>基础</w:t>
            </w:r>
          </w:p>
          <w:p>
            <w:pPr>
              <w:adjustRightInd w:val="0"/>
              <w:snapToGrid w:val="0"/>
              <w:jc w:val="center"/>
              <w:textAlignment w:val="center"/>
              <w:rPr>
                <w:rFonts w:cs="仿宋_GB2312" w:asciiTheme="minorEastAsia" w:hAnsiTheme="minorEastAsia" w:eastAsiaTheme="minorEastAsia"/>
                <w:sz w:val="18"/>
                <w:szCs w:val="18"/>
                <w:lang w:val="zh-CN" w:bidi="zh-CN"/>
              </w:rPr>
            </w:pPr>
            <w:r>
              <w:rPr>
                <w:rFonts w:hint="eastAsia" w:cs="仿宋_GB2312" w:asciiTheme="minorEastAsia" w:hAnsiTheme="minorEastAsia" w:eastAsiaTheme="minorEastAsia"/>
                <w:sz w:val="18"/>
                <w:szCs w:val="18"/>
                <w:lang w:bidi="ar"/>
              </w:rPr>
              <w:t>管理</w:t>
            </w:r>
          </w:p>
        </w:tc>
        <w:tc>
          <w:tcPr>
            <w:tcW w:w="682"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textAlignment w:val="center"/>
              <w:rPr>
                <w:rFonts w:cs="仿宋_GB2312" w:asciiTheme="minorEastAsia" w:hAnsiTheme="minorEastAsia" w:eastAsiaTheme="minorEastAsia"/>
                <w:sz w:val="18"/>
                <w:szCs w:val="18"/>
                <w:lang w:val="zh-CN" w:bidi="zh-CN"/>
              </w:rPr>
            </w:pPr>
            <w:r>
              <w:rPr>
                <w:rFonts w:hint="eastAsia" w:cs="仿宋_GB2312" w:asciiTheme="minorEastAsia" w:hAnsiTheme="minorEastAsia" w:eastAsiaTheme="minorEastAsia"/>
                <w:sz w:val="18"/>
                <w:szCs w:val="18"/>
                <w:lang w:bidi="ar"/>
              </w:rPr>
              <w:t>人员管理</w:t>
            </w:r>
          </w:p>
        </w:tc>
        <w:tc>
          <w:tcPr>
            <w:tcW w:w="599"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textAlignment w:val="center"/>
              <w:rPr>
                <w:rFonts w:cs="仿宋_GB2312" w:asciiTheme="minorEastAsia" w:hAnsiTheme="minorEastAsia" w:eastAsiaTheme="minorEastAsia"/>
                <w:sz w:val="18"/>
                <w:szCs w:val="18"/>
                <w:lang w:val="zh-CN" w:bidi="zh-CN"/>
              </w:rPr>
            </w:pPr>
            <w:r>
              <w:rPr>
                <w:rFonts w:hint="eastAsia" w:cs="仿宋_GB2312" w:asciiTheme="minorEastAsia" w:hAnsiTheme="minorEastAsia" w:eastAsiaTheme="minorEastAsia"/>
                <w:sz w:val="18"/>
                <w:szCs w:val="18"/>
                <w:lang w:bidi="ar"/>
              </w:rPr>
              <w:t>SJ-J001</w:t>
            </w:r>
          </w:p>
        </w:tc>
        <w:tc>
          <w:tcPr>
            <w:tcW w:w="2869"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left"/>
              <w:textAlignment w:val="center"/>
              <w:rPr>
                <w:rFonts w:cs="仿宋_GB2312" w:asciiTheme="minorEastAsia" w:hAnsiTheme="minorEastAsia" w:eastAsiaTheme="minorEastAsia"/>
                <w:sz w:val="18"/>
                <w:szCs w:val="18"/>
                <w:lang w:val="zh-CN" w:bidi="zh-CN"/>
              </w:rPr>
            </w:pPr>
            <w:r>
              <w:rPr>
                <w:rFonts w:hint="eastAsia" w:cs="仿宋_GB2312" w:asciiTheme="minorEastAsia" w:hAnsiTheme="minorEastAsia" w:eastAsiaTheme="minorEastAsia"/>
                <w:sz w:val="18"/>
                <w:szCs w:val="18"/>
                <w:lang w:bidi="ar"/>
              </w:rPr>
              <w:t>项目法人和施工企业未按规定设置安全生产管理机构或未按规定配备专职安全生产管理人员；施工企业主要负责人、项目负责人和专职安全生产管理人员未按规定持有效的安全生产考核合格证书；特种（设备）作业人员未持有效证件上岗作业</w:t>
            </w:r>
          </w:p>
        </w:tc>
      </w:tr>
      <w:tr>
        <w:tblPrEx>
          <w:tblCellMar>
            <w:top w:w="0" w:type="dxa"/>
            <w:left w:w="108" w:type="dxa"/>
            <w:bottom w:w="0" w:type="dxa"/>
            <w:right w:w="108" w:type="dxa"/>
          </w:tblCellMar>
        </w:tblPrEx>
        <w:trPr>
          <w:trHeight w:val="20" w:hRule="atLeast"/>
        </w:trPr>
        <w:tc>
          <w:tcPr>
            <w:tcW w:w="338"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textAlignment w:val="center"/>
              <w:rPr>
                <w:rFonts w:cs="仿宋_GB2312" w:asciiTheme="minorEastAsia" w:hAnsiTheme="minorEastAsia" w:eastAsiaTheme="minorEastAsia"/>
                <w:sz w:val="18"/>
                <w:szCs w:val="18"/>
                <w:lang w:val="zh-CN" w:bidi="zh-CN"/>
              </w:rPr>
            </w:pPr>
            <w:r>
              <w:rPr>
                <w:rFonts w:hint="eastAsia" w:cs="仿宋_GB2312" w:asciiTheme="minorEastAsia" w:hAnsiTheme="minorEastAsia" w:eastAsiaTheme="minorEastAsia"/>
                <w:sz w:val="18"/>
                <w:szCs w:val="18"/>
                <w:lang w:bidi="ar"/>
              </w:rPr>
              <w:t>2</w:t>
            </w:r>
          </w:p>
        </w:tc>
        <w:tc>
          <w:tcPr>
            <w:tcW w:w="513" w:type="pct"/>
            <w:vMerge w:val="continue"/>
            <w:tcBorders>
              <w:top w:val="single" w:color="000000" w:sz="4" w:space="0"/>
              <w:left w:val="single" w:color="000000" w:sz="4" w:space="0"/>
              <w:bottom w:val="nil"/>
              <w:right w:val="single" w:color="000000" w:sz="4" w:space="0"/>
            </w:tcBorders>
            <w:vAlign w:val="center"/>
          </w:tcPr>
          <w:p>
            <w:pPr>
              <w:adjustRightInd w:val="0"/>
              <w:snapToGrid w:val="0"/>
              <w:jc w:val="center"/>
              <w:rPr>
                <w:rFonts w:cs="仿宋_GB2312" w:asciiTheme="minorEastAsia" w:hAnsiTheme="minorEastAsia" w:eastAsiaTheme="minorEastAsia"/>
                <w:sz w:val="18"/>
                <w:szCs w:val="18"/>
                <w:lang w:val="zh-CN" w:bidi="zh-CN"/>
              </w:rPr>
            </w:pPr>
          </w:p>
        </w:tc>
        <w:tc>
          <w:tcPr>
            <w:tcW w:w="682"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textAlignment w:val="center"/>
              <w:rPr>
                <w:rFonts w:cs="仿宋_GB2312" w:asciiTheme="minorEastAsia" w:hAnsiTheme="minorEastAsia" w:eastAsiaTheme="minorEastAsia"/>
                <w:sz w:val="18"/>
                <w:szCs w:val="18"/>
                <w:lang w:val="zh-CN" w:bidi="zh-CN"/>
              </w:rPr>
            </w:pPr>
            <w:r>
              <w:rPr>
                <w:rFonts w:hint="eastAsia" w:cs="仿宋_GB2312" w:asciiTheme="minorEastAsia" w:hAnsiTheme="minorEastAsia" w:eastAsiaTheme="minorEastAsia"/>
                <w:sz w:val="18"/>
                <w:szCs w:val="18"/>
                <w:lang w:bidi="ar"/>
              </w:rPr>
              <w:t>方案管理</w:t>
            </w:r>
          </w:p>
        </w:tc>
        <w:tc>
          <w:tcPr>
            <w:tcW w:w="599"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textAlignment w:val="center"/>
              <w:rPr>
                <w:rFonts w:cs="仿宋_GB2312" w:asciiTheme="minorEastAsia" w:hAnsiTheme="minorEastAsia" w:eastAsiaTheme="minorEastAsia"/>
                <w:sz w:val="18"/>
                <w:szCs w:val="18"/>
                <w:lang w:val="zh-CN" w:bidi="zh-CN"/>
              </w:rPr>
            </w:pPr>
            <w:r>
              <w:rPr>
                <w:rFonts w:hint="eastAsia" w:cs="仿宋_GB2312" w:asciiTheme="minorEastAsia" w:hAnsiTheme="minorEastAsia" w:eastAsiaTheme="minorEastAsia"/>
                <w:sz w:val="18"/>
                <w:szCs w:val="18"/>
                <w:lang w:bidi="ar"/>
              </w:rPr>
              <w:t>SJ-J002</w:t>
            </w:r>
          </w:p>
        </w:tc>
        <w:tc>
          <w:tcPr>
            <w:tcW w:w="2869"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left"/>
              <w:textAlignment w:val="center"/>
              <w:rPr>
                <w:rFonts w:cs="仿宋_GB2312" w:asciiTheme="minorEastAsia" w:hAnsiTheme="minorEastAsia" w:eastAsiaTheme="minorEastAsia"/>
                <w:sz w:val="18"/>
                <w:szCs w:val="18"/>
                <w:lang w:val="zh-CN" w:bidi="zh-CN"/>
              </w:rPr>
            </w:pPr>
            <w:r>
              <w:rPr>
                <w:rFonts w:hint="eastAsia" w:cs="仿宋_GB2312" w:asciiTheme="minorEastAsia" w:hAnsiTheme="minorEastAsia" w:eastAsiaTheme="minorEastAsia"/>
                <w:sz w:val="18"/>
                <w:szCs w:val="18"/>
                <w:lang w:bidi="ar"/>
              </w:rPr>
              <w:t>无施工组织设计施工；危险性较大的单项工程无专项施工方案；超过一定规模的危险性较大单项工程的专项施工方案未按规定组织专家论证、审查擅自施工；未按批准的专项施工方案组织实施；需要验收的危险性较大的单项工程未经验收合格转入后续工程施工</w:t>
            </w:r>
          </w:p>
        </w:tc>
      </w:tr>
      <w:tr>
        <w:tblPrEx>
          <w:tblCellMar>
            <w:top w:w="0" w:type="dxa"/>
            <w:left w:w="108" w:type="dxa"/>
            <w:bottom w:w="0" w:type="dxa"/>
            <w:right w:w="108" w:type="dxa"/>
          </w:tblCellMar>
        </w:tblPrEx>
        <w:trPr>
          <w:trHeight w:val="20" w:hRule="atLeast"/>
        </w:trPr>
        <w:tc>
          <w:tcPr>
            <w:tcW w:w="338"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textAlignment w:val="center"/>
              <w:rPr>
                <w:rFonts w:cs="仿宋_GB2312" w:asciiTheme="minorEastAsia" w:hAnsiTheme="minorEastAsia" w:eastAsiaTheme="minorEastAsia"/>
                <w:sz w:val="18"/>
                <w:szCs w:val="18"/>
                <w:lang w:val="zh-CN" w:bidi="zh-CN"/>
              </w:rPr>
            </w:pPr>
            <w:r>
              <w:rPr>
                <w:rFonts w:hint="eastAsia" w:cs="仿宋_GB2312" w:asciiTheme="minorEastAsia" w:hAnsiTheme="minorEastAsia" w:eastAsiaTheme="minorEastAsia"/>
                <w:sz w:val="18"/>
                <w:szCs w:val="18"/>
                <w:lang w:bidi="ar"/>
              </w:rPr>
              <w:t>3</w:t>
            </w:r>
          </w:p>
        </w:tc>
        <w:tc>
          <w:tcPr>
            <w:tcW w:w="513" w:type="pct"/>
            <w:vMerge w:val="restart"/>
            <w:tcBorders>
              <w:top w:val="single" w:color="000000" w:sz="4" w:space="0"/>
              <w:left w:val="single" w:color="000000" w:sz="4" w:space="0"/>
              <w:bottom w:val="nil"/>
              <w:right w:val="single" w:color="000000" w:sz="4" w:space="0"/>
            </w:tcBorders>
            <w:vAlign w:val="center"/>
          </w:tcPr>
          <w:p>
            <w:pPr>
              <w:adjustRightInd w:val="0"/>
              <w:snapToGrid w:val="0"/>
              <w:jc w:val="center"/>
              <w:textAlignment w:val="center"/>
              <w:rPr>
                <w:rFonts w:cs="仿宋_GB2312" w:asciiTheme="minorEastAsia" w:hAnsiTheme="minorEastAsia" w:eastAsiaTheme="minorEastAsia"/>
                <w:sz w:val="18"/>
                <w:szCs w:val="18"/>
                <w:lang w:bidi="ar"/>
              </w:rPr>
            </w:pPr>
            <w:r>
              <w:rPr>
                <w:rFonts w:hint="eastAsia" w:cs="仿宋_GB2312" w:asciiTheme="minorEastAsia" w:hAnsiTheme="minorEastAsia" w:eastAsiaTheme="minorEastAsia"/>
                <w:sz w:val="18"/>
                <w:szCs w:val="18"/>
                <w:lang w:bidi="ar"/>
              </w:rPr>
              <w:t>临时</w:t>
            </w:r>
          </w:p>
          <w:p>
            <w:pPr>
              <w:adjustRightInd w:val="0"/>
              <w:snapToGrid w:val="0"/>
              <w:jc w:val="center"/>
              <w:textAlignment w:val="center"/>
              <w:rPr>
                <w:rFonts w:cs="仿宋_GB2312" w:asciiTheme="minorEastAsia" w:hAnsiTheme="minorEastAsia" w:eastAsiaTheme="minorEastAsia"/>
                <w:sz w:val="18"/>
                <w:szCs w:val="18"/>
                <w:lang w:val="zh-CN" w:bidi="zh-CN"/>
              </w:rPr>
            </w:pPr>
            <w:r>
              <w:rPr>
                <w:rFonts w:hint="eastAsia" w:cs="仿宋_GB2312" w:asciiTheme="minorEastAsia" w:hAnsiTheme="minorEastAsia" w:eastAsiaTheme="minorEastAsia"/>
                <w:sz w:val="18"/>
                <w:szCs w:val="18"/>
                <w:lang w:bidi="ar"/>
              </w:rPr>
              <w:t>工程</w:t>
            </w:r>
          </w:p>
        </w:tc>
        <w:tc>
          <w:tcPr>
            <w:tcW w:w="682"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textAlignment w:val="center"/>
              <w:rPr>
                <w:rFonts w:cs="仿宋_GB2312" w:asciiTheme="minorEastAsia" w:hAnsiTheme="minorEastAsia" w:eastAsiaTheme="minorEastAsia"/>
                <w:sz w:val="18"/>
                <w:szCs w:val="18"/>
                <w:lang w:val="zh-CN" w:bidi="zh-CN"/>
              </w:rPr>
            </w:pPr>
            <w:r>
              <w:rPr>
                <w:rFonts w:hint="eastAsia" w:cs="仿宋_GB2312" w:asciiTheme="minorEastAsia" w:hAnsiTheme="minorEastAsia" w:eastAsiaTheme="minorEastAsia"/>
                <w:sz w:val="18"/>
                <w:szCs w:val="18"/>
                <w:lang w:bidi="ar"/>
              </w:rPr>
              <w:t>营地及施工设施建设</w:t>
            </w:r>
          </w:p>
        </w:tc>
        <w:tc>
          <w:tcPr>
            <w:tcW w:w="599"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textAlignment w:val="center"/>
              <w:rPr>
                <w:rFonts w:cs="仿宋_GB2312" w:asciiTheme="minorEastAsia" w:hAnsiTheme="minorEastAsia" w:eastAsiaTheme="minorEastAsia"/>
                <w:sz w:val="18"/>
                <w:szCs w:val="18"/>
                <w:lang w:val="zh-CN" w:bidi="zh-CN"/>
              </w:rPr>
            </w:pPr>
            <w:r>
              <w:rPr>
                <w:rFonts w:hint="eastAsia" w:cs="仿宋_GB2312" w:asciiTheme="minorEastAsia" w:hAnsiTheme="minorEastAsia" w:eastAsiaTheme="minorEastAsia"/>
                <w:sz w:val="18"/>
                <w:szCs w:val="18"/>
                <w:lang w:bidi="ar"/>
              </w:rPr>
              <w:t>SJ-J003</w:t>
            </w:r>
          </w:p>
        </w:tc>
        <w:tc>
          <w:tcPr>
            <w:tcW w:w="2869"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left"/>
              <w:textAlignment w:val="center"/>
              <w:rPr>
                <w:rFonts w:cs="仿宋_GB2312" w:asciiTheme="minorEastAsia" w:hAnsiTheme="minorEastAsia" w:eastAsiaTheme="minorEastAsia"/>
                <w:sz w:val="18"/>
                <w:szCs w:val="18"/>
                <w:lang w:val="zh-CN" w:bidi="zh-CN"/>
              </w:rPr>
            </w:pPr>
            <w:r>
              <w:rPr>
                <w:rFonts w:hint="eastAsia" w:cs="仿宋_GB2312" w:asciiTheme="minorEastAsia" w:hAnsiTheme="minorEastAsia" w:eastAsiaTheme="minorEastAsia"/>
                <w:sz w:val="18"/>
                <w:szCs w:val="18"/>
                <w:lang w:bidi="ar"/>
              </w:rPr>
              <w:t>施工工厂区、施工（建设）管理及生活区、危险化学品仓库布置在洪水、雪崩、滑坡、泥石流、塌方及危石等危险区域</w:t>
            </w:r>
          </w:p>
        </w:tc>
      </w:tr>
      <w:tr>
        <w:tblPrEx>
          <w:tblCellMar>
            <w:top w:w="0" w:type="dxa"/>
            <w:left w:w="108" w:type="dxa"/>
            <w:bottom w:w="0" w:type="dxa"/>
            <w:right w:w="108" w:type="dxa"/>
          </w:tblCellMar>
        </w:tblPrEx>
        <w:trPr>
          <w:trHeight w:val="20" w:hRule="atLeast"/>
        </w:trPr>
        <w:tc>
          <w:tcPr>
            <w:tcW w:w="338"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textAlignment w:val="center"/>
              <w:rPr>
                <w:rFonts w:cs="仿宋_GB2312" w:asciiTheme="minorEastAsia" w:hAnsiTheme="minorEastAsia" w:eastAsiaTheme="minorEastAsia"/>
                <w:sz w:val="18"/>
                <w:szCs w:val="18"/>
                <w:lang w:val="zh-CN" w:bidi="zh-CN"/>
              </w:rPr>
            </w:pPr>
            <w:r>
              <w:rPr>
                <w:rFonts w:hint="eastAsia" w:cs="仿宋_GB2312" w:asciiTheme="minorEastAsia" w:hAnsiTheme="minorEastAsia" w:eastAsiaTheme="minorEastAsia"/>
                <w:sz w:val="18"/>
                <w:szCs w:val="18"/>
                <w:lang w:bidi="ar"/>
              </w:rPr>
              <w:t>4</w:t>
            </w:r>
          </w:p>
        </w:tc>
        <w:tc>
          <w:tcPr>
            <w:tcW w:w="513" w:type="pct"/>
            <w:vMerge w:val="continue"/>
            <w:tcBorders>
              <w:top w:val="single" w:color="000000" w:sz="4" w:space="0"/>
              <w:left w:val="single" w:color="000000" w:sz="4" w:space="0"/>
              <w:bottom w:val="nil"/>
              <w:right w:val="single" w:color="000000" w:sz="4" w:space="0"/>
            </w:tcBorders>
            <w:vAlign w:val="center"/>
          </w:tcPr>
          <w:p>
            <w:pPr>
              <w:adjustRightInd w:val="0"/>
              <w:snapToGrid w:val="0"/>
              <w:jc w:val="center"/>
              <w:rPr>
                <w:rFonts w:cs="仿宋_GB2312" w:asciiTheme="minorEastAsia" w:hAnsiTheme="minorEastAsia" w:eastAsiaTheme="minorEastAsia"/>
                <w:sz w:val="18"/>
                <w:szCs w:val="18"/>
                <w:lang w:val="zh-CN" w:bidi="zh-CN"/>
              </w:rPr>
            </w:pPr>
          </w:p>
        </w:tc>
        <w:tc>
          <w:tcPr>
            <w:tcW w:w="682"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textAlignment w:val="center"/>
              <w:rPr>
                <w:rFonts w:cs="仿宋_GB2312" w:asciiTheme="minorEastAsia" w:hAnsiTheme="minorEastAsia" w:eastAsiaTheme="minorEastAsia"/>
                <w:sz w:val="18"/>
                <w:szCs w:val="18"/>
                <w:lang w:val="zh-CN" w:bidi="zh-CN"/>
              </w:rPr>
            </w:pPr>
            <w:r>
              <w:rPr>
                <w:rFonts w:hint="eastAsia" w:cs="仿宋_GB2312" w:asciiTheme="minorEastAsia" w:hAnsiTheme="minorEastAsia" w:eastAsiaTheme="minorEastAsia"/>
                <w:sz w:val="18"/>
                <w:szCs w:val="18"/>
                <w:lang w:bidi="ar"/>
              </w:rPr>
              <w:t>临时设施</w:t>
            </w:r>
          </w:p>
        </w:tc>
        <w:tc>
          <w:tcPr>
            <w:tcW w:w="599"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textAlignment w:val="center"/>
              <w:rPr>
                <w:rFonts w:cs="仿宋_GB2312" w:asciiTheme="minorEastAsia" w:hAnsiTheme="minorEastAsia" w:eastAsiaTheme="minorEastAsia"/>
                <w:sz w:val="18"/>
                <w:szCs w:val="18"/>
                <w:lang w:val="zh-CN" w:bidi="zh-CN"/>
              </w:rPr>
            </w:pPr>
            <w:r>
              <w:rPr>
                <w:rFonts w:hint="eastAsia" w:cs="仿宋_GB2312" w:asciiTheme="minorEastAsia" w:hAnsiTheme="minorEastAsia" w:eastAsiaTheme="minorEastAsia"/>
                <w:sz w:val="18"/>
                <w:szCs w:val="18"/>
                <w:lang w:bidi="ar"/>
              </w:rPr>
              <w:t>SJ-J004</w:t>
            </w:r>
          </w:p>
        </w:tc>
        <w:tc>
          <w:tcPr>
            <w:tcW w:w="2869"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left"/>
              <w:textAlignment w:val="center"/>
              <w:rPr>
                <w:rFonts w:cs="仿宋_GB2312" w:asciiTheme="minorEastAsia" w:hAnsiTheme="minorEastAsia" w:eastAsiaTheme="minorEastAsia"/>
                <w:sz w:val="18"/>
                <w:szCs w:val="18"/>
                <w:lang w:val="zh-CN" w:bidi="zh-CN"/>
              </w:rPr>
            </w:pPr>
            <w:r>
              <w:rPr>
                <w:rFonts w:hint="eastAsia" w:cs="仿宋_GB2312" w:asciiTheme="minorEastAsia" w:hAnsiTheme="minorEastAsia" w:eastAsiaTheme="minorEastAsia"/>
                <w:sz w:val="18"/>
                <w:szCs w:val="18"/>
                <w:lang w:bidi="ar"/>
              </w:rPr>
              <w:t>宿舍、办公用房、厨房操作间、易燃易爆危险品库等消防重点部位安全距离不符合要求且未采取有效防护措施；宿舍、办公用房、厨房操作间、易燃易爆危险品库等建筑构件的燃烧性能等级未达到 A 级；宿舍、办公用房采用金属夹芯板材时，其芯材的燃烧性能等级未达到 A 级</w:t>
            </w:r>
          </w:p>
        </w:tc>
      </w:tr>
      <w:tr>
        <w:tblPrEx>
          <w:tblCellMar>
            <w:top w:w="0" w:type="dxa"/>
            <w:left w:w="108" w:type="dxa"/>
            <w:bottom w:w="0" w:type="dxa"/>
            <w:right w:w="108" w:type="dxa"/>
          </w:tblCellMar>
        </w:tblPrEx>
        <w:trPr>
          <w:trHeight w:val="20" w:hRule="atLeast"/>
        </w:trPr>
        <w:tc>
          <w:tcPr>
            <w:tcW w:w="338"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textAlignment w:val="center"/>
              <w:rPr>
                <w:rFonts w:cs="仿宋_GB2312" w:asciiTheme="minorEastAsia" w:hAnsiTheme="minorEastAsia" w:eastAsiaTheme="minorEastAsia"/>
                <w:sz w:val="18"/>
                <w:szCs w:val="18"/>
                <w:lang w:val="zh-CN" w:bidi="zh-CN"/>
              </w:rPr>
            </w:pPr>
            <w:r>
              <w:rPr>
                <w:rFonts w:hint="eastAsia" w:cs="仿宋_GB2312" w:asciiTheme="minorEastAsia" w:hAnsiTheme="minorEastAsia" w:eastAsiaTheme="minorEastAsia"/>
                <w:sz w:val="18"/>
                <w:szCs w:val="18"/>
                <w:lang w:bidi="ar"/>
              </w:rPr>
              <w:t>5</w:t>
            </w:r>
          </w:p>
        </w:tc>
        <w:tc>
          <w:tcPr>
            <w:tcW w:w="513" w:type="pct"/>
            <w:vMerge w:val="continue"/>
            <w:tcBorders>
              <w:top w:val="single" w:color="000000" w:sz="4" w:space="0"/>
              <w:left w:val="single" w:color="000000" w:sz="4" w:space="0"/>
              <w:bottom w:val="nil"/>
              <w:right w:val="single" w:color="000000" w:sz="4" w:space="0"/>
            </w:tcBorders>
            <w:vAlign w:val="center"/>
          </w:tcPr>
          <w:p>
            <w:pPr>
              <w:adjustRightInd w:val="0"/>
              <w:snapToGrid w:val="0"/>
              <w:jc w:val="center"/>
              <w:rPr>
                <w:rFonts w:cs="仿宋_GB2312" w:asciiTheme="minorEastAsia" w:hAnsiTheme="minorEastAsia" w:eastAsiaTheme="minorEastAsia"/>
                <w:sz w:val="18"/>
                <w:szCs w:val="18"/>
                <w:lang w:val="zh-CN" w:bidi="zh-CN"/>
              </w:rPr>
            </w:pPr>
          </w:p>
        </w:tc>
        <w:tc>
          <w:tcPr>
            <w:tcW w:w="682"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textAlignment w:val="center"/>
              <w:rPr>
                <w:rFonts w:cs="仿宋_GB2312" w:asciiTheme="minorEastAsia" w:hAnsiTheme="minorEastAsia" w:eastAsiaTheme="minorEastAsia"/>
                <w:sz w:val="18"/>
                <w:szCs w:val="18"/>
                <w:lang w:val="zh-CN" w:bidi="zh-CN"/>
              </w:rPr>
            </w:pPr>
            <w:r>
              <w:rPr>
                <w:rFonts w:hint="eastAsia" w:cs="仿宋_GB2312" w:asciiTheme="minorEastAsia" w:hAnsiTheme="minorEastAsia" w:eastAsiaTheme="minorEastAsia"/>
                <w:sz w:val="18"/>
                <w:szCs w:val="18"/>
                <w:lang w:bidi="ar"/>
              </w:rPr>
              <w:t>围堰工程</w:t>
            </w:r>
          </w:p>
        </w:tc>
        <w:tc>
          <w:tcPr>
            <w:tcW w:w="599"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textAlignment w:val="center"/>
              <w:rPr>
                <w:rFonts w:cs="仿宋_GB2312" w:asciiTheme="minorEastAsia" w:hAnsiTheme="minorEastAsia" w:eastAsiaTheme="minorEastAsia"/>
                <w:sz w:val="18"/>
                <w:szCs w:val="18"/>
                <w:lang w:val="zh-CN" w:bidi="zh-CN"/>
              </w:rPr>
            </w:pPr>
            <w:r>
              <w:rPr>
                <w:rFonts w:hint="eastAsia" w:cs="仿宋_GB2312" w:asciiTheme="minorEastAsia" w:hAnsiTheme="minorEastAsia" w:eastAsiaTheme="minorEastAsia"/>
                <w:sz w:val="18"/>
                <w:szCs w:val="18"/>
                <w:lang w:bidi="ar"/>
              </w:rPr>
              <w:t>SJ-J005</w:t>
            </w:r>
          </w:p>
        </w:tc>
        <w:tc>
          <w:tcPr>
            <w:tcW w:w="2869"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left"/>
              <w:textAlignment w:val="center"/>
              <w:rPr>
                <w:rFonts w:cs="仿宋_GB2312" w:asciiTheme="minorEastAsia" w:hAnsiTheme="minorEastAsia" w:eastAsiaTheme="minorEastAsia"/>
                <w:sz w:val="18"/>
                <w:szCs w:val="18"/>
                <w:lang w:val="zh-CN" w:bidi="zh-CN"/>
              </w:rPr>
            </w:pPr>
            <w:r>
              <w:rPr>
                <w:rFonts w:hint="eastAsia" w:cs="仿宋_GB2312" w:asciiTheme="minorEastAsia" w:hAnsiTheme="minorEastAsia" w:eastAsiaTheme="minorEastAsia"/>
                <w:sz w:val="18"/>
                <w:szCs w:val="18"/>
                <w:lang w:bidi="ar"/>
              </w:rPr>
              <w:t>围堰不符合规范和设计要求；围堰位移及渗流量超过设计要求，且无有效管控措施</w:t>
            </w:r>
          </w:p>
        </w:tc>
      </w:tr>
      <w:tr>
        <w:tblPrEx>
          <w:tblCellMar>
            <w:top w:w="0" w:type="dxa"/>
            <w:left w:w="108" w:type="dxa"/>
            <w:bottom w:w="0" w:type="dxa"/>
            <w:right w:w="108" w:type="dxa"/>
          </w:tblCellMar>
        </w:tblPrEx>
        <w:trPr>
          <w:trHeight w:val="20" w:hRule="atLeast"/>
        </w:trPr>
        <w:tc>
          <w:tcPr>
            <w:tcW w:w="338"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textAlignment w:val="center"/>
              <w:rPr>
                <w:rFonts w:cs="仿宋_GB2312" w:asciiTheme="minorEastAsia" w:hAnsiTheme="minorEastAsia" w:eastAsiaTheme="minorEastAsia"/>
                <w:sz w:val="18"/>
                <w:szCs w:val="18"/>
                <w:lang w:val="zh-CN" w:bidi="zh-CN"/>
              </w:rPr>
            </w:pPr>
            <w:r>
              <w:rPr>
                <w:rFonts w:hint="eastAsia" w:cs="仿宋_GB2312" w:asciiTheme="minorEastAsia" w:hAnsiTheme="minorEastAsia" w:eastAsiaTheme="minorEastAsia"/>
                <w:sz w:val="18"/>
                <w:szCs w:val="18"/>
                <w:lang w:bidi="ar"/>
              </w:rPr>
              <w:t>6</w:t>
            </w:r>
          </w:p>
        </w:tc>
        <w:tc>
          <w:tcPr>
            <w:tcW w:w="513" w:type="pct"/>
            <w:vMerge w:val="restar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textAlignment w:val="center"/>
              <w:rPr>
                <w:rFonts w:cs="仿宋_GB2312" w:asciiTheme="minorEastAsia" w:hAnsiTheme="minorEastAsia" w:eastAsiaTheme="minorEastAsia"/>
                <w:sz w:val="18"/>
                <w:szCs w:val="18"/>
                <w:lang w:bidi="ar"/>
              </w:rPr>
            </w:pPr>
            <w:r>
              <w:rPr>
                <w:rFonts w:hint="eastAsia" w:cs="仿宋_GB2312" w:asciiTheme="minorEastAsia" w:hAnsiTheme="minorEastAsia" w:eastAsiaTheme="minorEastAsia"/>
                <w:sz w:val="18"/>
                <w:szCs w:val="18"/>
                <w:lang w:bidi="ar"/>
              </w:rPr>
              <w:t>专项</w:t>
            </w:r>
          </w:p>
          <w:p>
            <w:pPr>
              <w:adjustRightInd w:val="0"/>
              <w:snapToGrid w:val="0"/>
              <w:jc w:val="center"/>
              <w:textAlignment w:val="center"/>
              <w:rPr>
                <w:rFonts w:cs="仿宋_GB2312" w:asciiTheme="minorEastAsia" w:hAnsiTheme="minorEastAsia" w:eastAsiaTheme="minorEastAsia"/>
                <w:sz w:val="18"/>
                <w:szCs w:val="18"/>
                <w:lang w:val="zh-CN" w:bidi="zh-CN"/>
              </w:rPr>
            </w:pPr>
            <w:r>
              <w:rPr>
                <w:rFonts w:hint="eastAsia" w:cs="仿宋_GB2312" w:asciiTheme="minorEastAsia" w:hAnsiTheme="minorEastAsia" w:eastAsiaTheme="minorEastAsia"/>
                <w:sz w:val="18"/>
                <w:szCs w:val="18"/>
                <w:lang w:bidi="ar"/>
              </w:rPr>
              <w:t>工程</w:t>
            </w:r>
          </w:p>
        </w:tc>
        <w:tc>
          <w:tcPr>
            <w:tcW w:w="682"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textAlignment w:val="center"/>
              <w:rPr>
                <w:rFonts w:cs="仿宋_GB2312" w:asciiTheme="minorEastAsia" w:hAnsiTheme="minorEastAsia" w:eastAsiaTheme="minorEastAsia"/>
                <w:sz w:val="18"/>
                <w:szCs w:val="18"/>
                <w:lang w:val="zh-CN" w:bidi="zh-CN"/>
              </w:rPr>
            </w:pPr>
            <w:r>
              <w:rPr>
                <w:rFonts w:hint="eastAsia" w:cs="仿宋_GB2312" w:asciiTheme="minorEastAsia" w:hAnsiTheme="minorEastAsia" w:eastAsiaTheme="minorEastAsia"/>
                <w:sz w:val="18"/>
                <w:szCs w:val="18"/>
                <w:lang w:bidi="ar"/>
              </w:rPr>
              <w:t>临时用电</w:t>
            </w:r>
          </w:p>
        </w:tc>
        <w:tc>
          <w:tcPr>
            <w:tcW w:w="599"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textAlignment w:val="center"/>
              <w:rPr>
                <w:rFonts w:cs="仿宋_GB2312" w:asciiTheme="minorEastAsia" w:hAnsiTheme="minorEastAsia" w:eastAsiaTheme="minorEastAsia"/>
                <w:sz w:val="18"/>
                <w:szCs w:val="18"/>
                <w:lang w:val="zh-CN" w:bidi="zh-CN"/>
              </w:rPr>
            </w:pPr>
            <w:r>
              <w:rPr>
                <w:rFonts w:hint="eastAsia" w:cs="仿宋_GB2312" w:asciiTheme="minorEastAsia" w:hAnsiTheme="minorEastAsia" w:eastAsiaTheme="minorEastAsia"/>
                <w:sz w:val="18"/>
                <w:szCs w:val="18"/>
                <w:lang w:bidi="ar"/>
              </w:rPr>
              <w:t>SJ-J006</w:t>
            </w:r>
          </w:p>
        </w:tc>
        <w:tc>
          <w:tcPr>
            <w:tcW w:w="2869"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left"/>
              <w:textAlignment w:val="center"/>
              <w:rPr>
                <w:rFonts w:cs="仿宋_GB2312" w:asciiTheme="minorEastAsia" w:hAnsiTheme="minorEastAsia" w:eastAsiaTheme="minorEastAsia"/>
                <w:sz w:val="18"/>
                <w:szCs w:val="18"/>
                <w:lang w:val="zh-CN" w:bidi="zh-CN"/>
              </w:rPr>
            </w:pPr>
            <w:r>
              <w:rPr>
                <w:rFonts w:hint="eastAsia" w:cs="仿宋_GB2312" w:asciiTheme="minorEastAsia" w:hAnsiTheme="minorEastAsia" w:eastAsiaTheme="minorEastAsia"/>
                <w:sz w:val="18"/>
                <w:szCs w:val="18"/>
                <w:lang w:bidi="ar"/>
              </w:rPr>
              <w:t>施工现场专用的电源中性点直接接地的低压配电系统未采用TN-S接零保护系统；发电机组电源未与其他电源互相闭锁，并列运行；外电线路的安全距离不符合规范要求且未按规定采取防护措施</w:t>
            </w:r>
          </w:p>
        </w:tc>
      </w:tr>
      <w:tr>
        <w:tblPrEx>
          <w:tblCellMar>
            <w:top w:w="0" w:type="dxa"/>
            <w:left w:w="108" w:type="dxa"/>
            <w:bottom w:w="0" w:type="dxa"/>
            <w:right w:w="108" w:type="dxa"/>
          </w:tblCellMar>
        </w:tblPrEx>
        <w:trPr>
          <w:trHeight w:val="20" w:hRule="atLeast"/>
        </w:trPr>
        <w:tc>
          <w:tcPr>
            <w:tcW w:w="338"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textAlignment w:val="center"/>
              <w:rPr>
                <w:rFonts w:cs="仿宋_GB2312" w:asciiTheme="minorEastAsia" w:hAnsiTheme="minorEastAsia" w:eastAsiaTheme="minorEastAsia"/>
                <w:sz w:val="18"/>
                <w:szCs w:val="18"/>
                <w:lang w:val="zh-CN" w:bidi="zh-CN"/>
              </w:rPr>
            </w:pPr>
            <w:r>
              <w:rPr>
                <w:rFonts w:hint="eastAsia" w:cs="仿宋_GB2312" w:asciiTheme="minorEastAsia" w:hAnsiTheme="minorEastAsia" w:eastAsiaTheme="minorEastAsia"/>
                <w:sz w:val="18"/>
                <w:szCs w:val="18"/>
                <w:lang w:bidi="ar"/>
              </w:rPr>
              <w:t>7</w:t>
            </w:r>
          </w:p>
        </w:tc>
        <w:tc>
          <w:tcPr>
            <w:tcW w:w="513" w:type="pct"/>
            <w:vMerge w:val="continue"/>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cs="仿宋_GB2312" w:asciiTheme="minorEastAsia" w:hAnsiTheme="minorEastAsia" w:eastAsiaTheme="minorEastAsia"/>
                <w:sz w:val="18"/>
                <w:szCs w:val="18"/>
                <w:lang w:val="zh-CN" w:bidi="zh-CN"/>
              </w:rPr>
            </w:pPr>
          </w:p>
        </w:tc>
        <w:tc>
          <w:tcPr>
            <w:tcW w:w="682"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textAlignment w:val="center"/>
              <w:rPr>
                <w:rFonts w:cs="仿宋_GB2312" w:asciiTheme="minorEastAsia" w:hAnsiTheme="minorEastAsia" w:eastAsiaTheme="minorEastAsia"/>
                <w:sz w:val="18"/>
                <w:szCs w:val="18"/>
                <w:lang w:val="zh-CN" w:bidi="zh-CN"/>
              </w:rPr>
            </w:pPr>
            <w:r>
              <w:rPr>
                <w:rFonts w:hint="eastAsia" w:cs="仿宋_GB2312" w:asciiTheme="minorEastAsia" w:hAnsiTheme="minorEastAsia" w:eastAsiaTheme="minorEastAsia"/>
                <w:sz w:val="18"/>
                <w:szCs w:val="18"/>
                <w:lang w:bidi="ar"/>
              </w:rPr>
              <w:t>脚手架</w:t>
            </w:r>
          </w:p>
        </w:tc>
        <w:tc>
          <w:tcPr>
            <w:tcW w:w="599"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textAlignment w:val="center"/>
              <w:rPr>
                <w:rFonts w:cs="仿宋_GB2312" w:asciiTheme="minorEastAsia" w:hAnsiTheme="minorEastAsia" w:eastAsiaTheme="minorEastAsia"/>
                <w:sz w:val="18"/>
                <w:szCs w:val="18"/>
                <w:lang w:val="zh-CN" w:bidi="zh-CN"/>
              </w:rPr>
            </w:pPr>
            <w:r>
              <w:rPr>
                <w:rFonts w:hint="eastAsia" w:cs="仿宋_GB2312" w:asciiTheme="minorEastAsia" w:hAnsiTheme="minorEastAsia" w:eastAsiaTheme="minorEastAsia"/>
                <w:sz w:val="18"/>
                <w:szCs w:val="18"/>
                <w:lang w:bidi="ar"/>
              </w:rPr>
              <w:t>SJ-J007</w:t>
            </w:r>
          </w:p>
        </w:tc>
        <w:tc>
          <w:tcPr>
            <w:tcW w:w="2869"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left"/>
              <w:textAlignment w:val="center"/>
              <w:rPr>
                <w:rFonts w:cs="仿宋_GB2312" w:asciiTheme="minorEastAsia" w:hAnsiTheme="minorEastAsia" w:eastAsiaTheme="minorEastAsia"/>
                <w:sz w:val="18"/>
                <w:szCs w:val="18"/>
                <w:lang w:val="zh-CN" w:bidi="zh-CN"/>
              </w:rPr>
            </w:pPr>
            <w:r>
              <w:rPr>
                <w:rFonts w:hint="eastAsia" w:cs="仿宋_GB2312" w:asciiTheme="minorEastAsia" w:hAnsiTheme="minorEastAsia" w:eastAsiaTheme="minorEastAsia"/>
                <w:sz w:val="18"/>
                <w:szCs w:val="18"/>
                <w:lang w:bidi="ar"/>
              </w:rPr>
              <w:t>达到或超过一定规模的作业脚手架和支撑脚手架的立杆基础承载力不符合专项施工方案的要求，且已有明显沉降；立杆采用搭接（作业脚手架顶步距除外）；未按专项施工方案设置连墙件</w:t>
            </w:r>
          </w:p>
        </w:tc>
      </w:tr>
      <w:tr>
        <w:tblPrEx>
          <w:tblCellMar>
            <w:top w:w="0" w:type="dxa"/>
            <w:left w:w="108" w:type="dxa"/>
            <w:bottom w:w="0" w:type="dxa"/>
            <w:right w:w="108" w:type="dxa"/>
          </w:tblCellMar>
        </w:tblPrEx>
        <w:trPr>
          <w:trHeight w:val="20" w:hRule="atLeast"/>
        </w:trPr>
        <w:tc>
          <w:tcPr>
            <w:tcW w:w="338"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textAlignment w:val="center"/>
              <w:rPr>
                <w:rFonts w:cs="仿宋_GB2312" w:asciiTheme="minorEastAsia" w:hAnsiTheme="minorEastAsia" w:eastAsiaTheme="minorEastAsia"/>
                <w:sz w:val="18"/>
                <w:szCs w:val="18"/>
                <w:lang w:val="zh-CN" w:bidi="zh-CN"/>
              </w:rPr>
            </w:pPr>
            <w:r>
              <w:rPr>
                <w:rFonts w:hint="eastAsia" w:cs="仿宋_GB2312" w:asciiTheme="minorEastAsia" w:hAnsiTheme="minorEastAsia" w:eastAsiaTheme="minorEastAsia"/>
                <w:sz w:val="18"/>
                <w:szCs w:val="18"/>
                <w:lang w:bidi="ar"/>
              </w:rPr>
              <w:t>8</w:t>
            </w:r>
          </w:p>
        </w:tc>
        <w:tc>
          <w:tcPr>
            <w:tcW w:w="513" w:type="pct"/>
            <w:vMerge w:val="continue"/>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cs="仿宋_GB2312" w:asciiTheme="minorEastAsia" w:hAnsiTheme="minorEastAsia" w:eastAsiaTheme="minorEastAsia"/>
                <w:sz w:val="18"/>
                <w:szCs w:val="18"/>
                <w:lang w:val="zh-CN" w:bidi="zh-CN"/>
              </w:rPr>
            </w:pPr>
          </w:p>
        </w:tc>
        <w:tc>
          <w:tcPr>
            <w:tcW w:w="682"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textAlignment w:val="center"/>
              <w:rPr>
                <w:rFonts w:cs="仿宋_GB2312" w:asciiTheme="minorEastAsia" w:hAnsiTheme="minorEastAsia" w:eastAsiaTheme="minorEastAsia"/>
                <w:sz w:val="18"/>
                <w:szCs w:val="18"/>
                <w:lang w:val="zh-CN" w:bidi="zh-CN"/>
              </w:rPr>
            </w:pPr>
            <w:r>
              <w:rPr>
                <w:rFonts w:hint="eastAsia" w:cs="仿宋_GB2312" w:asciiTheme="minorEastAsia" w:hAnsiTheme="minorEastAsia" w:eastAsiaTheme="minorEastAsia"/>
                <w:sz w:val="18"/>
                <w:szCs w:val="18"/>
                <w:lang w:bidi="ar"/>
              </w:rPr>
              <w:t>模板工程</w:t>
            </w:r>
          </w:p>
        </w:tc>
        <w:tc>
          <w:tcPr>
            <w:tcW w:w="599"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textAlignment w:val="center"/>
              <w:rPr>
                <w:rFonts w:cs="仿宋_GB2312" w:asciiTheme="minorEastAsia" w:hAnsiTheme="minorEastAsia" w:eastAsiaTheme="minorEastAsia"/>
                <w:sz w:val="18"/>
                <w:szCs w:val="18"/>
                <w:lang w:val="zh-CN" w:bidi="zh-CN"/>
              </w:rPr>
            </w:pPr>
            <w:r>
              <w:rPr>
                <w:rFonts w:hint="eastAsia" w:cs="仿宋_GB2312" w:asciiTheme="minorEastAsia" w:hAnsiTheme="minorEastAsia" w:eastAsiaTheme="minorEastAsia"/>
                <w:sz w:val="18"/>
                <w:szCs w:val="18"/>
                <w:lang w:bidi="ar"/>
              </w:rPr>
              <w:t>SJ-J008</w:t>
            </w:r>
          </w:p>
        </w:tc>
        <w:tc>
          <w:tcPr>
            <w:tcW w:w="2869"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left"/>
              <w:textAlignment w:val="center"/>
              <w:rPr>
                <w:rFonts w:cs="仿宋_GB2312" w:asciiTheme="minorEastAsia" w:hAnsiTheme="minorEastAsia" w:eastAsiaTheme="minorEastAsia"/>
                <w:sz w:val="18"/>
                <w:szCs w:val="18"/>
                <w:lang w:val="zh-CN" w:bidi="zh-CN"/>
              </w:rPr>
            </w:pPr>
            <w:r>
              <w:rPr>
                <w:rFonts w:hint="eastAsia" w:cs="仿宋_GB2312" w:asciiTheme="minorEastAsia" w:hAnsiTheme="minorEastAsia" w:eastAsiaTheme="minorEastAsia"/>
                <w:sz w:val="18"/>
                <w:szCs w:val="18"/>
                <w:lang w:bidi="ar"/>
              </w:rPr>
              <w:t>爬模、滑模和翻模施工脱模或混凝土承重模板拆除时，混凝土强度未达到规定值</w:t>
            </w:r>
          </w:p>
        </w:tc>
      </w:tr>
      <w:tr>
        <w:tblPrEx>
          <w:tblCellMar>
            <w:top w:w="0" w:type="dxa"/>
            <w:left w:w="108" w:type="dxa"/>
            <w:bottom w:w="0" w:type="dxa"/>
            <w:right w:w="108" w:type="dxa"/>
          </w:tblCellMar>
        </w:tblPrEx>
        <w:trPr>
          <w:trHeight w:val="20" w:hRule="atLeast"/>
        </w:trPr>
        <w:tc>
          <w:tcPr>
            <w:tcW w:w="338"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textAlignment w:val="center"/>
              <w:rPr>
                <w:rFonts w:cs="仿宋_GB2312" w:asciiTheme="minorEastAsia" w:hAnsiTheme="minorEastAsia" w:eastAsiaTheme="minorEastAsia"/>
                <w:sz w:val="18"/>
                <w:szCs w:val="18"/>
                <w:lang w:val="zh-CN" w:bidi="zh-CN"/>
              </w:rPr>
            </w:pPr>
            <w:r>
              <w:rPr>
                <w:rFonts w:hint="eastAsia" w:cs="仿宋_GB2312" w:asciiTheme="minorEastAsia" w:hAnsiTheme="minorEastAsia" w:eastAsiaTheme="minorEastAsia"/>
                <w:sz w:val="18"/>
                <w:szCs w:val="18"/>
                <w:lang w:bidi="ar"/>
              </w:rPr>
              <w:t>9</w:t>
            </w:r>
          </w:p>
        </w:tc>
        <w:tc>
          <w:tcPr>
            <w:tcW w:w="513" w:type="pct"/>
            <w:vMerge w:val="continue"/>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cs="仿宋_GB2312" w:asciiTheme="minorEastAsia" w:hAnsiTheme="minorEastAsia" w:eastAsiaTheme="minorEastAsia"/>
                <w:sz w:val="18"/>
                <w:szCs w:val="18"/>
                <w:lang w:val="zh-CN" w:bidi="zh-CN"/>
              </w:rPr>
            </w:pPr>
          </w:p>
        </w:tc>
        <w:tc>
          <w:tcPr>
            <w:tcW w:w="682"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textAlignment w:val="center"/>
              <w:rPr>
                <w:rFonts w:cs="仿宋_GB2312" w:asciiTheme="minorEastAsia" w:hAnsiTheme="minorEastAsia" w:eastAsiaTheme="minorEastAsia"/>
                <w:sz w:val="18"/>
                <w:szCs w:val="18"/>
                <w:lang w:val="zh-CN" w:bidi="zh-CN"/>
              </w:rPr>
            </w:pPr>
            <w:r>
              <w:rPr>
                <w:rFonts w:hint="eastAsia" w:cs="仿宋_GB2312" w:asciiTheme="minorEastAsia" w:hAnsiTheme="minorEastAsia" w:eastAsiaTheme="minorEastAsia"/>
                <w:sz w:val="18"/>
                <w:szCs w:val="18"/>
                <w:lang w:bidi="ar"/>
              </w:rPr>
              <w:t>危险物品</w:t>
            </w:r>
          </w:p>
        </w:tc>
        <w:tc>
          <w:tcPr>
            <w:tcW w:w="599"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textAlignment w:val="center"/>
              <w:rPr>
                <w:rFonts w:cs="仿宋_GB2312" w:asciiTheme="minorEastAsia" w:hAnsiTheme="minorEastAsia" w:eastAsiaTheme="minorEastAsia"/>
                <w:sz w:val="18"/>
                <w:szCs w:val="18"/>
                <w:lang w:val="zh-CN" w:bidi="zh-CN"/>
              </w:rPr>
            </w:pPr>
            <w:r>
              <w:rPr>
                <w:rFonts w:hint="eastAsia" w:cs="仿宋_GB2312" w:asciiTheme="minorEastAsia" w:hAnsiTheme="minorEastAsia" w:eastAsiaTheme="minorEastAsia"/>
                <w:sz w:val="18"/>
                <w:szCs w:val="18"/>
                <w:lang w:bidi="ar"/>
              </w:rPr>
              <w:t>SJ-J009</w:t>
            </w:r>
          </w:p>
        </w:tc>
        <w:tc>
          <w:tcPr>
            <w:tcW w:w="2869"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left"/>
              <w:textAlignment w:val="center"/>
              <w:rPr>
                <w:rFonts w:cs="仿宋_GB2312" w:asciiTheme="minorEastAsia" w:hAnsiTheme="minorEastAsia" w:eastAsiaTheme="minorEastAsia"/>
                <w:sz w:val="18"/>
                <w:szCs w:val="18"/>
                <w:lang w:val="zh-CN" w:bidi="zh-CN"/>
              </w:rPr>
            </w:pPr>
            <w:r>
              <w:rPr>
                <w:rFonts w:hint="eastAsia" w:cs="仿宋_GB2312" w:asciiTheme="minorEastAsia" w:hAnsiTheme="minorEastAsia" w:eastAsiaTheme="minorEastAsia"/>
                <w:sz w:val="18"/>
                <w:szCs w:val="18"/>
                <w:lang w:bidi="ar"/>
              </w:rPr>
              <w:t>运输、使用、保管和处置雷管炸药等危险物品不符合安全要求</w:t>
            </w:r>
          </w:p>
        </w:tc>
      </w:tr>
      <w:tr>
        <w:tblPrEx>
          <w:tblCellMar>
            <w:top w:w="0" w:type="dxa"/>
            <w:left w:w="108" w:type="dxa"/>
            <w:bottom w:w="0" w:type="dxa"/>
            <w:right w:w="108" w:type="dxa"/>
          </w:tblCellMar>
        </w:tblPrEx>
        <w:trPr>
          <w:trHeight w:val="20" w:hRule="atLeast"/>
        </w:trPr>
        <w:tc>
          <w:tcPr>
            <w:tcW w:w="338"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textAlignment w:val="center"/>
              <w:rPr>
                <w:rFonts w:cs="仿宋_GB2312" w:asciiTheme="minorEastAsia" w:hAnsiTheme="minorEastAsia" w:eastAsiaTheme="minorEastAsia"/>
                <w:sz w:val="18"/>
                <w:szCs w:val="18"/>
                <w:lang w:val="zh-CN" w:bidi="zh-CN"/>
              </w:rPr>
            </w:pPr>
            <w:r>
              <w:rPr>
                <w:rFonts w:hint="eastAsia" w:cs="仿宋_GB2312" w:asciiTheme="minorEastAsia" w:hAnsiTheme="minorEastAsia" w:eastAsiaTheme="minorEastAsia"/>
                <w:sz w:val="18"/>
                <w:szCs w:val="18"/>
                <w:lang w:bidi="ar"/>
              </w:rPr>
              <w:t>10</w:t>
            </w:r>
          </w:p>
        </w:tc>
        <w:tc>
          <w:tcPr>
            <w:tcW w:w="513" w:type="pct"/>
            <w:vMerge w:val="continue"/>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cs="仿宋_GB2312" w:asciiTheme="minorEastAsia" w:hAnsiTheme="minorEastAsia" w:eastAsiaTheme="minorEastAsia"/>
                <w:sz w:val="18"/>
                <w:szCs w:val="18"/>
                <w:lang w:val="zh-CN" w:bidi="zh-CN"/>
              </w:rPr>
            </w:pPr>
          </w:p>
        </w:tc>
        <w:tc>
          <w:tcPr>
            <w:tcW w:w="682"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textAlignment w:val="center"/>
              <w:rPr>
                <w:rFonts w:cs="仿宋_GB2312" w:asciiTheme="minorEastAsia" w:hAnsiTheme="minorEastAsia" w:eastAsiaTheme="minorEastAsia"/>
                <w:sz w:val="18"/>
                <w:szCs w:val="18"/>
                <w:lang w:bidi="ar"/>
              </w:rPr>
            </w:pPr>
            <w:r>
              <w:rPr>
                <w:rFonts w:hint="eastAsia" w:cs="仿宋_GB2312" w:asciiTheme="minorEastAsia" w:hAnsiTheme="minorEastAsia" w:eastAsiaTheme="minorEastAsia"/>
                <w:sz w:val="18"/>
                <w:szCs w:val="18"/>
                <w:lang w:bidi="ar"/>
              </w:rPr>
              <w:t>起重吊装</w:t>
            </w:r>
          </w:p>
          <w:p>
            <w:pPr>
              <w:adjustRightInd w:val="0"/>
              <w:snapToGrid w:val="0"/>
              <w:jc w:val="center"/>
              <w:textAlignment w:val="center"/>
              <w:rPr>
                <w:rFonts w:cs="仿宋_GB2312" w:asciiTheme="minorEastAsia" w:hAnsiTheme="minorEastAsia" w:eastAsiaTheme="minorEastAsia"/>
                <w:sz w:val="18"/>
                <w:szCs w:val="18"/>
                <w:lang w:val="zh-CN" w:bidi="zh-CN"/>
              </w:rPr>
            </w:pPr>
            <w:r>
              <w:rPr>
                <w:rFonts w:hint="eastAsia" w:cs="仿宋_GB2312" w:asciiTheme="minorEastAsia" w:hAnsiTheme="minorEastAsia" w:eastAsiaTheme="minorEastAsia"/>
                <w:sz w:val="18"/>
                <w:szCs w:val="18"/>
                <w:lang w:bidi="ar"/>
              </w:rPr>
              <w:t>与运输</w:t>
            </w:r>
          </w:p>
        </w:tc>
        <w:tc>
          <w:tcPr>
            <w:tcW w:w="599"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textAlignment w:val="center"/>
              <w:rPr>
                <w:rFonts w:cs="仿宋_GB2312" w:asciiTheme="minorEastAsia" w:hAnsiTheme="minorEastAsia" w:eastAsiaTheme="minorEastAsia"/>
                <w:sz w:val="18"/>
                <w:szCs w:val="18"/>
                <w:lang w:val="zh-CN" w:bidi="zh-CN"/>
              </w:rPr>
            </w:pPr>
            <w:r>
              <w:rPr>
                <w:rFonts w:hint="eastAsia" w:cs="仿宋_GB2312" w:asciiTheme="minorEastAsia" w:hAnsiTheme="minorEastAsia" w:eastAsiaTheme="minorEastAsia"/>
                <w:sz w:val="18"/>
                <w:szCs w:val="18"/>
                <w:lang w:bidi="ar"/>
              </w:rPr>
              <w:t>SJ-J010</w:t>
            </w:r>
          </w:p>
        </w:tc>
        <w:tc>
          <w:tcPr>
            <w:tcW w:w="2869"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left"/>
              <w:textAlignment w:val="center"/>
              <w:rPr>
                <w:rFonts w:cs="仿宋_GB2312" w:asciiTheme="minorEastAsia" w:hAnsiTheme="minorEastAsia" w:eastAsiaTheme="minorEastAsia"/>
                <w:sz w:val="18"/>
                <w:szCs w:val="18"/>
                <w:lang w:val="zh-CN" w:bidi="zh-CN"/>
              </w:rPr>
            </w:pPr>
            <w:r>
              <w:rPr>
                <w:rFonts w:hint="eastAsia" w:cs="仿宋_GB2312" w:asciiTheme="minorEastAsia" w:hAnsiTheme="minorEastAsia" w:eastAsiaTheme="minorEastAsia"/>
                <w:sz w:val="18"/>
                <w:szCs w:val="18"/>
                <w:lang w:bidi="ar"/>
              </w:rPr>
              <w:t>起重机械未按规定经有相应资质的检验检测机构检验合格后投入使用；起重机械未配备荷载、变幅等指示装置和荷载、力矩、高度、行程等限位、限制及连锁装置；同一作业区两台及以上起重设备运行未制定防碰撞方案，且存在碰撞可能；隧洞竖（斜）井或沉井、人工挖孔桩井载人（货）提升机械未设置安全装置或安全装置不灵敏</w:t>
            </w:r>
          </w:p>
        </w:tc>
      </w:tr>
      <w:tr>
        <w:tblPrEx>
          <w:tblCellMar>
            <w:top w:w="0" w:type="dxa"/>
            <w:left w:w="108" w:type="dxa"/>
            <w:bottom w:w="0" w:type="dxa"/>
            <w:right w:w="108" w:type="dxa"/>
          </w:tblCellMar>
        </w:tblPrEx>
        <w:trPr>
          <w:trHeight w:val="20" w:hRule="atLeast"/>
        </w:trPr>
        <w:tc>
          <w:tcPr>
            <w:tcW w:w="338"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textAlignment w:val="center"/>
              <w:rPr>
                <w:rFonts w:cs="仿宋_GB2312" w:asciiTheme="minorEastAsia" w:hAnsiTheme="minorEastAsia" w:eastAsiaTheme="minorEastAsia"/>
                <w:sz w:val="18"/>
                <w:szCs w:val="18"/>
                <w:lang w:val="zh-CN" w:bidi="zh-CN"/>
              </w:rPr>
            </w:pPr>
            <w:r>
              <w:rPr>
                <w:rFonts w:hint="eastAsia" w:cs="仿宋_GB2312" w:asciiTheme="minorEastAsia" w:hAnsiTheme="minorEastAsia" w:eastAsiaTheme="minorEastAsia"/>
                <w:sz w:val="18"/>
                <w:szCs w:val="18"/>
                <w:lang w:bidi="ar"/>
              </w:rPr>
              <w:t>11</w:t>
            </w:r>
          </w:p>
        </w:tc>
        <w:tc>
          <w:tcPr>
            <w:tcW w:w="513" w:type="pct"/>
            <w:vMerge w:val="continue"/>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cs="仿宋_GB2312" w:asciiTheme="minorEastAsia" w:hAnsiTheme="minorEastAsia" w:eastAsiaTheme="minorEastAsia"/>
                <w:sz w:val="18"/>
                <w:szCs w:val="18"/>
                <w:lang w:val="zh-CN" w:bidi="zh-CN"/>
              </w:rPr>
            </w:pPr>
          </w:p>
        </w:tc>
        <w:tc>
          <w:tcPr>
            <w:tcW w:w="682"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textAlignment w:val="center"/>
              <w:rPr>
                <w:rFonts w:cs="仿宋_GB2312" w:asciiTheme="minorEastAsia" w:hAnsiTheme="minorEastAsia" w:eastAsiaTheme="minorEastAsia"/>
                <w:sz w:val="18"/>
                <w:szCs w:val="18"/>
                <w:lang w:bidi="ar"/>
              </w:rPr>
            </w:pPr>
            <w:r>
              <w:rPr>
                <w:rFonts w:hint="eastAsia" w:cs="仿宋_GB2312" w:asciiTheme="minorEastAsia" w:hAnsiTheme="minorEastAsia" w:eastAsiaTheme="minorEastAsia"/>
                <w:sz w:val="18"/>
                <w:szCs w:val="18"/>
                <w:lang w:bidi="ar"/>
              </w:rPr>
              <w:t>起重吊装</w:t>
            </w:r>
          </w:p>
          <w:p>
            <w:pPr>
              <w:adjustRightInd w:val="0"/>
              <w:snapToGrid w:val="0"/>
              <w:jc w:val="center"/>
              <w:textAlignment w:val="center"/>
              <w:rPr>
                <w:rFonts w:cs="仿宋_GB2312" w:asciiTheme="minorEastAsia" w:hAnsiTheme="minorEastAsia" w:eastAsiaTheme="minorEastAsia"/>
                <w:sz w:val="18"/>
                <w:szCs w:val="18"/>
                <w:lang w:val="zh-CN" w:bidi="zh-CN"/>
              </w:rPr>
            </w:pPr>
            <w:r>
              <w:rPr>
                <w:rFonts w:hint="eastAsia" w:cs="仿宋_GB2312" w:asciiTheme="minorEastAsia" w:hAnsiTheme="minorEastAsia" w:eastAsiaTheme="minorEastAsia"/>
                <w:sz w:val="18"/>
                <w:szCs w:val="18"/>
                <w:lang w:bidi="ar"/>
              </w:rPr>
              <w:t>与运输</w:t>
            </w:r>
          </w:p>
        </w:tc>
        <w:tc>
          <w:tcPr>
            <w:tcW w:w="599"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textAlignment w:val="center"/>
              <w:rPr>
                <w:rFonts w:cs="仿宋_GB2312" w:asciiTheme="minorEastAsia" w:hAnsiTheme="minorEastAsia" w:eastAsiaTheme="minorEastAsia"/>
                <w:sz w:val="18"/>
                <w:szCs w:val="18"/>
                <w:lang w:val="zh-CN" w:bidi="zh-CN"/>
              </w:rPr>
            </w:pPr>
            <w:r>
              <w:rPr>
                <w:rFonts w:hint="eastAsia" w:cs="仿宋_GB2312" w:asciiTheme="minorEastAsia" w:hAnsiTheme="minorEastAsia" w:eastAsiaTheme="minorEastAsia"/>
                <w:sz w:val="18"/>
                <w:szCs w:val="18"/>
                <w:lang w:bidi="ar"/>
              </w:rPr>
              <w:t>SJ-J011</w:t>
            </w:r>
          </w:p>
        </w:tc>
        <w:tc>
          <w:tcPr>
            <w:tcW w:w="2869"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left"/>
              <w:textAlignment w:val="center"/>
              <w:rPr>
                <w:rFonts w:cs="仿宋_GB2312" w:asciiTheme="minorEastAsia" w:hAnsiTheme="minorEastAsia" w:eastAsiaTheme="minorEastAsia"/>
                <w:sz w:val="18"/>
                <w:szCs w:val="18"/>
                <w:lang w:val="zh-CN" w:bidi="zh-CN"/>
              </w:rPr>
            </w:pPr>
            <w:r>
              <w:rPr>
                <w:rFonts w:hint="eastAsia" w:cs="仿宋_GB2312" w:asciiTheme="minorEastAsia" w:hAnsiTheme="minorEastAsia" w:eastAsiaTheme="minorEastAsia"/>
                <w:sz w:val="18"/>
                <w:szCs w:val="18"/>
                <w:lang w:bidi="ar"/>
              </w:rPr>
              <w:t>大中型水利水电工程金属结构施工采用临时钢梁、龙门架、天锚起吊闸门、钢管前，未对其结构和吊点进行设计计算、履行审批审查验收手续，未进行相应的负荷试验；闸门、钢管上的吊耳板、焊缝未经检查检测和强度验算投入使用</w:t>
            </w:r>
          </w:p>
        </w:tc>
      </w:tr>
      <w:tr>
        <w:tblPrEx>
          <w:tblCellMar>
            <w:top w:w="0" w:type="dxa"/>
            <w:left w:w="108" w:type="dxa"/>
            <w:bottom w:w="0" w:type="dxa"/>
            <w:right w:w="108" w:type="dxa"/>
          </w:tblCellMar>
        </w:tblPrEx>
        <w:trPr>
          <w:trHeight w:val="20" w:hRule="atLeast"/>
        </w:trPr>
        <w:tc>
          <w:tcPr>
            <w:tcW w:w="338"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textAlignment w:val="center"/>
              <w:rPr>
                <w:rFonts w:cs="仿宋_GB2312" w:asciiTheme="minorEastAsia" w:hAnsiTheme="minorEastAsia" w:eastAsiaTheme="minorEastAsia"/>
                <w:sz w:val="18"/>
                <w:szCs w:val="18"/>
                <w:lang w:val="zh-CN" w:bidi="zh-CN"/>
              </w:rPr>
            </w:pPr>
            <w:r>
              <w:rPr>
                <w:rFonts w:hint="eastAsia" w:cs="仿宋_GB2312" w:asciiTheme="minorEastAsia" w:hAnsiTheme="minorEastAsia" w:eastAsiaTheme="minorEastAsia"/>
                <w:sz w:val="18"/>
                <w:szCs w:val="18"/>
                <w:lang w:bidi="ar"/>
              </w:rPr>
              <w:t>12</w:t>
            </w:r>
          </w:p>
        </w:tc>
        <w:tc>
          <w:tcPr>
            <w:tcW w:w="513" w:type="pct"/>
            <w:vMerge w:val="continue"/>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cs="仿宋_GB2312" w:asciiTheme="minorEastAsia" w:hAnsiTheme="minorEastAsia" w:eastAsiaTheme="minorEastAsia"/>
                <w:sz w:val="18"/>
                <w:szCs w:val="18"/>
                <w:lang w:val="zh-CN" w:bidi="zh-CN"/>
              </w:rPr>
            </w:pPr>
          </w:p>
        </w:tc>
        <w:tc>
          <w:tcPr>
            <w:tcW w:w="682"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textAlignment w:val="center"/>
              <w:rPr>
                <w:rFonts w:cs="仿宋_GB2312" w:asciiTheme="minorEastAsia" w:hAnsiTheme="minorEastAsia" w:eastAsiaTheme="minorEastAsia"/>
                <w:sz w:val="18"/>
                <w:szCs w:val="18"/>
                <w:lang w:val="zh-CN" w:bidi="zh-CN"/>
              </w:rPr>
            </w:pPr>
            <w:r>
              <w:rPr>
                <w:rFonts w:hint="eastAsia" w:cs="仿宋_GB2312" w:asciiTheme="minorEastAsia" w:hAnsiTheme="minorEastAsia" w:eastAsiaTheme="minorEastAsia"/>
                <w:sz w:val="18"/>
                <w:szCs w:val="18"/>
                <w:lang w:bidi="ar"/>
              </w:rPr>
              <w:t>高边坡、深基坑</w:t>
            </w:r>
          </w:p>
        </w:tc>
        <w:tc>
          <w:tcPr>
            <w:tcW w:w="599"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textAlignment w:val="center"/>
              <w:rPr>
                <w:rFonts w:cs="仿宋_GB2312" w:asciiTheme="minorEastAsia" w:hAnsiTheme="minorEastAsia" w:eastAsiaTheme="minorEastAsia"/>
                <w:sz w:val="18"/>
                <w:szCs w:val="18"/>
                <w:lang w:val="zh-CN" w:bidi="zh-CN"/>
              </w:rPr>
            </w:pPr>
            <w:r>
              <w:rPr>
                <w:rFonts w:hint="eastAsia" w:cs="仿宋_GB2312" w:asciiTheme="minorEastAsia" w:hAnsiTheme="minorEastAsia" w:eastAsiaTheme="minorEastAsia"/>
                <w:sz w:val="18"/>
                <w:szCs w:val="18"/>
                <w:lang w:bidi="ar"/>
              </w:rPr>
              <w:t>SJ-J012</w:t>
            </w:r>
          </w:p>
        </w:tc>
        <w:tc>
          <w:tcPr>
            <w:tcW w:w="2869"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left"/>
              <w:textAlignment w:val="center"/>
              <w:rPr>
                <w:rFonts w:cs="仿宋_GB2312" w:asciiTheme="minorEastAsia" w:hAnsiTheme="minorEastAsia" w:eastAsiaTheme="minorEastAsia"/>
                <w:sz w:val="18"/>
                <w:szCs w:val="18"/>
                <w:lang w:val="zh-CN" w:bidi="zh-CN"/>
              </w:rPr>
            </w:pPr>
            <w:r>
              <w:rPr>
                <w:rFonts w:hint="eastAsia" w:cs="仿宋_GB2312" w:asciiTheme="minorEastAsia" w:hAnsiTheme="minorEastAsia" w:eastAsiaTheme="minorEastAsia"/>
                <w:sz w:val="18"/>
                <w:szCs w:val="18"/>
                <w:lang w:bidi="ar"/>
              </w:rPr>
              <w:t>断层、裂隙、破碎带等不良地质构造的高边坡，未按设计要求及时采取支护措施或未经验收合格即进行下一梯段施工；深基坑土方开挖放坡坡度不满足其稳定性要求且未采取加固措施</w:t>
            </w:r>
          </w:p>
        </w:tc>
      </w:tr>
      <w:tr>
        <w:tblPrEx>
          <w:tblCellMar>
            <w:top w:w="0" w:type="dxa"/>
            <w:left w:w="108" w:type="dxa"/>
            <w:bottom w:w="0" w:type="dxa"/>
            <w:right w:w="108" w:type="dxa"/>
          </w:tblCellMar>
        </w:tblPrEx>
        <w:trPr>
          <w:trHeight w:val="20" w:hRule="atLeast"/>
        </w:trPr>
        <w:tc>
          <w:tcPr>
            <w:tcW w:w="338"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textAlignment w:val="center"/>
              <w:rPr>
                <w:rFonts w:cs="仿宋_GB2312" w:asciiTheme="minorEastAsia" w:hAnsiTheme="minorEastAsia" w:eastAsiaTheme="minorEastAsia"/>
                <w:sz w:val="18"/>
                <w:szCs w:val="18"/>
                <w:lang w:val="zh-CN" w:bidi="zh-CN"/>
              </w:rPr>
            </w:pPr>
            <w:r>
              <w:rPr>
                <w:rFonts w:hint="eastAsia" w:cs="仿宋_GB2312" w:asciiTheme="minorEastAsia" w:hAnsiTheme="minorEastAsia" w:eastAsiaTheme="minorEastAsia"/>
                <w:sz w:val="18"/>
                <w:szCs w:val="18"/>
                <w:lang w:bidi="ar"/>
              </w:rPr>
              <w:t>13</w:t>
            </w:r>
          </w:p>
        </w:tc>
        <w:tc>
          <w:tcPr>
            <w:tcW w:w="513" w:type="pct"/>
            <w:vMerge w:val="continue"/>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cs="仿宋_GB2312" w:asciiTheme="minorEastAsia" w:hAnsiTheme="minorEastAsia" w:eastAsiaTheme="minorEastAsia"/>
                <w:sz w:val="18"/>
                <w:szCs w:val="18"/>
                <w:lang w:val="zh-CN" w:bidi="zh-CN"/>
              </w:rPr>
            </w:pPr>
          </w:p>
        </w:tc>
        <w:tc>
          <w:tcPr>
            <w:tcW w:w="682"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textAlignment w:val="center"/>
              <w:rPr>
                <w:rFonts w:cs="仿宋_GB2312" w:asciiTheme="minorEastAsia" w:hAnsiTheme="minorEastAsia" w:eastAsiaTheme="minorEastAsia"/>
                <w:sz w:val="18"/>
                <w:szCs w:val="18"/>
                <w:lang w:val="zh-CN" w:bidi="zh-CN"/>
              </w:rPr>
            </w:pPr>
            <w:r>
              <w:rPr>
                <w:rFonts w:hint="eastAsia" w:cs="仿宋_GB2312" w:asciiTheme="minorEastAsia" w:hAnsiTheme="minorEastAsia" w:eastAsiaTheme="minorEastAsia"/>
                <w:sz w:val="18"/>
                <w:szCs w:val="18"/>
                <w:lang w:bidi="ar"/>
              </w:rPr>
              <w:t>隧洞施工</w:t>
            </w:r>
          </w:p>
        </w:tc>
        <w:tc>
          <w:tcPr>
            <w:tcW w:w="599"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textAlignment w:val="center"/>
              <w:rPr>
                <w:rFonts w:cs="仿宋_GB2312" w:asciiTheme="minorEastAsia" w:hAnsiTheme="minorEastAsia" w:eastAsiaTheme="minorEastAsia"/>
                <w:sz w:val="18"/>
                <w:szCs w:val="18"/>
                <w:lang w:val="zh-CN" w:bidi="zh-CN"/>
              </w:rPr>
            </w:pPr>
            <w:r>
              <w:rPr>
                <w:rFonts w:hint="eastAsia" w:cs="仿宋_GB2312" w:asciiTheme="minorEastAsia" w:hAnsiTheme="minorEastAsia" w:eastAsiaTheme="minorEastAsia"/>
                <w:sz w:val="18"/>
                <w:szCs w:val="18"/>
                <w:lang w:bidi="ar"/>
              </w:rPr>
              <w:t>SJ-J013</w:t>
            </w:r>
          </w:p>
        </w:tc>
        <w:tc>
          <w:tcPr>
            <w:tcW w:w="2869"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left"/>
              <w:textAlignment w:val="center"/>
              <w:rPr>
                <w:rFonts w:cs="仿宋_GB2312" w:asciiTheme="minorEastAsia" w:hAnsiTheme="minorEastAsia" w:eastAsiaTheme="minorEastAsia"/>
                <w:sz w:val="18"/>
                <w:szCs w:val="18"/>
                <w:lang w:val="zh-CN" w:bidi="zh-CN"/>
              </w:rPr>
            </w:pPr>
            <w:r>
              <w:rPr>
                <w:rFonts w:hint="eastAsia" w:cs="仿宋_GB2312" w:asciiTheme="minorEastAsia" w:hAnsiTheme="minorEastAsia" w:eastAsiaTheme="minorEastAsia"/>
                <w:sz w:val="18"/>
                <w:szCs w:val="18"/>
                <w:lang w:bidi="ar"/>
              </w:rPr>
              <w:t>遇到下列九种情况之一，未按有关规定及时进行地质预报并采取措施：1.隧洞出现围岩不断掉块，洞室内灰尘突然增多，喷层表面开裂，支撑变形或连续发出声响。2.围岩沿结构面或顺裂隙错位、裂缝加宽、位移速率加大。3.出现片帮、岩爆或严重鼓胀变形。4.出现涌水、涌水量增大、涌水突然变浑浊、涌沙。5.干燥岩质洞段突然出现地下水流，渗水点位置突然变化，破碎带水流活动加剧，土质洞段含水量明显增大或土的形状明显软化。6.洞温突然发生变化，洞内突然出现冷空气对流。7.钻孔时，钻进速度突然加快且钻孔回水消失，经常发生卡钻。8.岩石隧洞掘进机或盾构机发生卡机或掘进参数、掘进载荷、掘进速度发生急剧的异常变化。9.突然出现刺激性气味；断层及破碎带缓倾角节理密集带岩溶发育地下水丰富及膨胀岩体地段和高地应力区等不良地质条件洞段开挖未根据地质预报针对其性质和特殊的地质问题制定专项保证安全施工的工程措施；隧洞Ⅳ类、Ⅴ类围岩开挖后，支护未紧跟掌子面</w:t>
            </w:r>
          </w:p>
        </w:tc>
      </w:tr>
      <w:tr>
        <w:tblPrEx>
          <w:tblCellMar>
            <w:top w:w="0" w:type="dxa"/>
            <w:left w:w="108" w:type="dxa"/>
            <w:bottom w:w="0" w:type="dxa"/>
            <w:right w:w="108" w:type="dxa"/>
          </w:tblCellMar>
        </w:tblPrEx>
        <w:trPr>
          <w:trHeight w:val="20" w:hRule="atLeast"/>
        </w:trPr>
        <w:tc>
          <w:tcPr>
            <w:tcW w:w="338"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textAlignment w:val="center"/>
              <w:rPr>
                <w:rFonts w:cs="仿宋_GB2312" w:asciiTheme="minorEastAsia" w:hAnsiTheme="minorEastAsia" w:eastAsiaTheme="minorEastAsia"/>
                <w:sz w:val="18"/>
                <w:szCs w:val="18"/>
                <w:lang w:val="zh-CN" w:bidi="zh-CN"/>
              </w:rPr>
            </w:pPr>
            <w:r>
              <w:rPr>
                <w:rFonts w:hint="eastAsia" w:cs="仿宋_GB2312" w:asciiTheme="minorEastAsia" w:hAnsiTheme="minorEastAsia" w:eastAsiaTheme="minorEastAsia"/>
                <w:sz w:val="18"/>
                <w:szCs w:val="18"/>
                <w:lang w:bidi="ar"/>
              </w:rPr>
              <w:t>14</w:t>
            </w:r>
          </w:p>
        </w:tc>
        <w:tc>
          <w:tcPr>
            <w:tcW w:w="513" w:type="pct"/>
            <w:vMerge w:val="continue"/>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cs="仿宋_GB2312" w:asciiTheme="minorEastAsia" w:hAnsiTheme="minorEastAsia" w:eastAsiaTheme="minorEastAsia"/>
                <w:sz w:val="18"/>
                <w:szCs w:val="18"/>
                <w:lang w:val="zh-CN" w:bidi="zh-CN"/>
              </w:rPr>
            </w:pPr>
          </w:p>
        </w:tc>
        <w:tc>
          <w:tcPr>
            <w:tcW w:w="682"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textAlignment w:val="center"/>
              <w:rPr>
                <w:rFonts w:cs="仿宋_GB2312" w:asciiTheme="minorEastAsia" w:hAnsiTheme="minorEastAsia" w:eastAsiaTheme="minorEastAsia"/>
                <w:sz w:val="18"/>
                <w:szCs w:val="18"/>
                <w:lang w:val="zh-CN" w:bidi="zh-CN"/>
              </w:rPr>
            </w:pPr>
            <w:r>
              <w:rPr>
                <w:rFonts w:hint="eastAsia" w:cs="仿宋_GB2312" w:asciiTheme="minorEastAsia" w:hAnsiTheme="minorEastAsia" w:eastAsiaTheme="minorEastAsia"/>
                <w:sz w:val="18"/>
                <w:szCs w:val="18"/>
                <w:lang w:bidi="ar"/>
              </w:rPr>
              <w:t>隧洞施工</w:t>
            </w:r>
          </w:p>
        </w:tc>
        <w:tc>
          <w:tcPr>
            <w:tcW w:w="599"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textAlignment w:val="center"/>
              <w:rPr>
                <w:rFonts w:cs="仿宋_GB2312" w:asciiTheme="minorEastAsia" w:hAnsiTheme="minorEastAsia" w:eastAsiaTheme="minorEastAsia"/>
                <w:sz w:val="18"/>
                <w:szCs w:val="18"/>
                <w:lang w:val="zh-CN" w:bidi="zh-CN"/>
              </w:rPr>
            </w:pPr>
            <w:r>
              <w:rPr>
                <w:rFonts w:hint="eastAsia" w:cs="仿宋_GB2312" w:asciiTheme="minorEastAsia" w:hAnsiTheme="minorEastAsia" w:eastAsiaTheme="minorEastAsia"/>
                <w:sz w:val="18"/>
                <w:szCs w:val="18"/>
                <w:lang w:bidi="ar"/>
              </w:rPr>
              <w:t>SJ-J014</w:t>
            </w:r>
          </w:p>
        </w:tc>
        <w:tc>
          <w:tcPr>
            <w:tcW w:w="2869"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left"/>
              <w:textAlignment w:val="center"/>
              <w:rPr>
                <w:rFonts w:cs="仿宋_GB2312" w:asciiTheme="minorEastAsia" w:hAnsiTheme="minorEastAsia" w:eastAsiaTheme="minorEastAsia"/>
                <w:sz w:val="18"/>
                <w:szCs w:val="18"/>
                <w:lang w:val="zh-CN" w:bidi="zh-CN"/>
              </w:rPr>
            </w:pPr>
            <w:r>
              <w:rPr>
                <w:rFonts w:hint="eastAsia" w:cs="仿宋_GB2312" w:asciiTheme="minorEastAsia" w:hAnsiTheme="minorEastAsia" w:eastAsiaTheme="minorEastAsia"/>
                <w:sz w:val="18"/>
                <w:szCs w:val="18"/>
                <w:lang w:bidi="ar"/>
              </w:rPr>
              <w:t>洞室施工过程中，未对洞内有毒有害气体进行检测、监测；有毒有害气体达到或超过规定标准时未采取有效措施</w:t>
            </w:r>
          </w:p>
        </w:tc>
      </w:tr>
      <w:tr>
        <w:tblPrEx>
          <w:tblCellMar>
            <w:top w:w="0" w:type="dxa"/>
            <w:left w:w="108" w:type="dxa"/>
            <w:bottom w:w="0" w:type="dxa"/>
            <w:right w:w="108" w:type="dxa"/>
          </w:tblCellMar>
        </w:tblPrEx>
        <w:trPr>
          <w:trHeight w:val="20" w:hRule="atLeast"/>
        </w:trPr>
        <w:tc>
          <w:tcPr>
            <w:tcW w:w="338"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textAlignment w:val="center"/>
              <w:rPr>
                <w:rFonts w:cs="仿宋_GB2312" w:asciiTheme="minorEastAsia" w:hAnsiTheme="minorEastAsia" w:eastAsiaTheme="minorEastAsia"/>
                <w:sz w:val="18"/>
                <w:szCs w:val="18"/>
                <w:lang w:val="zh-CN" w:bidi="zh-CN"/>
              </w:rPr>
            </w:pPr>
            <w:r>
              <w:rPr>
                <w:rFonts w:hint="eastAsia" w:cs="仿宋_GB2312" w:asciiTheme="minorEastAsia" w:hAnsiTheme="minorEastAsia" w:eastAsiaTheme="minorEastAsia"/>
                <w:sz w:val="18"/>
                <w:szCs w:val="18"/>
                <w:lang w:bidi="ar"/>
              </w:rPr>
              <w:t>15</w:t>
            </w:r>
          </w:p>
        </w:tc>
        <w:tc>
          <w:tcPr>
            <w:tcW w:w="513" w:type="pct"/>
            <w:vMerge w:val="continue"/>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cs="仿宋_GB2312" w:asciiTheme="minorEastAsia" w:hAnsiTheme="minorEastAsia" w:eastAsiaTheme="minorEastAsia"/>
                <w:sz w:val="18"/>
                <w:szCs w:val="18"/>
                <w:lang w:val="zh-CN" w:bidi="zh-CN"/>
              </w:rPr>
            </w:pPr>
          </w:p>
        </w:tc>
        <w:tc>
          <w:tcPr>
            <w:tcW w:w="682"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textAlignment w:val="center"/>
              <w:rPr>
                <w:rFonts w:cs="仿宋_GB2312" w:asciiTheme="minorEastAsia" w:hAnsiTheme="minorEastAsia" w:eastAsiaTheme="minorEastAsia"/>
                <w:sz w:val="18"/>
                <w:szCs w:val="18"/>
                <w:lang w:val="zh-CN" w:bidi="zh-CN"/>
              </w:rPr>
            </w:pPr>
            <w:r>
              <w:rPr>
                <w:rFonts w:hint="eastAsia" w:cs="仿宋_GB2312" w:asciiTheme="minorEastAsia" w:hAnsiTheme="minorEastAsia" w:eastAsiaTheme="minorEastAsia"/>
                <w:sz w:val="18"/>
                <w:szCs w:val="18"/>
                <w:lang w:bidi="ar"/>
              </w:rPr>
              <w:t>设备安装</w:t>
            </w:r>
          </w:p>
        </w:tc>
        <w:tc>
          <w:tcPr>
            <w:tcW w:w="599"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textAlignment w:val="center"/>
              <w:rPr>
                <w:rFonts w:cs="仿宋_GB2312" w:asciiTheme="minorEastAsia" w:hAnsiTheme="minorEastAsia" w:eastAsiaTheme="minorEastAsia"/>
                <w:sz w:val="18"/>
                <w:szCs w:val="18"/>
                <w:lang w:val="zh-CN" w:bidi="zh-CN"/>
              </w:rPr>
            </w:pPr>
            <w:r>
              <w:rPr>
                <w:rFonts w:hint="eastAsia" w:cs="仿宋_GB2312" w:asciiTheme="minorEastAsia" w:hAnsiTheme="minorEastAsia" w:eastAsiaTheme="minorEastAsia"/>
                <w:sz w:val="18"/>
                <w:szCs w:val="18"/>
                <w:lang w:bidi="ar"/>
              </w:rPr>
              <w:t>SJ-J015</w:t>
            </w:r>
          </w:p>
        </w:tc>
        <w:tc>
          <w:tcPr>
            <w:tcW w:w="2869"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left"/>
              <w:textAlignment w:val="center"/>
              <w:rPr>
                <w:rFonts w:cs="仿宋_GB2312" w:asciiTheme="minorEastAsia" w:hAnsiTheme="minorEastAsia" w:eastAsiaTheme="minorEastAsia"/>
                <w:sz w:val="18"/>
                <w:szCs w:val="18"/>
                <w:lang w:val="zh-CN" w:bidi="zh-CN"/>
              </w:rPr>
            </w:pPr>
            <w:r>
              <w:rPr>
                <w:rFonts w:hint="eastAsia" w:cs="仿宋_GB2312" w:asciiTheme="minorEastAsia" w:hAnsiTheme="minorEastAsia" w:eastAsiaTheme="minorEastAsia"/>
                <w:sz w:val="18"/>
                <w:szCs w:val="18"/>
                <w:lang w:bidi="ar"/>
              </w:rPr>
              <w:t>蜗壳、机坑里衬安装时，搭设的施工平台（组装）未经检查验收即投入使用；在机坑中进行电焊、气割作业（如水机室、定子组装、上下机架组装）时，未设置隔离防护平台或铺设防火布，现场未配备消防器材</w:t>
            </w:r>
          </w:p>
        </w:tc>
      </w:tr>
      <w:tr>
        <w:tblPrEx>
          <w:tblCellMar>
            <w:top w:w="0" w:type="dxa"/>
            <w:left w:w="108" w:type="dxa"/>
            <w:bottom w:w="0" w:type="dxa"/>
            <w:right w:w="108" w:type="dxa"/>
          </w:tblCellMar>
        </w:tblPrEx>
        <w:trPr>
          <w:trHeight w:val="20" w:hRule="atLeast"/>
        </w:trPr>
        <w:tc>
          <w:tcPr>
            <w:tcW w:w="338"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textAlignment w:val="center"/>
              <w:rPr>
                <w:rFonts w:cs="仿宋_GB2312" w:asciiTheme="minorEastAsia" w:hAnsiTheme="minorEastAsia" w:eastAsiaTheme="minorEastAsia"/>
                <w:sz w:val="18"/>
                <w:szCs w:val="18"/>
                <w:lang w:val="zh-CN" w:bidi="zh-CN"/>
              </w:rPr>
            </w:pPr>
            <w:r>
              <w:rPr>
                <w:rFonts w:hint="eastAsia" w:cs="仿宋_GB2312" w:asciiTheme="minorEastAsia" w:hAnsiTheme="minorEastAsia" w:eastAsiaTheme="minorEastAsia"/>
                <w:sz w:val="18"/>
                <w:szCs w:val="18"/>
                <w:lang w:bidi="ar"/>
              </w:rPr>
              <w:t>16</w:t>
            </w:r>
          </w:p>
        </w:tc>
        <w:tc>
          <w:tcPr>
            <w:tcW w:w="513" w:type="pct"/>
            <w:vMerge w:val="continue"/>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cs="仿宋_GB2312" w:asciiTheme="minorEastAsia" w:hAnsiTheme="minorEastAsia" w:eastAsiaTheme="minorEastAsia"/>
                <w:sz w:val="18"/>
                <w:szCs w:val="18"/>
                <w:lang w:val="zh-CN" w:bidi="zh-CN"/>
              </w:rPr>
            </w:pPr>
          </w:p>
        </w:tc>
        <w:tc>
          <w:tcPr>
            <w:tcW w:w="682"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textAlignment w:val="center"/>
              <w:rPr>
                <w:rFonts w:cs="仿宋_GB2312" w:asciiTheme="minorEastAsia" w:hAnsiTheme="minorEastAsia" w:eastAsiaTheme="minorEastAsia"/>
                <w:sz w:val="18"/>
                <w:szCs w:val="18"/>
                <w:lang w:val="zh-CN" w:bidi="zh-CN"/>
              </w:rPr>
            </w:pPr>
            <w:r>
              <w:rPr>
                <w:rFonts w:hint="eastAsia" w:cs="仿宋_GB2312" w:asciiTheme="minorEastAsia" w:hAnsiTheme="minorEastAsia" w:eastAsiaTheme="minorEastAsia"/>
                <w:sz w:val="18"/>
                <w:szCs w:val="18"/>
                <w:lang w:bidi="ar"/>
              </w:rPr>
              <w:t>水上作业</w:t>
            </w:r>
          </w:p>
        </w:tc>
        <w:tc>
          <w:tcPr>
            <w:tcW w:w="599"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textAlignment w:val="center"/>
              <w:rPr>
                <w:rFonts w:cs="仿宋_GB2312" w:asciiTheme="minorEastAsia" w:hAnsiTheme="minorEastAsia" w:eastAsiaTheme="minorEastAsia"/>
                <w:sz w:val="18"/>
                <w:szCs w:val="18"/>
                <w:lang w:val="zh-CN" w:bidi="zh-CN"/>
              </w:rPr>
            </w:pPr>
            <w:r>
              <w:rPr>
                <w:rFonts w:hint="eastAsia" w:cs="仿宋_GB2312" w:asciiTheme="minorEastAsia" w:hAnsiTheme="minorEastAsia" w:eastAsiaTheme="minorEastAsia"/>
                <w:sz w:val="18"/>
                <w:szCs w:val="18"/>
                <w:lang w:bidi="ar"/>
              </w:rPr>
              <w:t>SJ-J016</w:t>
            </w:r>
          </w:p>
        </w:tc>
        <w:tc>
          <w:tcPr>
            <w:tcW w:w="2869"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left"/>
              <w:textAlignment w:val="center"/>
              <w:rPr>
                <w:rFonts w:cs="仿宋_GB2312" w:asciiTheme="minorEastAsia" w:hAnsiTheme="minorEastAsia" w:eastAsiaTheme="minorEastAsia"/>
                <w:sz w:val="18"/>
                <w:szCs w:val="18"/>
                <w:lang w:val="zh-CN" w:bidi="zh-CN"/>
              </w:rPr>
            </w:pPr>
            <w:r>
              <w:rPr>
                <w:rFonts w:hint="eastAsia" w:cs="仿宋_GB2312" w:asciiTheme="minorEastAsia" w:hAnsiTheme="minorEastAsia" w:eastAsiaTheme="minorEastAsia"/>
                <w:sz w:val="18"/>
                <w:szCs w:val="18"/>
                <w:lang w:bidi="ar"/>
              </w:rPr>
              <w:t>未按规定设置必要的安全作业区或警戒区；水上作业施工船舶施工安全工作条件不符合船舶使用说明书和设备状况，未停止施工；挖泥船的实际工作条件大于SL 17—2014表5.7.9中所列数值，未停止施工</w:t>
            </w:r>
          </w:p>
        </w:tc>
      </w:tr>
      <w:tr>
        <w:tblPrEx>
          <w:tblCellMar>
            <w:top w:w="0" w:type="dxa"/>
            <w:left w:w="108" w:type="dxa"/>
            <w:bottom w:w="0" w:type="dxa"/>
            <w:right w:w="108" w:type="dxa"/>
          </w:tblCellMar>
        </w:tblPrEx>
        <w:trPr>
          <w:trHeight w:val="20" w:hRule="atLeast"/>
        </w:trPr>
        <w:tc>
          <w:tcPr>
            <w:tcW w:w="338"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textAlignment w:val="center"/>
              <w:rPr>
                <w:rFonts w:cs="仿宋_GB2312" w:asciiTheme="minorEastAsia" w:hAnsiTheme="minorEastAsia" w:eastAsiaTheme="minorEastAsia"/>
                <w:sz w:val="18"/>
                <w:szCs w:val="18"/>
                <w:lang w:val="zh-CN" w:bidi="zh-CN"/>
              </w:rPr>
            </w:pPr>
            <w:r>
              <w:rPr>
                <w:rFonts w:hint="eastAsia" w:cs="仿宋_GB2312" w:asciiTheme="minorEastAsia" w:hAnsiTheme="minorEastAsia" w:eastAsiaTheme="minorEastAsia"/>
                <w:sz w:val="18"/>
                <w:szCs w:val="18"/>
                <w:lang w:bidi="ar"/>
              </w:rPr>
              <w:t>17</w:t>
            </w:r>
          </w:p>
        </w:tc>
        <w:tc>
          <w:tcPr>
            <w:tcW w:w="513" w:type="pct"/>
            <w:vMerge w:val="restar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textAlignment w:val="center"/>
              <w:rPr>
                <w:rFonts w:cs="仿宋_GB2312" w:asciiTheme="minorEastAsia" w:hAnsiTheme="minorEastAsia" w:eastAsiaTheme="minorEastAsia"/>
                <w:sz w:val="18"/>
                <w:szCs w:val="18"/>
                <w:lang w:val="zh-CN" w:bidi="zh-CN"/>
              </w:rPr>
            </w:pPr>
            <w:r>
              <w:rPr>
                <w:rFonts w:hint="eastAsia" w:cs="仿宋_GB2312" w:asciiTheme="minorEastAsia" w:hAnsiTheme="minorEastAsia" w:eastAsiaTheme="minorEastAsia"/>
                <w:sz w:val="18"/>
                <w:szCs w:val="18"/>
                <w:lang w:bidi="ar"/>
              </w:rPr>
              <w:t>其他</w:t>
            </w:r>
          </w:p>
        </w:tc>
        <w:tc>
          <w:tcPr>
            <w:tcW w:w="682"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textAlignment w:val="center"/>
              <w:rPr>
                <w:rFonts w:cs="仿宋_GB2312" w:asciiTheme="minorEastAsia" w:hAnsiTheme="minorEastAsia" w:eastAsiaTheme="minorEastAsia"/>
                <w:sz w:val="18"/>
                <w:szCs w:val="18"/>
                <w:lang w:val="zh-CN" w:bidi="zh-CN"/>
              </w:rPr>
            </w:pPr>
            <w:r>
              <w:rPr>
                <w:rFonts w:hint="eastAsia" w:cs="仿宋_GB2312" w:asciiTheme="minorEastAsia" w:hAnsiTheme="minorEastAsia" w:eastAsiaTheme="minorEastAsia"/>
                <w:sz w:val="18"/>
                <w:szCs w:val="18"/>
                <w:lang w:bidi="ar"/>
              </w:rPr>
              <w:t>防洪度汛</w:t>
            </w:r>
          </w:p>
        </w:tc>
        <w:tc>
          <w:tcPr>
            <w:tcW w:w="599"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textAlignment w:val="center"/>
              <w:rPr>
                <w:rFonts w:cs="仿宋_GB2312" w:asciiTheme="minorEastAsia" w:hAnsiTheme="minorEastAsia" w:eastAsiaTheme="minorEastAsia"/>
                <w:sz w:val="18"/>
                <w:szCs w:val="18"/>
                <w:lang w:val="zh-CN" w:bidi="zh-CN"/>
              </w:rPr>
            </w:pPr>
            <w:r>
              <w:rPr>
                <w:rFonts w:hint="eastAsia" w:cs="仿宋_GB2312" w:asciiTheme="minorEastAsia" w:hAnsiTheme="minorEastAsia" w:eastAsiaTheme="minorEastAsia"/>
                <w:sz w:val="18"/>
                <w:szCs w:val="18"/>
                <w:lang w:bidi="ar"/>
              </w:rPr>
              <w:t>SJ-J017</w:t>
            </w:r>
          </w:p>
        </w:tc>
        <w:tc>
          <w:tcPr>
            <w:tcW w:w="2869"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left"/>
              <w:textAlignment w:val="center"/>
              <w:rPr>
                <w:rFonts w:cs="仿宋_GB2312" w:asciiTheme="minorEastAsia" w:hAnsiTheme="minorEastAsia" w:eastAsiaTheme="minorEastAsia"/>
                <w:sz w:val="18"/>
                <w:szCs w:val="18"/>
                <w:lang w:val="zh-CN" w:bidi="zh-CN"/>
              </w:rPr>
            </w:pPr>
            <w:r>
              <w:rPr>
                <w:rFonts w:hint="eastAsia" w:cs="仿宋_GB2312" w:asciiTheme="minorEastAsia" w:hAnsiTheme="minorEastAsia" w:eastAsiaTheme="minorEastAsia"/>
                <w:sz w:val="18"/>
                <w:szCs w:val="18"/>
                <w:lang w:bidi="ar"/>
              </w:rPr>
              <w:t>有度汛要求的建设项目未按规定制定度汛方案和超标准洪水应急预案；工程进度不满足度汛要求时未制定和采取相应措施；位于自然地面或河水位以下的隧洞进出口未按施工期防洪标准设置围堰或预留岩坎</w:t>
            </w:r>
          </w:p>
        </w:tc>
      </w:tr>
      <w:tr>
        <w:tblPrEx>
          <w:tblCellMar>
            <w:top w:w="0" w:type="dxa"/>
            <w:left w:w="108" w:type="dxa"/>
            <w:bottom w:w="0" w:type="dxa"/>
            <w:right w:w="108" w:type="dxa"/>
          </w:tblCellMar>
        </w:tblPrEx>
        <w:trPr>
          <w:trHeight w:val="20" w:hRule="atLeast"/>
        </w:trPr>
        <w:tc>
          <w:tcPr>
            <w:tcW w:w="338"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textAlignment w:val="center"/>
              <w:rPr>
                <w:rFonts w:cs="仿宋_GB2312" w:asciiTheme="minorEastAsia" w:hAnsiTheme="minorEastAsia" w:eastAsiaTheme="minorEastAsia"/>
                <w:sz w:val="18"/>
                <w:szCs w:val="18"/>
                <w:lang w:val="zh-CN" w:bidi="zh-CN"/>
              </w:rPr>
            </w:pPr>
            <w:r>
              <w:rPr>
                <w:rFonts w:hint="eastAsia" w:cs="仿宋_GB2312" w:asciiTheme="minorEastAsia" w:hAnsiTheme="minorEastAsia" w:eastAsiaTheme="minorEastAsia"/>
                <w:sz w:val="18"/>
                <w:szCs w:val="18"/>
                <w:lang w:bidi="ar"/>
              </w:rPr>
              <w:t>18</w:t>
            </w:r>
          </w:p>
        </w:tc>
        <w:tc>
          <w:tcPr>
            <w:tcW w:w="513" w:type="pct"/>
            <w:vMerge w:val="continue"/>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cs="仿宋_GB2312" w:asciiTheme="minorEastAsia" w:hAnsiTheme="minorEastAsia" w:eastAsiaTheme="minorEastAsia"/>
                <w:sz w:val="18"/>
                <w:szCs w:val="18"/>
                <w:lang w:val="zh-CN" w:bidi="zh-CN"/>
              </w:rPr>
            </w:pPr>
          </w:p>
        </w:tc>
        <w:tc>
          <w:tcPr>
            <w:tcW w:w="682"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textAlignment w:val="center"/>
              <w:rPr>
                <w:rFonts w:cs="仿宋_GB2312" w:asciiTheme="minorEastAsia" w:hAnsiTheme="minorEastAsia" w:eastAsiaTheme="minorEastAsia"/>
                <w:sz w:val="18"/>
                <w:szCs w:val="18"/>
                <w:lang w:val="zh-CN" w:bidi="zh-CN"/>
              </w:rPr>
            </w:pPr>
            <w:r>
              <w:rPr>
                <w:rFonts w:hint="eastAsia" w:cs="仿宋_GB2312" w:asciiTheme="minorEastAsia" w:hAnsiTheme="minorEastAsia" w:eastAsiaTheme="minorEastAsia"/>
                <w:sz w:val="18"/>
                <w:szCs w:val="18"/>
                <w:lang w:bidi="ar"/>
              </w:rPr>
              <w:t>液氨制冷</w:t>
            </w:r>
          </w:p>
        </w:tc>
        <w:tc>
          <w:tcPr>
            <w:tcW w:w="599"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textAlignment w:val="center"/>
              <w:rPr>
                <w:rFonts w:cs="仿宋_GB2312" w:asciiTheme="minorEastAsia" w:hAnsiTheme="minorEastAsia" w:eastAsiaTheme="minorEastAsia"/>
                <w:sz w:val="18"/>
                <w:szCs w:val="18"/>
                <w:lang w:val="zh-CN" w:bidi="zh-CN"/>
              </w:rPr>
            </w:pPr>
            <w:r>
              <w:rPr>
                <w:rFonts w:hint="eastAsia" w:cs="仿宋_GB2312" w:asciiTheme="minorEastAsia" w:hAnsiTheme="minorEastAsia" w:eastAsiaTheme="minorEastAsia"/>
                <w:sz w:val="18"/>
                <w:szCs w:val="18"/>
                <w:lang w:bidi="ar"/>
              </w:rPr>
              <w:t>SJ-J018</w:t>
            </w:r>
          </w:p>
        </w:tc>
        <w:tc>
          <w:tcPr>
            <w:tcW w:w="2869"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left"/>
              <w:textAlignment w:val="center"/>
              <w:rPr>
                <w:rFonts w:cs="仿宋_GB2312" w:asciiTheme="minorEastAsia" w:hAnsiTheme="minorEastAsia" w:eastAsiaTheme="minorEastAsia"/>
                <w:sz w:val="18"/>
                <w:szCs w:val="18"/>
                <w:lang w:val="zh-CN" w:bidi="zh-CN"/>
              </w:rPr>
            </w:pPr>
            <w:r>
              <w:rPr>
                <w:rFonts w:hint="eastAsia" w:cs="仿宋_GB2312" w:asciiTheme="minorEastAsia" w:hAnsiTheme="minorEastAsia" w:eastAsiaTheme="minorEastAsia"/>
                <w:sz w:val="18"/>
                <w:szCs w:val="18"/>
                <w:lang w:bidi="ar"/>
              </w:rPr>
              <w:t>氨压机车间控制盘柜与氨压机未分开隔离布置；未设置、配备固定式氨气报警仪和便携式氨气检测仪；未设置应急疏散通道并明确标识</w:t>
            </w:r>
          </w:p>
        </w:tc>
      </w:tr>
      <w:tr>
        <w:tblPrEx>
          <w:tblCellMar>
            <w:top w:w="0" w:type="dxa"/>
            <w:left w:w="108" w:type="dxa"/>
            <w:bottom w:w="0" w:type="dxa"/>
            <w:right w:w="108" w:type="dxa"/>
          </w:tblCellMar>
        </w:tblPrEx>
        <w:trPr>
          <w:trHeight w:val="20" w:hRule="atLeast"/>
        </w:trPr>
        <w:tc>
          <w:tcPr>
            <w:tcW w:w="338"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textAlignment w:val="center"/>
              <w:rPr>
                <w:rFonts w:cs="仿宋_GB2312" w:asciiTheme="minorEastAsia" w:hAnsiTheme="minorEastAsia" w:eastAsiaTheme="minorEastAsia"/>
                <w:sz w:val="18"/>
                <w:szCs w:val="18"/>
                <w:lang w:val="zh-CN" w:bidi="zh-CN"/>
              </w:rPr>
            </w:pPr>
            <w:r>
              <w:rPr>
                <w:rFonts w:hint="eastAsia" w:cs="仿宋_GB2312" w:asciiTheme="minorEastAsia" w:hAnsiTheme="minorEastAsia" w:eastAsiaTheme="minorEastAsia"/>
                <w:sz w:val="18"/>
                <w:szCs w:val="18"/>
                <w:lang w:bidi="ar"/>
              </w:rPr>
              <w:t>19</w:t>
            </w:r>
          </w:p>
        </w:tc>
        <w:tc>
          <w:tcPr>
            <w:tcW w:w="513" w:type="pct"/>
            <w:vMerge w:val="continue"/>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cs="仿宋_GB2312" w:asciiTheme="minorEastAsia" w:hAnsiTheme="minorEastAsia" w:eastAsiaTheme="minorEastAsia"/>
                <w:sz w:val="18"/>
                <w:szCs w:val="18"/>
                <w:lang w:val="zh-CN" w:bidi="zh-CN"/>
              </w:rPr>
            </w:pPr>
          </w:p>
        </w:tc>
        <w:tc>
          <w:tcPr>
            <w:tcW w:w="682"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textAlignment w:val="center"/>
              <w:rPr>
                <w:rFonts w:cs="仿宋_GB2312" w:asciiTheme="minorEastAsia" w:hAnsiTheme="minorEastAsia" w:eastAsiaTheme="minorEastAsia"/>
                <w:sz w:val="18"/>
                <w:szCs w:val="18"/>
                <w:lang w:val="zh-CN" w:bidi="zh-CN"/>
              </w:rPr>
            </w:pPr>
            <w:r>
              <w:rPr>
                <w:rFonts w:hint="eastAsia" w:cs="仿宋_GB2312" w:asciiTheme="minorEastAsia" w:hAnsiTheme="minorEastAsia" w:eastAsiaTheme="minorEastAsia"/>
                <w:sz w:val="18"/>
                <w:szCs w:val="18"/>
                <w:lang w:bidi="ar"/>
              </w:rPr>
              <w:t>安全防护</w:t>
            </w:r>
          </w:p>
        </w:tc>
        <w:tc>
          <w:tcPr>
            <w:tcW w:w="599"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textAlignment w:val="center"/>
              <w:rPr>
                <w:rFonts w:cs="仿宋_GB2312" w:asciiTheme="minorEastAsia" w:hAnsiTheme="minorEastAsia" w:eastAsiaTheme="minorEastAsia"/>
                <w:sz w:val="18"/>
                <w:szCs w:val="18"/>
                <w:lang w:val="zh-CN" w:bidi="zh-CN"/>
              </w:rPr>
            </w:pPr>
            <w:r>
              <w:rPr>
                <w:rFonts w:hint="eastAsia" w:cs="仿宋_GB2312" w:asciiTheme="minorEastAsia" w:hAnsiTheme="minorEastAsia" w:eastAsiaTheme="minorEastAsia"/>
                <w:sz w:val="18"/>
                <w:szCs w:val="18"/>
                <w:lang w:bidi="ar"/>
              </w:rPr>
              <w:t>SJ-J019</w:t>
            </w:r>
          </w:p>
        </w:tc>
        <w:tc>
          <w:tcPr>
            <w:tcW w:w="2869"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left"/>
              <w:textAlignment w:val="center"/>
              <w:rPr>
                <w:rFonts w:cs="仿宋_GB2312" w:asciiTheme="minorEastAsia" w:hAnsiTheme="minorEastAsia" w:eastAsiaTheme="minorEastAsia"/>
                <w:sz w:val="18"/>
                <w:szCs w:val="18"/>
                <w:lang w:val="zh-CN" w:bidi="zh-CN"/>
              </w:rPr>
            </w:pPr>
            <w:r>
              <w:rPr>
                <w:rFonts w:hint="eastAsia" w:cs="仿宋_GB2312" w:asciiTheme="minorEastAsia" w:hAnsiTheme="minorEastAsia" w:eastAsiaTheme="minorEastAsia"/>
                <w:sz w:val="18"/>
                <w:szCs w:val="18"/>
                <w:lang w:bidi="ar"/>
              </w:rPr>
              <w:t>排架、井架、施工电梯、大坝廊道、隧洞等出入口和上部有施工作业的通道，未按规定设置防护棚</w:t>
            </w:r>
          </w:p>
        </w:tc>
      </w:tr>
      <w:tr>
        <w:tblPrEx>
          <w:tblCellMar>
            <w:top w:w="0" w:type="dxa"/>
            <w:left w:w="108" w:type="dxa"/>
            <w:bottom w:w="0" w:type="dxa"/>
            <w:right w:w="108" w:type="dxa"/>
          </w:tblCellMar>
        </w:tblPrEx>
        <w:trPr>
          <w:trHeight w:val="20" w:hRule="atLeast"/>
        </w:trPr>
        <w:tc>
          <w:tcPr>
            <w:tcW w:w="338"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textAlignment w:val="center"/>
              <w:rPr>
                <w:rFonts w:cs="仿宋_GB2312" w:asciiTheme="minorEastAsia" w:hAnsiTheme="minorEastAsia" w:eastAsiaTheme="minorEastAsia"/>
                <w:sz w:val="18"/>
                <w:szCs w:val="18"/>
                <w:lang w:val="zh-CN" w:bidi="zh-CN"/>
              </w:rPr>
            </w:pPr>
            <w:r>
              <w:rPr>
                <w:rFonts w:hint="eastAsia" w:cs="仿宋_GB2312" w:asciiTheme="minorEastAsia" w:hAnsiTheme="minorEastAsia" w:eastAsiaTheme="minorEastAsia"/>
                <w:sz w:val="18"/>
                <w:szCs w:val="18"/>
                <w:lang w:bidi="ar"/>
              </w:rPr>
              <w:t>20</w:t>
            </w:r>
          </w:p>
        </w:tc>
        <w:tc>
          <w:tcPr>
            <w:tcW w:w="513" w:type="pct"/>
            <w:vMerge w:val="continue"/>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cs="仿宋_GB2312" w:asciiTheme="minorEastAsia" w:hAnsiTheme="minorEastAsia" w:eastAsiaTheme="minorEastAsia"/>
                <w:sz w:val="18"/>
                <w:szCs w:val="18"/>
                <w:lang w:val="zh-CN" w:bidi="zh-CN"/>
              </w:rPr>
            </w:pPr>
          </w:p>
        </w:tc>
        <w:tc>
          <w:tcPr>
            <w:tcW w:w="682"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textAlignment w:val="center"/>
              <w:rPr>
                <w:rFonts w:cs="仿宋_GB2312" w:asciiTheme="minorEastAsia" w:hAnsiTheme="minorEastAsia" w:eastAsiaTheme="minorEastAsia"/>
                <w:sz w:val="18"/>
                <w:szCs w:val="18"/>
                <w:lang w:val="zh-CN" w:bidi="zh-CN"/>
              </w:rPr>
            </w:pPr>
            <w:r>
              <w:rPr>
                <w:rFonts w:hint="eastAsia" w:cs="仿宋_GB2312" w:asciiTheme="minorEastAsia" w:hAnsiTheme="minorEastAsia" w:eastAsiaTheme="minorEastAsia"/>
                <w:sz w:val="18"/>
                <w:szCs w:val="18"/>
                <w:lang w:bidi="ar"/>
              </w:rPr>
              <w:t>设备检修</w:t>
            </w:r>
          </w:p>
        </w:tc>
        <w:tc>
          <w:tcPr>
            <w:tcW w:w="599"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textAlignment w:val="center"/>
              <w:rPr>
                <w:rFonts w:cs="仿宋_GB2312" w:asciiTheme="minorEastAsia" w:hAnsiTheme="minorEastAsia" w:eastAsiaTheme="minorEastAsia"/>
                <w:sz w:val="18"/>
                <w:szCs w:val="18"/>
                <w:lang w:val="zh-CN" w:bidi="zh-CN"/>
              </w:rPr>
            </w:pPr>
            <w:r>
              <w:rPr>
                <w:rFonts w:hint="eastAsia" w:cs="仿宋_GB2312" w:asciiTheme="minorEastAsia" w:hAnsiTheme="minorEastAsia" w:eastAsiaTheme="minorEastAsia"/>
                <w:sz w:val="18"/>
                <w:szCs w:val="18"/>
                <w:lang w:bidi="ar"/>
              </w:rPr>
              <w:t>SJ-J020</w:t>
            </w:r>
          </w:p>
        </w:tc>
        <w:tc>
          <w:tcPr>
            <w:tcW w:w="2869"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left"/>
              <w:textAlignment w:val="center"/>
              <w:rPr>
                <w:rFonts w:cs="仿宋_GB2312" w:asciiTheme="minorEastAsia" w:hAnsiTheme="minorEastAsia" w:eastAsiaTheme="minorEastAsia"/>
                <w:sz w:val="18"/>
                <w:szCs w:val="18"/>
                <w:lang w:val="zh-CN" w:bidi="zh-CN"/>
              </w:rPr>
            </w:pPr>
            <w:r>
              <w:rPr>
                <w:rFonts w:hint="eastAsia" w:cs="仿宋_GB2312" w:asciiTheme="minorEastAsia" w:hAnsiTheme="minorEastAsia" w:eastAsiaTheme="minorEastAsia"/>
                <w:sz w:val="18"/>
                <w:szCs w:val="18"/>
                <w:lang w:bidi="ar"/>
              </w:rPr>
              <w:t>混凝土（水泥土、水泥稳定土）拌合机、TBM及盾构设备刀盘检维修时未切断电源或开关箱未上锁且无人监管</w:t>
            </w:r>
          </w:p>
        </w:tc>
      </w:tr>
    </w:tbl>
    <w:p>
      <w:pPr>
        <w:widowControl w:val="0"/>
        <w:autoSpaceDE w:val="0"/>
        <w:autoSpaceDN w:val="0"/>
        <w:jc w:val="left"/>
        <w:rPr>
          <w:rFonts w:ascii="宋体" w:hAnsi="宋体" w:eastAsia="宋体" w:cs="宋体"/>
          <w:sz w:val="22"/>
          <w:szCs w:val="22"/>
          <w:lang w:bidi="zh-CN"/>
        </w:rPr>
      </w:pPr>
    </w:p>
    <w:p>
      <w:pPr>
        <w:jc w:val="left"/>
        <w:rPr>
          <w:rFonts w:ascii="宋体" w:hAnsi="宋体" w:eastAsia="宋体" w:cs="宋体"/>
          <w:sz w:val="28"/>
          <w:szCs w:val="28"/>
          <w:lang w:bidi="zh-CN"/>
        </w:rPr>
      </w:pPr>
      <w:r>
        <w:rPr>
          <w:rFonts w:ascii="宋体" w:hAnsi="宋体" w:eastAsia="宋体" w:cs="宋体"/>
          <w:sz w:val="28"/>
          <w:szCs w:val="28"/>
          <w:lang w:bidi="zh-CN"/>
        </w:rPr>
        <w:br w:type="page"/>
      </w:r>
    </w:p>
    <w:p>
      <w:pPr>
        <w:jc w:val="center"/>
        <w:outlineLvl w:val="1"/>
        <w:rPr>
          <w:rFonts w:ascii="方正小标宋_GBK" w:hAnsi="黑体" w:eastAsia="方正小标宋_GBK"/>
          <w:b/>
          <w:bCs/>
          <w:sz w:val="28"/>
          <w:szCs w:val="28"/>
        </w:rPr>
      </w:pPr>
      <w:bookmarkStart w:id="167" w:name="_Toc119336612"/>
      <w:bookmarkStart w:id="168" w:name="_Toc117541331"/>
      <w:r>
        <w:rPr>
          <w:rFonts w:hint="eastAsia" w:ascii="方正小标宋_GBK" w:hAnsi="黑体" w:eastAsia="方正小标宋_GBK"/>
          <w:b/>
          <w:bCs/>
          <w:sz w:val="28"/>
          <w:szCs w:val="28"/>
        </w:rPr>
        <w:t>水利工程运行管理生产安全重大事故隐患清单指南</w:t>
      </w:r>
      <w:bookmarkEnd w:id="167"/>
      <w:bookmarkEnd w:id="168"/>
    </w:p>
    <w:tbl>
      <w:tblPr>
        <w:tblStyle w:val="34"/>
        <w:tblW w:w="5000" w:type="pct"/>
        <w:tblInd w:w="0" w:type="dxa"/>
        <w:tblLayout w:type="autofit"/>
        <w:tblCellMar>
          <w:top w:w="0" w:type="dxa"/>
          <w:left w:w="108" w:type="dxa"/>
          <w:bottom w:w="0" w:type="dxa"/>
          <w:right w:w="108" w:type="dxa"/>
        </w:tblCellMar>
      </w:tblPr>
      <w:tblGrid>
        <w:gridCol w:w="576"/>
        <w:gridCol w:w="1020"/>
        <w:gridCol w:w="1167"/>
        <w:gridCol w:w="5765"/>
      </w:tblGrid>
      <w:tr>
        <w:tblPrEx>
          <w:tblCellMar>
            <w:top w:w="0" w:type="dxa"/>
            <w:left w:w="108" w:type="dxa"/>
            <w:bottom w:w="0" w:type="dxa"/>
            <w:right w:w="108" w:type="dxa"/>
          </w:tblCellMar>
        </w:tblPrEx>
        <w:trPr>
          <w:trHeight w:val="20" w:hRule="atLeast"/>
          <w:tblHeader/>
        </w:trPr>
        <w:tc>
          <w:tcPr>
            <w:tcW w:w="338"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60" w:lineRule="exact"/>
              <w:jc w:val="center"/>
              <w:textAlignment w:val="center"/>
              <w:rPr>
                <w:rFonts w:cs="黑体" w:asciiTheme="minorEastAsia" w:hAnsiTheme="minorEastAsia" w:eastAsiaTheme="minorEastAsia"/>
                <w:b/>
                <w:sz w:val="21"/>
                <w:szCs w:val="21"/>
                <w:lang w:val="zh-CN" w:bidi="zh-CN"/>
              </w:rPr>
            </w:pPr>
            <w:r>
              <w:rPr>
                <w:rFonts w:hint="eastAsia" w:cs="黑体" w:asciiTheme="minorEastAsia" w:hAnsiTheme="minorEastAsia" w:eastAsiaTheme="minorEastAsia"/>
                <w:b/>
                <w:sz w:val="21"/>
                <w:szCs w:val="21"/>
                <w:lang w:bidi="ar"/>
              </w:rPr>
              <w:t>序号</w:t>
            </w:r>
          </w:p>
        </w:tc>
        <w:tc>
          <w:tcPr>
            <w:tcW w:w="598"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60" w:lineRule="exact"/>
              <w:jc w:val="center"/>
              <w:textAlignment w:val="center"/>
              <w:rPr>
                <w:rFonts w:cs="黑体" w:asciiTheme="minorEastAsia" w:hAnsiTheme="minorEastAsia" w:eastAsiaTheme="minorEastAsia"/>
                <w:b/>
                <w:sz w:val="21"/>
                <w:szCs w:val="21"/>
                <w:lang w:bidi="ar"/>
              </w:rPr>
            </w:pPr>
            <w:r>
              <w:rPr>
                <w:rFonts w:hint="eastAsia" w:cs="黑体" w:asciiTheme="minorEastAsia" w:hAnsiTheme="minorEastAsia" w:eastAsiaTheme="minorEastAsia"/>
                <w:b/>
                <w:sz w:val="21"/>
                <w:szCs w:val="21"/>
                <w:lang w:bidi="ar"/>
              </w:rPr>
              <w:t>管理</w:t>
            </w:r>
          </w:p>
          <w:p>
            <w:pPr>
              <w:adjustRightInd w:val="0"/>
              <w:snapToGrid w:val="0"/>
              <w:spacing w:line="260" w:lineRule="exact"/>
              <w:jc w:val="center"/>
              <w:textAlignment w:val="center"/>
              <w:rPr>
                <w:rFonts w:cs="黑体" w:asciiTheme="minorEastAsia" w:hAnsiTheme="minorEastAsia" w:eastAsiaTheme="minorEastAsia"/>
                <w:b/>
                <w:sz w:val="21"/>
                <w:szCs w:val="21"/>
                <w:lang w:val="zh-CN" w:bidi="zh-CN"/>
              </w:rPr>
            </w:pPr>
            <w:r>
              <w:rPr>
                <w:rFonts w:hint="eastAsia" w:cs="黑体" w:asciiTheme="minorEastAsia" w:hAnsiTheme="minorEastAsia" w:eastAsiaTheme="minorEastAsia"/>
                <w:b/>
                <w:sz w:val="21"/>
                <w:szCs w:val="21"/>
                <w:lang w:bidi="ar"/>
              </w:rPr>
              <w:t>对象</w:t>
            </w:r>
          </w:p>
        </w:tc>
        <w:tc>
          <w:tcPr>
            <w:tcW w:w="684"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60" w:lineRule="exact"/>
              <w:jc w:val="center"/>
              <w:textAlignment w:val="center"/>
              <w:rPr>
                <w:rFonts w:cs="黑体" w:asciiTheme="minorEastAsia" w:hAnsiTheme="minorEastAsia" w:eastAsiaTheme="minorEastAsia"/>
                <w:b/>
                <w:sz w:val="21"/>
                <w:szCs w:val="21"/>
                <w:lang w:bidi="ar"/>
              </w:rPr>
            </w:pPr>
            <w:r>
              <w:rPr>
                <w:rFonts w:hint="eastAsia" w:cs="黑体" w:asciiTheme="minorEastAsia" w:hAnsiTheme="minorEastAsia" w:eastAsiaTheme="minorEastAsia"/>
                <w:b/>
                <w:sz w:val="21"/>
                <w:szCs w:val="21"/>
                <w:lang w:bidi="ar"/>
              </w:rPr>
              <w:t>隐患</w:t>
            </w:r>
          </w:p>
          <w:p>
            <w:pPr>
              <w:adjustRightInd w:val="0"/>
              <w:snapToGrid w:val="0"/>
              <w:spacing w:line="260" w:lineRule="exact"/>
              <w:jc w:val="center"/>
              <w:textAlignment w:val="center"/>
              <w:rPr>
                <w:rFonts w:cs="黑体" w:asciiTheme="minorEastAsia" w:hAnsiTheme="minorEastAsia" w:eastAsiaTheme="minorEastAsia"/>
                <w:b/>
                <w:sz w:val="21"/>
                <w:szCs w:val="21"/>
                <w:lang w:val="zh-CN" w:bidi="zh-CN"/>
              </w:rPr>
            </w:pPr>
            <w:r>
              <w:rPr>
                <w:rFonts w:hint="eastAsia" w:cs="黑体" w:asciiTheme="minorEastAsia" w:hAnsiTheme="minorEastAsia" w:eastAsiaTheme="minorEastAsia"/>
                <w:b/>
                <w:sz w:val="21"/>
                <w:szCs w:val="21"/>
                <w:lang w:bidi="ar"/>
              </w:rPr>
              <w:t>编号</w:t>
            </w:r>
          </w:p>
        </w:tc>
        <w:tc>
          <w:tcPr>
            <w:tcW w:w="3381"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60" w:lineRule="exact"/>
              <w:jc w:val="center"/>
              <w:textAlignment w:val="center"/>
              <w:rPr>
                <w:rFonts w:cs="黑体" w:asciiTheme="minorEastAsia" w:hAnsiTheme="minorEastAsia" w:eastAsiaTheme="minorEastAsia"/>
                <w:b/>
                <w:sz w:val="21"/>
                <w:szCs w:val="21"/>
                <w:lang w:val="zh-CN" w:bidi="zh-CN"/>
              </w:rPr>
            </w:pPr>
            <w:r>
              <w:rPr>
                <w:rFonts w:hint="eastAsia" w:cs="黑体" w:asciiTheme="minorEastAsia" w:hAnsiTheme="minorEastAsia" w:eastAsiaTheme="minorEastAsia"/>
                <w:b/>
                <w:sz w:val="21"/>
                <w:szCs w:val="21"/>
                <w:lang w:bidi="ar"/>
              </w:rPr>
              <w:t>隐患内容</w:t>
            </w:r>
          </w:p>
        </w:tc>
      </w:tr>
      <w:tr>
        <w:tblPrEx>
          <w:tblCellMar>
            <w:top w:w="0" w:type="dxa"/>
            <w:left w:w="108" w:type="dxa"/>
            <w:bottom w:w="0" w:type="dxa"/>
            <w:right w:w="108" w:type="dxa"/>
          </w:tblCellMar>
        </w:tblPrEx>
        <w:trPr>
          <w:trHeight w:val="20" w:hRule="atLeast"/>
        </w:trPr>
        <w:tc>
          <w:tcPr>
            <w:tcW w:w="338"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60" w:lineRule="exact"/>
              <w:jc w:val="center"/>
              <w:textAlignment w:val="center"/>
              <w:rPr>
                <w:rFonts w:cs="仿宋_GB2312" w:asciiTheme="minorEastAsia" w:hAnsiTheme="minorEastAsia" w:eastAsiaTheme="minorEastAsia"/>
                <w:sz w:val="21"/>
                <w:szCs w:val="21"/>
                <w:lang w:val="zh-CN" w:bidi="zh-CN"/>
              </w:rPr>
            </w:pPr>
            <w:r>
              <w:rPr>
                <w:rFonts w:hint="eastAsia" w:cs="仿宋_GB2312" w:asciiTheme="minorEastAsia" w:hAnsiTheme="minorEastAsia" w:eastAsiaTheme="minorEastAsia"/>
                <w:sz w:val="21"/>
                <w:szCs w:val="21"/>
                <w:lang w:bidi="ar"/>
              </w:rPr>
              <w:t>1</w:t>
            </w:r>
          </w:p>
        </w:tc>
        <w:tc>
          <w:tcPr>
            <w:tcW w:w="598" w:type="pct"/>
            <w:vMerge w:val="restart"/>
            <w:tcBorders>
              <w:top w:val="single" w:color="000000" w:sz="4" w:space="0"/>
              <w:left w:val="single" w:color="000000" w:sz="4" w:space="0"/>
              <w:bottom w:val="nil"/>
              <w:right w:val="single" w:color="000000" w:sz="4" w:space="0"/>
            </w:tcBorders>
            <w:vAlign w:val="center"/>
          </w:tcPr>
          <w:p>
            <w:pPr>
              <w:adjustRightInd w:val="0"/>
              <w:snapToGrid w:val="0"/>
              <w:spacing w:line="260" w:lineRule="exact"/>
              <w:jc w:val="center"/>
              <w:textAlignment w:val="center"/>
              <w:rPr>
                <w:rFonts w:cs="仿宋_GB2312" w:asciiTheme="minorEastAsia" w:hAnsiTheme="minorEastAsia" w:eastAsiaTheme="minorEastAsia"/>
                <w:sz w:val="21"/>
                <w:szCs w:val="21"/>
                <w:lang w:val="zh-CN" w:bidi="zh-CN"/>
              </w:rPr>
            </w:pPr>
            <w:r>
              <w:rPr>
                <w:rFonts w:hint="eastAsia" w:cs="仿宋_GB2312" w:asciiTheme="minorEastAsia" w:hAnsiTheme="minorEastAsia" w:eastAsiaTheme="minorEastAsia"/>
                <w:sz w:val="21"/>
                <w:szCs w:val="21"/>
                <w:lang w:bidi="ar"/>
              </w:rPr>
              <w:t>水利工程通用</w:t>
            </w:r>
          </w:p>
        </w:tc>
        <w:tc>
          <w:tcPr>
            <w:tcW w:w="684" w:type="pct"/>
            <w:tcBorders>
              <w:top w:val="single" w:color="000000" w:sz="4" w:space="0"/>
              <w:left w:val="single" w:color="000000" w:sz="4" w:space="0"/>
              <w:bottom w:val="nil"/>
              <w:right w:val="single" w:color="000000" w:sz="4" w:space="0"/>
            </w:tcBorders>
            <w:vAlign w:val="center"/>
          </w:tcPr>
          <w:p>
            <w:pPr>
              <w:adjustRightInd w:val="0"/>
              <w:snapToGrid w:val="0"/>
              <w:spacing w:line="260" w:lineRule="exact"/>
              <w:jc w:val="center"/>
              <w:textAlignment w:val="center"/>
              <w:rPr>
                <w:rFonts w:cs="仿宋_GB2312" w:asciiTheme="minorEastAsia" w:hAnsiTheme="minorEastAsia" w:eastAsiaTheme="minorEastAsia"/>
                <w:sz w:val="21"/>
                <w:szCs w:val="21"/>
                <w:lang w:val="zh-CN" w:bidi="zh-CN"/>
              </w:rPr>
            </w:pPr>
            <w:r>
              <w:rPr>
                <w:rFonts w:hint="eastAsia" w:cs="仿宋_GB2312" w:asciiTheme="minorEastAsia" w:hAnsiTheme="minorEastAsia" w:eastAsiaTheme="minorEastAsia"/>
                <w:sz w:val="21"/>
                <w:szCs w:val="21"/>
                <w:lang w:bidi="ar"/>
              </w:rPr>
              <w:t>SY-T001</w:t>
            </w:r>
          </w:p>
        </w:tc>
        <w:tc>
          <w:tcPr>
            <w:tcW w:w="3381"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60" w:lineRule="exact"/>
              <w:textAlignment w:val="center"/>
              <w:rPr>
                <w:rFonts w:cs="仿宋_GB2312" w:asciiTheme="minorEastAsia" w:hAnsiTheme="minorEastAsia" w:eastAsiaTheme="minorEastAsia"/>
                <w:sz w:val="21"/>
                <w:szCs w:val="21"/>
                <w:lang w:val="zh-CN" w:bidi="zh-CN"/>
              </w:rPr>
            </w:pPr>
            <w:r>
              <w:rPr>
                <w:rFonts w:hint="eastAsia" w:cs="仿宋_GB2312" w:asciiTheme="minorEastAsia" w:hAnsiTheme="minorEastAsia" w:eastAsiaTheme="minorEastAsia"/>
                <w:sz w:val="21"/>
                <w:szCs w:val="21"/>
                <w:lang w:bidi="ar"/>
              </w:rPr>
              <w:t>有泄洪要求的闸门不能正常启闭；泄水建筑物堵塞，无法正常泄洪；启闭机自动控制系统失效</w:t>
            </w:r>
          </w:p>
        </w:tc>
      </w:tr>
      <w:tr>
        <w:tblPrEx>
          <w:tblCellMar>
            <w:top w:w="0" w:type="dxa"/>
            <w:left w:w="108" w:type="dxa"/>
            <w:bottom w:w="0" w:type="dxa"/>
            <w:right w:w="108" w:type="dxa"/>
          </w:tblCellMar>
        </w:tblPrEx>
        <w:trPr>
          <w:trHeight w:val="20" w:hRule="atLeast"/>
        </w:trPr>
        <w:tc>
          <w:tcPr>
            <w:tcW w:w="338"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60" w:lineRule="exact"/>
              <w:jc w:val="center"/>
              <w:textAlignment w:val="center"/>
              <w:rPr>
                <w:rFonts w:cs="仿宋_GB2312" w:asciiTheme="minorEastAsia" w:hAnsiTheme="minorEastAsia" w:eastAsiaTheme="minorEastAsia"/>
                <w:sz w:val="21"/>
                <w:szCs w:val="21"/>
                <w:lang w:val="zh-CN" w:bidi="zh-CN"/>
              </w:rPr>
            </w:pPr>
            <w:r>
              <w:rPr>
                <w:rFonts w:hint="eastAsia" w:cs="仿宋_GB2312" w:asciiTheme="minorEastAsia" w:hAnsiTheme="minorEastAsia" w:eastAsiaTheme="minorEastAsia"/>
                <w:sz w:val="21"/>
                <w:szCs w:val="21"/>
                <w:lang w:bidi="ar"/>
              </w:rPr>
              <w:t>2</w:t>
            </w:r>
          </w:p>
        </w:tc>
        <w:tc>
          <w:tcPr>
            <w:tcW w:w="598" w:type="pct"/>
            <w:vMerge w:val="continue"/>
            <w:tcBorders>
              <w:top w:val="single" w:color="000000" w:sz="4" w:space="0"/>
              <w:left w:val="single" w:color="000000" w:sz="4" w:space="0"/>
              <w:bottom w:val="nil"/>
              <w:right w:val="single" w:color="000000" w:sz="4" w:space="0"/>
            </w:tcBorders>
            <w:vAlign w:val="center"/>
          </w:tcPr>
          <w:p>
            <w:pPr>
              <w:adjustRightInd w:val="0"/>
              <w:snapToGrid w:val="0"/>
              <w:spacing w:line="260" w:lineRule="exact"/>
              <w:jc w:val="center"/>
              <w:rPr>
                <w:rFonts w:cs="仿宋_GB2312" w:asciiTheme="minorEastAsia" w:hAnsiTheme="minorEastAsia" w:eastAsiaTheme="minorEastAsia"/>
                <w:sz w:val="21"/>
                <w:szCs w:val="21"/>
                <w:lang w:val="zh-CN" w:bidi="zh-CN"/>
              </w:rPr>
            </w:pPr>
          </w:p>
        </w:tc>
        <w:tc>
          <w:tcPr>
            <w:tcW w:w="684"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60" w:lineRule="exact"/>
              <w:jc w:val="center"/>
              <w:textAlignment w:val="center"/>
              <w:rPr>
                <w:rFonts w:cs="仿宋_GB2312" w:asciiTheme="minorEastAsia" w:hAnsiTheme="minorEastAsia" w:eastAsiaTheme="minorEastAsia"/>
                <w:sz w:val="21"/>
                <w:szCs w:val="21"/>
                <w:lang w:val="zh-CN" w:bidi="zh-CN"/>
              </w:rPr>
            </w:pPr>
            <w:r>
              <w:rPr>
                <w:rFonts w:hint="eastAsia" w:cs="仿宋_GB2312" w:asciiTheme="minorEastAsia" w:hAnsiTheme="minorEastAsia" w:eastAsiaTheme="minorEastAsia"/>
                <w:sz w:val="21"/>
                <w:szCs w:val="21"/>
                <w:lang w:bidi="ar"/>
              </w:rPr>
              <w:t>SY-T002</w:t>
            </w:r>
          </w:p>
        </w:tc>
        <w:tc>
          <w:tcPr>
            <w:tcW w:w="3381"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60" w:lineRule="exact"/>
              <w:textAlignment w:val="center"/>
              <w:rPr>
                <w:rFonts w:cs="仿宋_GB2312" w:asciiTheme="minorEastAsia" w:hAnsiTheme="minorEastAsia" w:eastAsiaTheme="minorEastAsia"/>
                <w:sz w:val="21"/>
                <w:szCs w:val="21"/>
                <w:lang w:val="zh-CN" w:bidi="zh-CN"/>
              </w:rPr>
            </w:pPr>
            <w:r>
              <w:rPr>
                <w:rFonts w:hint="eastAsia" w:cs="仿宋_GB2312" w:asciiTheme="minorEastAsia" w:hAnsiTheme="minorEastAsia" w:eastAsiaTheme="minorEastAsia"/>
                <w:sz w:val="21"/>
                <w:szCs w:val="21"/>
                <w:lang w:bidi="ar"/>
              </w:rPr>
              <w:t>有防洪要求的工程未按照设计和规范设置监测、观测设施或监测、观测设施严重缺失；未开展监测观测</w:t>
            </w:r>
          </w:p>
        </w:tc>
      </w:tr>
      <w:tr>
        <w:tblPrEx>
          <w:tblCellMar>
            <w:top w:w="0" w:type="dxa"/>
            <w:left w:w="108" w:type="dxa"/>
            <w:bottom w:w="0" w:type="dxa"/>
            <w:right w:w="108" w:type="dxa"/>
          </w:tblCellMar>
        </w:tblPrEx>
        <w:trPr>
          <w:trHeight w:val="20" w:hRule="atLeast"/>
        </w:trPr>
        <w:tc>
          <w:tcPr>
            <w:tcW w:w="338"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60" w:lineRule="exact"/>
              <w:jc w:val="center"/>
              <w:textAlignment w:val="center"/>
              <w:rPr>
                <w:rFonts w:cs="仿宋_GB2312" w:asciiTheme="minorEastAsia" w:hAnsiTheme="minorEastAsia" w:eastAsiaTheme="minorEastAsia"/>
                <w:sz w:val="21"/>
                <w:szCs w:val="21"/>
                <w:lang w:val="zh-CN" w:bidi="zh-CN"/>
              </w:rPr>
            </w:pPr>
            <w:r>
              <w:rPr>
                <w:rFonts w:hint="eastAsia" w:cs="仿宋_GB2312" w:asciiTheme="minorEastAsia" w:hAnsiTheme="minorEastAsia" w:eastAsiaTheme="minorEastAsia"/>
                <w:sz w:val="21"/>
                <w:szCs w:val="21"/>
                <w:lang w:bidi="ar"/>
              </w:rPr>
              <w:t>3</w:t>
            </w:r>
          </w:p>
        </w:tc>
        <w:tc>
          <w:tcPr>
            <w:tcW w:w="598" w:type="pct"/>
            <w:vMerge w:val="restar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60" w:lineRule="exact"/>
              <w:jc w:val="center"/>
              <w:textAlignment w:val="center"/>
              <w:rPr>
                <w:rFonts w:cs="仿宋_GB2312" w:asciiTheme="minorEastAsia" w:hAnsiTheme="minorEastAsia" w:eastAsiaTheme="minorEastAsia"/>
                <w:sz w:val="21"/>
                <w:szCs w:val="21"/>
                <w:lang w:val="zh-CN" w:bidi="zh-CN"/>
              </w:rPr>
            </w:pPr>
            <w:r>
              <w:rPr>
                <w:rFonts w:hint="eastAsia" w:cs="仿宋_GB2312" w:asciiTheme="minorEastAsia" w:hAnsiTheme="minorEastAsia" w:eastAsiaTheme="minorEastAsia"/>
                <w:sz w:val="21"/>
                <w:szCs w:val="21"/>
                <w:lang w:bidi="ar"/>
              </w:rPr>
              <w:t>水库大坝工程</w:t>
            </w:r>
          </w:p>
        </w:tc>
        <w:tc>
          <w:tcPr>
            <w:tcW w:w="684"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60" w:lineRule="exact"/>
              <w:jc w:val="center"/>
              <w:textAlignment w:val="center"/>
              <w:rPr>
                <w:rFonts w:cs="仿宋_GB2312" w:asciiTheme="minorEastAsia" w:hAnsiTheme="minorEastAsia" w:eastAsiaTheme="minorEastAsia"/>
                <w:sz w:val="21"/>
                <w:szCs w:val="21"/>
                <w:lang w:val="zh-CN" w:bidi="zh-CN"/>
              </w:rPr>
            </w:pPr>
            <w:r>
              <w:rPr>
                <w:rFonts w:hint="eastAsia" w:cs="仿宋_GB2312" w:asciiTheme="minorEastAsia" w:hAnsiTheme="minorEastAsia" w:eastAsiaTheme="minorEastAsia"/>
                <w:sz w:val="21"/>
                <w:szCs w:val="21"/>
                <w:lang w:bidi="ar"/>
              </w:rPr>
              <w:t>SY-K001</w:t>
            </w:r>
          </w:p>
        </w:tc>
        <w:tc>
          <w:tcPr>
            <w:tcW w:w="3381"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60" w:lineRule="exact"/>
              <w:textAlignment w:val="center"/>
              <w:rPr>
                <w:rFonts w:cs="仿宋_GB2312" w:asciiTheme="minorEastAsia" w:hAnsiTheme="minorEastAsia" w:eastAsiaTheme="minorEastAsia"/>
                <w:sz w:val="21"/>
                <w:szCs w:val="21"/>
                <w:lang w:val="zh-CN" w:bidi="zh-CN"/>
              </w:rPr>
            </w:pPr>
            <w:r>
              <w:rPr>
                <w:rFonts w:hint="eastAsia" w:cs="仿宋_GB2312" w:asciiTheme="minorEastAsia" w:hAnsiTheme="minorEastAsia" w:eastAsiaTheme="minorEastAsia"/>
                <w:sz w:val="21"/>
                <w:szCs w:val="21"/>
                <w:lang w:bidi="ar"/>
              </w:rPr>
              <w:t>大坝安全鉴定为三类坝，未采取有效管控措施</w:t>
            </w:r>
          </w:p>
        </w:tc>
      </w:tr>
      <w:tr>
        <w:tblPrEx>
          <w:tblCellMar>
            <w:top w:w="0" w:type="dxa"/>
            <w:left w:w="108" w:type="dxa"/>
            <w:bottom w:w="0" w:type="dxa"/>
            <w:right w:w="108" w:type="dxa"/>
          </w:tblCellMar>
        </w:tblPrEx>
        <w:trPr>
          <w:trHeight w:val="20" w:hRule="atLeast"/>
        </w:trPr>
        <w:tc>
          <w:tcPr>
            <w:tcW w:w="338"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60" w:lineRule="exact"/>
              <w:jc w:val="center"/>
              <w:textAlignment w:val="center"/>
              <w:rPr>
                <w:rFonts w:cs="仿宋_GB2312" w:asciiTheme="minorEastAsia" w:hAnsiTheme="minorEastAsia" w:eastAsiaTheme="minorEastAsia"/>
                <w:sz w:val="21"/>
                <w:szCs w:val="21"/>
                <w:lang w:val="zh-CN" w:bidi="zh-CN"/>
              </w:rPr>
            </w:pPr>
            <w:r>
              <w:rPr>
                <w:rFonts w:hint="eastAsia" w:cs="仿宋_GB2312" w:asciiTheme="minorEastAsia" w:hAnsiTheme="minorEastAsia" w:eastAsiaTheme="minorEastAsia"/>
                <w:sz w:val="21"/>
                <w:szCs w:val="21"/>
                <w:lang w:bidi="ar"/>
              </w:rPr>
              <w:t>4</w:t>
            </w:r>
          </w:p>
        </w:tc>
        <w:tc>
          <w:tcPr>
            <w:tcW w:w="598" w:type="pct"/>
            <w:vMerge w:val="continue"/>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60" w:lineRule="exact"/>
              <w:jc w:val="center"/>
              <w:rPr>
                <w:rFonts w:cs="仿宋_GB2312" w:asciiTheme="minorEastAsia" w:hAnsiTheme="minorEastAsia" w:eastAsiaTheme="minorEastAsia"/>
                <w:sz w:val="21"/>
                <w:szCs w:val="21"/>
                <w:lang w:val="zh-CN" w:bidi="zh-CN"/>
              </w:rPr>
            </w:pPr>
          </w:p>
        </w:tc>
        <w:tc>
          <w:tcPr>
            <w:tcW w:w="684"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60" w:lineRule="exact"/>
              <w:jc w:val="center"/>
              <w:textAlignment w:val="center"/>
              <w:rPr>
                <w:rFonts w:cs="仿宋_GB2312" w:asciiTheme="minorEastAsia" w:hAnsiTheme="minorEastAsia" w:eastAsiaTheme="minorEastAsia"/>
                <w:sz w:val="21"/>
                <w:szCs w:val="21"/>
                <w:lang w:val="zh-CN" w:bidi="zh-CN"/>
              </w:rPr>
            </w:pPr>
            <w:r>
              <w:rPr>
                <w:rFonts w:hint="eastAsia" w:cs="仿宋_GB2312" w:asciiTheme="minorEastAsia" w:hAnsiTheme="minorEastAsia" w:eastAsiaTheme="minorEastAsia"/>
                <w:sz w:val="21"/>
                <w:szCs w:val="21"/>
                <w:lang w:bidi="ar"/>
              </w:rPr>
              <w:t>SY-K002</w:t>
            </w:r>
          </w:p>
        </w:tc>
        <w:tc>
          <w:tcPr>
            <w:tcW w:w="3381"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60" w:lineRule="exact"/>
              <w:textAlignment w:val="center"/>
              <w:rPr>
                <w:rFonts w:cs="仿宋_GB2312" w:asciiTheme="minorEastAsia" w:hAnsiTheme="minorEastAsia" w:eastAsiaTheme="minorEastAsia"/>
                <w:sz w:val="21"/>
                <w:szCs w:val="21"/>
                <w:lang w:val="zh-CN" w:bidi="zh-CN"/>
              </w:rPr>
            </w:pPr>
            <w:r>
              <w:rPr>
                <w:rFonts w:hint="eastAsia" w:cs="仿宋_GB2312" w:asciiTheme="minorEastAsia" w:hAnsiTheme="minorEastAsia" w:eastAsiaTheme="minorEastAsia"/>
                <w:sz w:val="21"/>
                <w:szCs w:val="21"/>
                <w:lang w:bidi="ar"/>
              </w:rPr>
              <w:t>大</w:t>
            </w:r>
            <w:r>
              <w:rPr>
                <w:rFonts w:cs="仿宋_GB2312" w:asciiTheme="minorEastAsia" w:hAnsiTheme="minorEastAsia" w:eastAsiaTheme="minorEastAsia"/>
                <w:sz w:val="21"/>
                <w:szCs w:val="21"/>
                <w:lang w:bidi="ar"/>
              </w:rPr>
              <w:t>坝防渗和反滤排水设施存在严重缺陷；大坝渗流压力与渗流量变化异常；坝基扬压力明显高于设计值，复核抗滑安全系数不满足规范要求；运行中已出现流土、漏洞、管涌、接触渗漏等严重渗流异常现象；大坝超高不满足规范要求；水库泄洪能力不满足规范要求；水库防洪能力不足</w:t>
            </w:r>
          </w:p>
        </w:tc>
      </w:tr>
      <w:tr>
        <w:tblPrEx>
          <w:tblCellMar>
            <w:top w:w="0" w:type="dxa"/>
            <w:left w:w="108" w:type="dxa"/>
            <w:bottom w:w="0" w:type="dxa"/>
            <w:right w:w="108" w:type="dxa"/>
          </w:tblCellMar>
        </w:tblPrEx>
        <w:trPr>
          <w:trHeight w:val="20" w:hRule="atLeast"/>
        </w:trPr>
        <w:tc>
          <w:tcPr>
            <w:tcW w:w="338"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60" w:lineRule="exact"/>
              <w:jc w:val="center"/>
              <w:textAlignment w:val="center"/>
              <w:rPr>
                <w:rFonts w:cs="仿宋_GB2312" w:asciiTheme="minorEastAsia" w:hAnsiTheme="minorEastAsia" w:eastAsiaTheme="minorEastAsia"/>
                <w:sz w:val="21"/>
                <w:szCs w:val="21"/>
                <w:lang w:val="zh-CN" w:bidi="zh-CN"/>
              </w:rPr>
            </w:pPr>
            <w:r>
              <w:rPr>
                <w:rFonts w:hint="eastAsia" w:cs="仿宋_GB2312" w:asciiTheme="minorEastAsia" w:hAnsiTheme="minorEastAsia" w:eastAsiaTheme="minorEastAsia"/>
                <w:sz w:val="21"/>
                <w:szCs w:val="21"/>
                <w:lang w:bidi="ar"/>
              </w:rPr>
              <w:t>5</w:t>
            </w:r>
          </w:p>
        </w:tc>
        <w:tc>
          <w:tcPr>
            <w:tcW w:w="598" w:type="pct"/>
            <w:vMerge w:val="continue"/>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60" w:lineRule="exact"/>
              <w:jc w:val="center"/>
              <w:rPr>
                <w:rFonts w:cs="仿宋_GB2312" w:asciiTheme="minorEastAsia" w:hAnsiTheme="minorEastAsia" w:eastAsiaTheme="minorEastAsia"/>
                <w:sz w:val="21"/>
                <w:szCs w:val="21"/>
                <w:lang w:val="zh-CN" w:bidi="zh-CN"/>
              </w:rPr>
            </w:pPr>
          </w:p>
        </w:tc>
        <w:tc>
          <w:tcPr>
            <w:tcW w:w="684"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60" w:lineRule="exact"/>
              <w:jc w:val="center"/>
              <w:textAlignment w:val="center"/>
              <w:rPr>
                <w:rFonts w:cs="仿宋_GB2312" w:asciiTheme="minorEastAsia" w:hAnsiTheme="minorEastAsia" w:eastAsiaTheme="minorEastAsia"/>
                <w:sz w:val="21"/>
                <w:szCs w:val="21"/>
                <w:lang w:val="zh-CN" w:bidi="zh-CN"/>
              </w:rPr>
            </w:pPr>
            <w:r>
              <w:rPr>
                <w:rFonts w:hint="eastAsia" w:cs="仿宋_GB2312" w:asciiTheme="minorEastAsia" w:hAnsiTheme="minorEastAsia" w:eastAsiaTheme="minorEastAsia"/>
                <w:sz w:val="21"/>
                <w:szCs w:val="21"/>
                <w:lang w:bidi="ar"/>
              </w:rPr>
              <w:t>SY-K003</w:t>
            </w:r>
          </w:p>
        </w:tc>
        <w:tc>
          <w:tcPr>
            <w:tcW w:w="3381"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60" w:lineRule="exact"/>
              <w:textAlignment w:val="center"/>
              <w:rPr>
                <w:rFonts w:cs="仿宋_GB2312" w:asciiTheme="minorEastAsia" w:hAnsiTheme="minorEastAsia" w:eastAsiaTheme="minorEastAsia"/>
                <w:sz w:val="21"/>
                <w:szCs w:val="21"/>
                <w:lang w:val="zh-CN" w:bidi="zh-CN"/>
              </w:rPr>
            </w:pPr>
            <w:r>
              <w:rPr>
                <w:rFonts w:hint="eastAsia" w:cs="仿宋_GB2312" w:asciiTheme="minorEastAsia" w:hAnsiTheme="minorEastAsia" w:eastAsiaTheme="minorEastAsia"/>
                <w:sz w:val="21"/>
                <w:szCs w:val="21"/>
                <w:lang w:bidi="ar"/>
              </w:rPr>
              <w:t>大坝及泄水、输水等建筑物的强度、稳定、泄流安全不满足规范要求，存在危及工程安全的异常变形或近坝岸坡不稳定</w:t>
            </w:r>
          </w:p>
        </w:tc>
      </w:tr>
      <w:tr>
        <w:tblPrEx>
          <w:tblCellMar>
            <w:top w:w="0" w:type="dxa"/>
            <w:left w:w="108" w:type="dxa"/>
            <w:bottom w:w="0" w:type="dxa"/>
            <w:right w:w="108" w:type="dxa"/>
          </w:tblCellMar>
        </w:tblPrEx>
        <w:trPr>
          <w:trHeight w:val="20" w:hRule="atLeast"/>
        </w:trPr>
        <w:tc>
          <w:tcPr>
            <w:tcW w:w="338"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60" w:lineRule="exact"/>
              <w:jc w:val="center"/>
              <w:textAlignment w:val="center"/>
              <w:rPr>
                <w:rFonts w:cs="仿宋_GB2312" w:asciiTheme="minorEastAsia" w:hAnsiTheme="minorEastAsia" w:eastAsiaTheme="minorEastAsia"/>
                <w:sz w:val="21"/>
                <w:szCs w:val="21"/>
                <w:lang w:val="zh-CN" w:bidi="zh-CN"/>
              </w:rPr>
            </w:pPr>
            <w:r>
              <w:rPr>
                <w:rFonts w:hint="eastAsia" w:cs="仿宋_GB2312" w:asciiTheme="minorEastAsia" w:hAnsiTheme="minorEastAsia" w:eastAsiaTheme="minorEastAsia"/>
                <w:sz w:val="21"/>
                <w:szCs w:val="21"/>
                <w:lang w:bidi="ar"/>
              </w:rPr>
              <w:t>6</w:t>
            </w:r>
          </w:p>
        </w:tc>
        <w:tc>
          <w:tcPr>
            <w:tcW w:w="598" w:type="pct"/>
            <w:vMerge w:val="continue"/>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60" w:lineRule="exact"/>
              <w:jc w:val="center"/>
              <w:rPr>
                <w:rFonts w:cs="仿宋_GB2312" w:asciiTheme="minorEastAsia" w:hAnsiTheme="minorEastAsia" w:eastAsiaTheme="minorEastAsia"/>
                <w:sz w:val="21"/>
                <w:szCs w:val="21"/>
                <w:lang w:val="zh-CN" w:bidi="zh-CN"/>
              </w:rPr>
            </w:pPr>
          </w:p>
        </w:tc>
        <w:tc>
          <w:tcPr>
            <w:tcW w:w="684"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60" w:lineRule="exact"/>
              <w:jc w:val="center"/>
              <w:textAlignment w:val="center"/>
              <w:rPr>
                <w:rFonts w:cs="仿宋_GB2312" w:asciiTheme="minorEastAsia" w:hAnsiTheme="minorEastAsia" w:eastAsiaTheme="minorEastAsia"/>
                <w:sz w:val="21"/>
                <w:szCs w:val="21"/>
                <w:lang w:val="zh-CN" w:bidi="zh-CN"/>
              </w:rPr>
            </w:pPr>
            <w:r>
              <w:rPr>
                <w:rFonts w:hint="eastAsia" w:cs="仿宋_GB2312" w:asciiTheme="minorEastAsia" w:hAnsiTheme="minorEastAsia" w:eastAsiaTheme="minorEastAsia"/>
                <w:sz w:val="21"/>
                <w:szCs w:val="21"/>
                <w:lang w:bidi="ar"/>
              </w:rPr>
              <w:t>SY-K004</w:t>
            </w:r>
          </w:p>
        </w:tc>
        <w:tc>
          <w:tcPr>
            <w:tcW w:w="3381"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60" w:lineRule="exact"/>
              <w:textAlignment w:val="center"/>
              <w:rPr>
                <w:rFonts w:cs="仿宋_GB2312" w:asciiTheme="minorEastAsia" w:hAnsiTheme="minorEastAsia" w:eastAsiaTheme="minorEastAsia"/>
                <w:sz w:val="21"/>
                <w:szCs w:val="21"/>
                <w:lang w:val="zh-CN" w:bidi="zh-CN"/>
              </w:rPr>
            </w:pPr>
            <w:r>
              <w:rPr>
                <w:rFonts w:hint="eastAsia" w:cs="仿宋_GB2312" w:asciiTheme="minorEastAsia" w:hAnsiTheme="minorEastAsia" w:eastAsiaTheme="minorEastAsia"/>
                <w:sz w:val="21"/>
                <w:szCs w:val="21"/>
                <w:lang w:bidi="ar"/>
              </w:rPr>
              <w:t>有泄洪要求的闸门、启闭机等金属结构安全检测结果为“不安全”，强度、刚度及稳定性不满足规范要求；或维护不善，变形、锈蚀、磨损严重，不能正常运行</w:t>
            </w:r>
          </w:p>
        </w:tc>
      </w:tr>
      <w:tr>
        <w:tblPrEx>
          <w:tblCellMar>
            <w:top w:w="0" w:type="dxa"/>
            <w:left w:w="108" w:type="dxa"/>
            <w:bottom w:w="0" w:type="dxa"/>
            <w:right w:w="108" w:type="dxa"/>
          </w:tblCellMar>
        </w:tblPrEx>
        <w:trPr>
          <w:trHeight w:val="20" w:hRule="atLeast"/>
        </w:trPr>
        <w:tc>
          <w:tcPr>
            <w:tcW w:w="338"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60" w:lineRule="exact"/>
              <w:jc w:val="center"/>
              <w:textAlignment w:val="center"/>
              <w:rPr>
                <w:rFonts w:cs="仿宋_GB2312" w:asciiTheme="minorEastAsia" w:hAnsiTheme="minorEastAsia" w:eastAsiaTheme="minorEastAsia"/>
                <w:sz w:val="21"/>
                <w:szCs w:val="21"/>
                <w:lang w:val="zh-CN" w:bidi="zh-CN"/>
              </w:rPr>
            </w:pPr>
            <w:r>
              <w:rPr>
                <w:rFonts w:hint="eastAsia" w:cs="仿宋_GB2312" w:asciiTheme="minorEastAsia" w:hAnsiTheme="minorEastAsia" w:eastAsiaTheme="minorEastAsia"/>
                <w:sz w:val="21"/>
                <w:szCs w:val="21"/>
                <w:lang w:bidi="ar"/>
              </w:rPr>
              <w:t>7</w:t>
            </w:r>
          </w:p>
        </w:tc>
        <w:tc>
          <w:tcPr>
            <w:tcW w:w="598" w:type="pct"/>
            <w:vMerge w:val="continue"/>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60" w:lineRule="exact"/>
              <w:jc w:val="center"/>
              <w:rPr>
                <w:rFonts w:cs="仿宋_GB2312" w:asciiTheme="minorEastAsia" w:hAnsiTheme="minorEastAsia" w:eastAsiaTheme="minorEastAsia"/>
                <w:sz w:val="21"/>
                <w:szCs w:val="21"/>
                <w:lang w:val="zh-CN" w:bidi="zh-CN"/>
              </w:rPr>
            </w:pPr>
          </w:p>
        </w:tc>
        <w:tc>
          <w:tcPr>
            <w:tcW w:w="684"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60" w:lineRule="exact"/>
              <w:jc w:val="center"/>
              <w:textAlignment w:val="center"/>
              <w:rPr>
                <w:rFonts w:cs="仿宋_GB2312" w:asciiTheme="minorEastAsia" w:hAnsiTheme="minorEastAsia" w:eastAsiaTheme="minorEastAsia"/>
                <w:sz w:val="21"/>
                <w:szCs w:val="21"/>
                <w:lang w:val="zh-CN" w:bidi="zh-CN"/>
              </w:rPr>
            </w:pPr>
            <w:r>
              <w:rPr>
                <w:rFonts w:hint="eastAsia" w:cs="仿宋_GB2312" w:asciiTheme="minorEastAsia" w:hAnsiTheme="minorEastAsia" w:eastAsiaTheme="minorEastAsia"/>
                <w:sz w:val="21"/>
                <w:szCs w:val="21"/>
                <w:lang w:bidi="ar"/>
              </w:rPr>
              <w:t>SY-K005</w:t>
            </w:r>
          </w:p>
        </w:tc>
        <w:tc>
          <w:tcPr>
            <w:tcW w:w="3381"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60" w:lineRule="exact"/>
              <w:textAlignment w:val="center"/>
              <w:rPr>
                <w:rFonts w:cs="仿宋_GB2312" w:asciiTheme="minorEastAsia" w:hAnsiTheme="minorEastAsia" w:eastAsiaTheme="minorEastAsia"/>
                <w:sz w:val="21"/>
                <w:szCs w:val="21"/>
                <w:lang w:val="zh-CN" w:bidi="zh-CN"/>
              </w:rPr>
            </w:pPr>
            <w:r>
              <w:rPr>
                <w:rFonts w:hint="eastAsia" w:cs="仿宋_GB2312" w:asciiTheme="minorEastAsia" w:hAnsiTheme="minorEastAsia" w:eastAsiaTheme="minorEastAsia"/>
                <w:sz w:val="21"/>
                <w:szCs w:val="21"/>
                <w:lang w:bidi="ar"/>
              </w:rPr>
              <w:t>未经批准擅自调高水库汛限水位；水库未经蓄水验收即投入使用</w:t>
            </w:r>
          </w:p>
        </w:tc>
      </w:tr>
      <w:tr>
        <w:tblPrEx>
          <w:tblCellMar>
            <w:top w:w="0" w:type="dxa"/>
            <w:left w:w="108" w:type="dxa"/>
            <w:bottom w:w="0" w:type="dxa"/>
            <w:right w:w="108" w:type="dxa"/>
          </w:tblCellMar>
        </w:tblPrEx>
        <w:trPr>
          <w:trHeight w:val="20" w:hRule="atLeast"/>
        </w:trPr>
        <w:tc>
          <w:tcPr>
            <w:tcW w:w="338"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60" w:lineRule="exact"/>
              <w:jc w:val="center"/>
              <w:textAlignment w:val="center"/>
              <w:rPr>
                <w:rFonts w:cs="仿宋_GB2312" w:asciiTheme="minorEastAsia" w:hAnsiTheme="minorEastAsia" w:eastAsiaTheme="minorEastAsia"/>
                <w:sz w:val="21"/>
                <w:szCs w:val="21"/>
                <w:lang w:val="zh-CN" w:bidi="zh-CN"/>
              </w:rPr>
            </w:pPr>
            <w:r>
              <w:rPr>
                <w:rFonts w:hint="eastAsia" w:cs="仿宋_GB2312" w:asciiTheme="minorEastAsia" w:hAnsiTheme="minorEastAsia" w:eastAsiaTheme="minorEastAsia"/>
                <w:sz w:val="21"/>
                <w:szCs w:val="21"/>
                <w:lang w:bidi="ar"/>
              </w:rPr>
              <w:t>8</w:t>
            </w:r>
          </w:p>
        </w:tc>
        <w:tc>
          <w:tcPr>
            <w:tcW w:w="598" w:type="pct"/>
            <w:vMerge w:val="restart"/>
            <w:tcBorders>
              <w:top w:val="single" w:color="000000" w:sz="4" w:space="0"/>
              <w:left w:val="single" w:color="000000" w:sz="4" w:space="0"/>
              <w:bottom w:val="nil"/>
              <w:right w:val="single" w:color="000000" w:sz="4" w:space="0"/>
            </w:tcBorders>
            <w:vAlign w:val="center"/>
          </w:tcPr>
          <w:p>
            <w:pPr>
              <w:adjustRightInd w:val="0"/>
              <w:snapToGrid w:val="0"/>
              <w:spacing w:line="260" w:lineRule="exact"/>
              <w:jc w:val="center"/>
              <w:textAlignment w:val="center"/>
              <w:rPr>
                <w:rFonts w:cs="仿宋_GB2312" w:asciiTheme="minorEastAsia" w:hAnsiTheme="minorEastAsia" w:eastAsiaTheme="minorEastAsia"/>
                <w:sz w:val="21"/>
                <w:szCs w:val="21"/>
                <w:lang w:bidi="ar"/>
              </w:rPr>
            </w:pPr>
            <w:r>
              <w:rPr>
                <w:rFonts w:hint="eastAsia" w:cs="仿宋_GB2312" w:asciiTheme="minorEastAsia" w:hAnsiTheme="minorEastAsia" w:eastAsiaTheme="minorEastAsia"/>
                <w:sz w:val="21"/>
                <w:szCs w:val="21"/>
                <w:lang w:bidi="ar"/>
              </w:rPr>
              <w:t>水电站</w:t>
            </w:r>
          </w:p>
          <w:p>
            <w:pPr>
              <w:adjustRightInd w:val="0"/>
              <w:snapToGrid w:val="0"/>
              <w:spacing w:line="260" w:lineRule="exact"/>
              <w:jc w:val="center"/>
              <w:textAlignment w:val="center"/>
              <w:rPr>
                <w:rFonts w:cs="仿宋_GB2312" w:asciiTheme="minorEastAsia" w:hAnsiTheme="minorEastAsia" w:eastAsiaTheme="minorEastAsia"/>
                <w:sz w:val="21"/>
                <w:szCs w:val="21"/>
                <w:lang w:val="zh-CN" w:bidi="zh-CN"/>
              </w:rPr>
            </w:pPr>
            <w:r>
              <w:rPr>
                <w:rFonts w:hint="eastAsia" w:cs="仿宋_GB2312" w:asciiTheme="minorEastAsia" w:hAnsiTheme="minorEastAsia" w:eastAsiaTheme="minorEastAsia"/>
                <w:sz w:val="21"/>
                <w:szCs w:val="21"/>
                <w:lang w:bidi="ar"/>
              </w:rPr>
              <w:t>工程</w:t>
            </w:r>
          </w:p>
        </w:tc>
        <w:tc>
          <w:tcPr>
            <w:tcW w:w="684"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60" w:lineRule="exact"/>
              <w:jc w:val="center"/>
              <w:textAlignment w:val="center"/>
              <w:rPr>
                <w:rFonts w:cs="仿宋_GB2312" w:asciiTheme="minorEastAsia" w:hAnsiTheme="minorEastAsia" w:eastAsiaTheme="minorEastAsia"/>
                <w:sz w:val="21"/>
                <w:szCs w:val="21"/>
                <w:lang w:val="zh-CN" w:bidi="zh-CN"/>
              </w:rPr>
            </w:pPr>
            <w:r>
              <w:rPr>
                <w:rFonts w:hint="eastAsia" w:cs="仿宋_GB2312" w:asciiTheme="minorEastAsia" w:hAnsiTheme="minorEastAsia" w:eastAsiaTheme="minorEastAsia"/>
                <w:sz w:val="21"/>
                <w:szCs w:val="21"/>
                <w:lang w:bidi="ar"/>
              </w:rPr>
              <w:t>SY-D001</w:t>
            </w:r>
          </w:p>
        </w:tc>
        <w:tc>
          <w:tcPr>
            <w:tcW w:w="3381"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60" w:lineRule="exact"/>
              <w:textAlignment w:val="center"/>
              <w:rPr>
                <w:rFonts w:cs="仿宋_GB2312" w:asciiTheme="minorEastAsia" w:hAnsiTheme="minorEastAsia" w:eastAsiaTheme="minorEastAsia"/>
                <w:sz w:val="21"/>
                <w:szCs w:val="21"/>
                <w:lang w:val="zh-CN" w:bidi="zh-CN"/>
              </w:rPr>
            </w:pPr>
            <w:r>
              <w:rPr>
                <w:rFonts w:hint="eastAsia" w:cs="仿宋_GB2312" w:asciiTheme="minorEastAsia" w:hAnsiTheme="minorEastAsia" w:eastAsiaTheme="minorEastAsia"/>
                <w:sz w:val="21"/>
                <w:szCs w:val="21"/>
                <w:lang w:bidi="ar"/>
              </w:rPr>
              <w:t>小型水电站安全评价为C类，未采取有效管控措施</w:t>
            </w:r>
          </w:p>
        </w:tc>
      </w:tr>
      <w:tr>
        <w:tblPrEx>
          <w:tblCellMar>
            <w:top w:w="0" w:type="dxa"/>
            <w:left w:w="108" w:type="dxa"/>
            <w:bottom w:w="0" w:type="dxa"/>
            <w:right w:w="108" w:type="dxa"/>
          </w:tblCellMar>
        </w:tblPrEx>
        <w:trPr>
          <w:trHeight w:val="20" w:hRule="atLeast"/>
        </w:trPr>
        <w:tc>
          <w:tcPr>
            <w:tcW w:w="338" w:type="pct"/>
            <w:tcBorders>
              <w:top w:val="single" w:color="000000" w:sz="4" w:space="0"/>
              <w:left w:val="single" w:color="000000" w:sz="4" w:space="0"/>
              <w:bottom w:val="nil"/>
              <w:right w:val="single" w:color="000000" w:sz="4" w:space="0"/>
            </w:tcBorders>
            <w:vAlign w:val="center"/>
          </w:tcPr>
          <w:p>
            <w:pPr>
              <w:adjustRightInd w:val="0"/>
              <w:snapToGrid w:val="0"/>
              <w:spacing w:line="260" w:lineRule="exact"/>
              <w:jc w:val="center"/>
              <w:textAlignment w:val="center"/>
              <w:rPr>
                <w:rFonts w:cs="仿宋_GB2312" w:asciiTheme="minorEastAsia" w:hAnsiTheme="minorEastAsia" w:eastAsiaTheme="minorEastAsia"/>
                <w:sz w:val="21"/>
                <w:szCs w:val="21"/>
                <w:lang w:val="zh-CN" w:bidi="zh-CN"/>
              </w:rPr>
            </w:pPr>
            <w:r>
              <w:rPr>
                <w:rFonts w:hint="eastAsia" w:cs="仿宋_GB2312" w:asciiTheme="minorEastAsia" w:hAnsiTheme="minorEastAsia" w:eastAsiaTheme="minorEastAsia"/>
                <w:sz w:val="21"/>
                <w:szCs w:val="21"/>
                <w:lang w:bidi="ar"/>
              </w:rPr>
              <w:t>9</w:t>
            </w:r>
          </w:p>
        </w:tc>
        <w:tc>
          <w:tcPr>
            <w:tcW w:w="598" w:type="pct"/>
            <w:vMerge w:val="continue"/>
            <w:tcBorders>
              <w:top w:val="single" w:color="000000" w:sz="4" w:space="0"/>
              <w:left w:val="single" w:color="000000" w:sz="4" w:space="0"/>
              <w:bottom w:val="nil"/>
              <w:right w:val="single" w:color="000000" w:sz="4" w:space="0"/>
            </w:tcBorders>
            <w:vAlign w:val="center"/>
          </w:tcPr>
          <w:p>
            <w:pPr>
              <w:adjustRightInd w:val="0"/>
              <w:snapToGrid w:val="0"/>
              <w:spacing w:line="260" w:lineRule="exact"/>
              <w:jc w:val="center"/>
              <w:rPr>
                <w:rFonts w:cs="仿宋_GB2312" w:asciiTheme="minorEastAsia" w:hAnsiTheme="minorEastAsia" w:eastAsiaTheme="minorEastAsia"/>
                <w:sz w:val="21"/>
                <w:szCs w:val="21"/>
                <w:lang w:val="zh-CN" w:bidi="zh-CN"/>
              </w:rPr>
            </w:pPr>
          </w:p>
        </w:tc>
        <w:tc>
          <w:tcPr>
            <w:tcW w:w="684"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60" w:lineRule="exact"/>
              <w:jc w:val="center"/>
              <w:textAlignment w:val="center"/>
              <w:rPr>
                <w:rFonts w:cs="仿宋_GB2312" w:asciiTheme="minorEastAsia" w:hAnsiTheme="minorEastAsia" w:eastAsiaTheme="minorEastAsia"/>
                <w:sz w:val="21"/>
                <w:szCs w:val="21"/>
                <w:lang w:val="zh-CN" w:bidi="zh-CN"/>
              </w:rPr>
            </w:pPr>
            <w:r>
              <w:rPr>
                <w:rFonts w:hint="eastAsia" w:cs="仿宋_GB2312" w:asciiTheme="minorEastAsia" w:hAnsiTheme="minorEastAsia" w:eastAsiaTheme="minorEastAsia"/>
                <w:sz w:val="21"/>
                <w:szCs w:val="21"/>
                <w:lang w:bidi="ar"/>
              </w:rPr>
              <w:t>SY-D002</w:t>
            </w:r>
          </w:p>
        </w:tc>
        <w:tc>
          <w:tcPr>
            <w:tcW w:w="3381" w:type="pct"/>
            <w:tcBorders>
              <w:top w:val="single" w:color="000000" w:sz="4" w:space="0"/>
              <w:left w:val="single" w:color="000000" w:sz="4" w:space="0"/>
              <w:bottom w:val="nil"/>
              <w:right w:val="single" w:color="000000" w:sz="4" w:space="0"/>
            </w:tcBorders>
            <w:vAlign w:val="center"/>
          </w:tcPr>
          <w:p>
            <w:pPr>
              <w:adjustRightInd w:val="0"/>
              <w:snapToGrid w:val="0"/>
              <w:spacing w:line="260" w:lineRule="exact"/>
              <w:textAlignment w:val="center"/>
              <w:rPr>
                <w:rFonts w:cs="仿宋_GB2312" w:asciiTheme="minorEastAsia" w:hAnsiTheme="minorEastAsia" w:eastAsiaTheme="minorEastAsia"/>
                <w:sz w:val="21"/>
                <w:szCs w:val="21"/>
                <w:lang w:val="zh-CN" w:bidi="zh-CN"/>
              </w:rPr>
            </w:pPr>
            <w:r>
              <w:rPr>
                <w:rFonts w:hint="eastAsia" w:cs="仿宋_GB2312" w:asciiTheme="minorEastAsia" w:hAnsiTheme="minorEastAsia" w:eastAsiaTheme="minorEastAsia"/>
                <w:sz w:val="21"/>
                <w:szCs w:val="21"/>
                <w:lang w:bidi="ar"/>
              </w:rPr>
              <w:t>主要发供电设备异常运行已达到规程标准的紧急停运条件而未停止运行；可能出现六氟化硫泄漏、聚集的场所，未设置监测报警及通风装置；有限空间作业未经审批或未开展有限空间气体检测</w:t>
            </w:r>
          </w:p>
        </w:tc>
      </w:tr>
      <w:tr>
        <w:tblPrEx>
          <w:tblCellMar>
            <w:top w:w="0" w:type="dxa"/>
            <w:left w:w="108" w:type="dxa"/>
            <w:bottom w:w="0" w:type="dxa"/>
            <w:right w:w="108" w:type="dxa"/>
          </w:tblCellMar>
        </w:tblPrEx>
        <w:trPr>
          <w:trHeight w:val="20" w:hRule="atLeast"/>
        </w:trPr>
        <w:tc>
          <w:tcPr>
            <w:tcW w:w="338"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60" w:lineRule="exact"/>
              <w:jc w:val="center"/>
              <w:textAlignment w:val="center"/>
              <w:rPr>
                <w:rFonts w:cs="仿宋_GB2312" w:asciiTheme="minorEastAsia" w:hAnsiTheme="minorEastAsia" w:eastAsiaTheme="minorEastAsia"/>
                <w:sz w:val="21"/>
                <w:szCs w:val="21"/>
                <w:lang w:val="zh-CN" w:bidi="zh-CN"/>
              </w:rPr>
            </w:pPr>
            <w:r>
              <w:rPr>
                <w:rFonts w:hint="eastAsia" w:cs="仿宋_GB2312" w:asciiTheme="minorEastAsia" w:hAnsiTheme="minorEastAsia" w:eastAsiaTheme="minorEastAsia"/>
                <w:sz w:val="21"/>
                <w:szCs w:val="21"/>
                <w:lang w:bidi="ar"/>
              </w:rPr>
              <w:t>10</w:t>
            </w:r>
          </w:p>
        </w:tc>
        <w:tc>
          <w:tcPr>
            <w:tcW w:w="598" w:type="pct"/>
            <w:tcBorders>
              <w:top w:val="single" w:color="000000" w:sz="4" w:space="0"/>
              <w:left w:val="single" w:color="000000" w:sz="4" w:space="0"/>
              <w:bottom w:val="nil"/>
              <w:right w:val="single" w:color="000000" w:sz="4" w:space="0"/>
            </w:tcBorders>
            <w:vAlign w:val="center"/>
          </w:tcPr>
          <w:p>
            <w:pPr>
              <w:adjustRightInd w:val="0"/>
              <w:snapToGrid w:val="0"/>
              <w:spacing w:line="260" w:lineRule="exact"/>
              <w:jc w:val="center"/>
              <w:textAlignment w:val="center"/>
              <w:rPr>
                <w:rFonts w:cs="仿宋_GB2312" w:asciiTheme="minorEastAsia" w:hAnsiTheme="minorEastAsia" w:eastAsiaTheme="minorEastAsia"/>
                <w:sz w:val="21"/>
                <w:szCs w:val="21"/>
                <w:lang w:val="zh-CN" w:bidi="zh-CN"/>
              </w:rPr>
            </w:pPr>
            <w:r>
              <w:rPr>
                <w:rFonts w:hint="eastAsia" w:cs="仿宋_GB2312" w:asciiTheme="minorEastAsia" w:hAnsiTheme="minorEastAsia" w:eastAsiaTheme="minorEastAsia"/>
                <w:sz w:val="21"/>
                <w:szCs w:val="21"/>
                <w:lang w:bidi="ar"/>
              </w:rPr>
              <w:t>泵站</w:t>
            </w:r>
          </w:p>
        </w:tc>
        <w:tc>
          <w:tcPr>
            <w:tcW w:w="684"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60" w:lineRule="exact"/>
              <w:jc w:val="center"/>
              <w:textAlignment w:val="center"/>
              <w:rPr>
                <w:rFonts w:cs="仿宋_GB2312" w:asciiTheme="minorEastAsia" w:hAnsiTheme="minorEastAsia" w:eastAsiaTheme="minorEastAsia"/>
                <w:sz w:val="21"/>
                <w:szCs w:val="21"/>
                <w:lang w:val="zh-CN" w:bidi="zh-CN"/>
              </w:rPr>
            </w:pPr>
            <w:r>
              <w:rPr>
                <w:rFonts w:hint="eastAsia" w:cs="仿宋_GB2312" w:asciiTheme="minorEastAsia" w:hAnsiTheme="minorEastAsia" w:eastAsiaTheme="minorEastAsia"/>
                <w:sz w:val="21"/>
                <w:szCs w:val="21"/>
                <w:lang w:bidi="ar"/>
              </w:rPr>
              <w:t>SY-B001</w:t>
            </w:r>
          </w:p>
        </w:tc>
        <w:tc>
          <w:tcPr>
            <w:tcW w:w="3381"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60" w:lineRule="exact"/>
              <w:textAlignment w:val="center"/>
              <w:rPr>
                <w:rFonts w:cs="仿宋_GB2312" w:asciiTheme="minorEastAsia" w:hAnsiTheme="minorEastAsia" w:eastAsiaTheme="minorEastAsia"/>
                <w:sz w:val="21"/>
                <w:szCs w:val="21"/>
                <w:lang w:val="zh-CN" w:bidi="zh-CN"/>
              </w:rPr>
            </w:pPr>
            <w:r>
              <w:rPr>
                <w:rFonts w:hint="eastAsia" w:cs="仿宋_GB2312" w:asciiTheme="minorEastAsia" w:hAnsiTheme="minorEastAsia" w:eastAsiaTheme="minorEastAsia"/>
                <w:sz w:val="21"/>
                <w:szCs w:val="21"/>
                <w:lang w:bidi="ar"/>
              </w:rPr>
              <w:t>泵站综合评定为三类、四类，未采取有效管控措施</w:t>
            </w:r>
          </w:p>
        </w:tc>
      </w:tr>
      <w:tr>
        <w:tblPrEx>
          <w:tblCellMar>
            <w:top w:w="0" w:type="dxa"/>
            <w:left w:w="108" w:type="dxa"/>
            <w:bottom w:w="0" w:type="dxa"/>
            <w:right w:w="108" w:type="dxa"/>
          </w:tblCellMar>
        </w:tblPrEx>
        <w:trPr>
          <w:trHeight w:val="20" w:hRule="atLeast"/>
        </w:trPr>
        <w:tc>
          <w:tcPr>
            <w:tcW w:w="338"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60" w:lineRule="exact"/>
              <w:jc w:val="center"/>
              <w:textAlignment w:val="center"/>
              <w:rPr>
                <w:rFonts w:cs="仿宋_GB2312" w:asciiTheme="minorEastAsia" w:hAnsiTheme="minorEastAsia" w:eastAsiaTheme="minorEastAsia"/>
                <w:sz w:val="21"/>
                <w:szCs w:val="21"/>
                <w:lang w:val="zh-CN" w:bidi="zh-CN"/>
              </w:rPr>
            </w:pPr>
            <w:r>
              <w:rPr>
                <w:rFonts w:hint="eastAsia" w:cs="仿宋_GB2312" w:asciiTheme="minorEastAsia" w:hAnsiTheme="minorEastAsia" w:eastAsiaTheme="minorEastAsia"/>
                <w:sz w:val="21"/>
                <w:szCs w:val="21"/>
                <w:lang w:bidi="ar"/>
              </w:rPr>
              <w:t>11</w:t>
            </w:r>
          </w:p>
        </w:tc>
        <w:tc>
          <w:tcPr>
            <w:tcW w:w="598" w:type="pct"/>
            <w:vMerge w:val="restar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60" w:lineRule="exact"/>
              <w:jc w:val="center"/>
              <w:textAlignment w:val="center"/>
              <w:rPr>
                <w:rFonts w:cs="仿宋_GB2312" w:asciiTheme="minorEastAsia" w:hAnsiTheme="minorEastAsia" w:eastAsiaTheme="minorEastAsia"/>
                <w:sz w:val="21"/>
                <w:szCs w:val="21"/>
                <w:lang w:val="zh-CN" w:bidi="zh-CN"/>
              </w:rPr>
            </w:pPr>
            <w:r>
              <w:rPr>
                <w:rFonts w:hint="eastAsia" w:cs="仿宋_GB2312" w:asciiTheme="minorEastAsia" w:hAnsiTheme="minorEastAsia" w:eastAsiaTheme="minorEastAsia"/>
                <w:sz w:val="21"/>
                <w:szCs w:val="21"/>
                <w:lang w:bidi="ar"/>
              </w:rPr>
              <w:t>水闸工程</w:t>
            </w:r>
          </w:p>
        </w:tc>
        <w:tc>
          <w:tcPr>
            <w:tcW w:w="684"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60" w:lineRule="exact"/>
              <w:jc w:val="center"/>
              <w:textAlignment w:val="center"/>
              <w:rPr>
                <w:rFonts w:cs="仿宋_GB2312" w:asciiTheme="minorEastAsia" w:hAnsiTheme="minorEastAsia" w:eastAsiaTheme="minorEastAsia"/>
                <w:sz w:val="21"/>
                <w:szCs w:val="21"/>
                <w:lang w:val="zh-CN" w:bidi="zh-CN"/>
              </w:rPr>
            </w:pPr>
            <w:r>
              <w:rPr>
                <w:rFonts w:hint="eastAsia" w:cs="仿宋_GB2312" w:asciiTheme="minorEastAsia" w:hAnsiTheme="minorEastAsia" w:eastAsiaTheme="minorEastAsia"/>
                <w:sz w:val="21"/>
                <w:szCs w:val="21"/>
                <w:lang w:bidi="ar"/>
              </w:rPr>
              <w:t>SY-Z001</w:t>
            </w:r>
          </w:p>
        </w:tc>
        <w:tc>
          <w:tcPr>
            <w:tcW w:w="3381"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60" w:lineRule="exact"/>
              <w:textAlignment w:val="center"/>
              <w:rPr>
                <w:rFonts w:cs="仿宋_GB2312" w:asciiTheme="minorEastAsia" w:hAnsiTheme="minorEastAsia" w:eastAsiaTheme="minorEastAsia"/>
                <w:sz w:val="21"/>
                <w:szCs w:val="21"/>
                <w:lang w:val="zh-CN" w:bidi="zh-CN"/>
              </w:rPr>
            </w:pPr>
            <w:r>
              <w:rPr>
                <w:rFonts w:hint="eastAsia" w:cs="仿宋_GB2312" w:asciiTheme="minorEastAsia" w:hAnsiTheme="minorEastAsia" w:eastAsiaTheme="minorEastAsia"/>
                <w:sz w:val="21"/>
                <w:szCs w:val="21"/>
                <w:lang w:bidi="ar"/>
              </w:rPr>
              <w:t>水闸安全鉴定为三类、四类闸，未采取有效管控措施</w:t>
            </w:r>
          </w:p>
        </w:tc>
      </w:tr>
      <w:tr>
        <w:tblPrEx>
          <w:tblCellMar>
            <w:top w:w="0" w:type="dxa"/>
            <w:left w:w="108" w:type="dxa"/>
            <w:bottom w:w="0" w:type="dxa"/>
            <w:right w:w="108" w:type="dxa"/>
          </w:tblCellMar>
        </w:tblPrEx>
        <w:trPr>
          <w:trHeight w:val="20" w:hRule="atLeast"/>
        </w:trPr>
        <w:tc>
          <w:tcPr>
            <w:tcW w:w="338"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60" w:lineRule="exact"/>
              <w:jc w:val="center"/>
              <w:textAlignment w:val="center"/>
              <w:rPr>
                <w:rFonts w:cs="仿宋_GB2312" w:asciiTheme="minorEastAsia" w:hAnsiTheme="minorEastAsia" w:eastAsiaTheme="minorEastAsia"/>
                <w:sz w:val="21"/>
                <w:szCs w:val="21"/>
                <w:lang w:val="zh-CN" w:bidi="zh-CN"/>
              </w:rPr>
            </w:pPr>
            <w:r>
              <w:rPr>
                <w:rFonts w:hint="eastAsia" w:cs="仿宋_GB2312" w:asciiTheme="minorEastAsia" w:hAnsiTheme="minorEastAsia" w:eastAsiaTheme="minorEastAsia"/>
                <w:sz w:val="21"/>
                <w:szCs w:val="21"/>
                <w:lang w:bidi="ar"/>
              </w:rPr>
              <w:t>12</w:t>
            </w:r>
          </w:p>
        </w:tc>
        <w:tc>
          <w:tcPr>
            <w:tcW w:w="598" w:type="pct"/>
            <w:vMerge w:val="continue"/>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60" w:lineRule="exact"/>
              <w:jc w:val="center"/>
              <w:rPr>
                <w:rFonts w:cs="仿宋_GB2312" w:asciiTheme="minorEastAsia" w:hAnsiTheme="minorEastAsia" w:eastAsiaTheme="minorEastAsia"/>
                <w:sz w:val="21"/>
                <w:szCs w:val="21"/>
                <w:lang w:val="zh-CN" w:bidi="zh-CN"/>
              </w:rPr>
            </w:pPr>
          </w:p>
        </w:tc>
        <w:tc>
          <w:tcPr>
            <w:tcW w:w="684"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60" w:lineRule="exact"/>
              <w:jc w:val="center"/>
              <w:textAlignment w:val="center"/>
              <w:rPr>
                <w:rFonts w:cs="仿宋_GB2312" w:asciiTheme="minorEastAsia" w:hAnsiTheme="minorEastAsia" w:eastAsiaTheme="minorEastAsia"/>
                <w:sz w:val="21"/>
                <w:szCs w:val="21"/>
                <w:lang w:val="zh-CN" w:bidi="zh-CN"/>
              </w:rPr>
            </w:pPr>
            <w:r>
              <w:rPr>
                <w:rFonts w:hint="eastAsia" w:cs="仿宋_GB2312" w:asciiTheme="minorEastAsia" w:hAnsiTheme="minorEastAsia" w:eastAsiaTheme="minorEastAsia"/>
                <w:sz w:val="21"/>
                <w:szCs w:val="21"/>
                <w:lang w:bidi="ar"/>
              </w:rPr>
              <w:t>SY-Z002</w:t>
            </w:r>
          </w:p>
        </w:tc>
        <w:tc>
          <w:tcPr>
            <w:tcW w:w="3381"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60" w:lineRule="exact"/>
              <w:textAlignment w:val="center"/>
              <w:rPr>
                <w:rFonts w:cs="仿宋_GB2312" w:asciiTheme="minorEastAsia" w:hAnsiTheme="minorEastAsia" w:eastAsiaTheme="minorEastAsia"/>
                <w:sz w:val="21"/>
                <w:szCs w:val="21"/>
                <w:lang w:val="zh-CN" w:bidi="zh-CN"/>
              </w:rPr>
            </w:pPr>
            <w:r>
              <w:rPr>
                <w:rFonts w:hint="eastAsia" w:cs="仿宋_GB2312" w:asciiTheme="minorEastAsia" w:hAnsiTheme="minorEastAsia" w:eastAsiaTheme="minorEastAsia"/>
                <w:sz w:val="21"/>
                <w:szCs w:val="21"/>
                <w:lang w:bidi="ar"/>
              </w:rPr>
              <w:t>水闸的主体结构不均匀沉降、垂直位移、水平位移超出允许值，可能导致整体失稳；止水系统破坏</w:t>
            </w:r>
          </w:p>
        </w:tc>
      </w:tr>
      <w:tr>
        <w:tblPrEx>
          <w:tblCellMar>
            <w:top w:w="0" w:type="dxa"/>
            <w:left w:w="108" w:type="dxa"/>
            <w:bottom w:w="0" w:type="dxa"/>
            <w:right w:w="108" w:type="dxa"/>
          </w:tblCellMar>
        </w:tblPrEx>
        <w:trPr>
          <w:trHeight w:val="20" w:hRule="atLeast"/>
        </w:trPr>
        <w:tc>
          <w:tcPr>
            <w:tcW w:w="338"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60" w:lineRule="exact"/>
              <w:jc w:val="center"/>
              <w:textAlignment w:val="center"/>
              <w:rPr>
                <w:rFonts w:cs="仿宋_GB2312" w:asciiTheme="minorEastAsia" w:hAnsiTheme="minorEastAsia" w:eastAsiaTheme="minorEastAsia"/>
                <w:sz w:val="21"/>
                <w:szCs w:val="21"/>
                <w:lang w:val="zh-CN" w:bidi="zh-CN"/>
              </w:rPr>
            </w:pPr>
            <w:r>
              <w:rPr>
                <w:rFonts w:hint="eastAsia" w:cs="仿宋_GB2312" w:asciiTheme="minorEastAsia" w:hAnsiTheme="minorEastAsia" w:eastAsiaTheme="minorEastAsia"/>
                <w:sz w:val="21"/>
                <w:szCs w:val="21"/>
                <w:lang w:bidi="ar"/>
              </w:rPr>
              <w:t>13</w:t>
            </w:r>
          </w:p>
        </w:tc>
        <w:tc>
          <w:tcPr>
            <w:tcW w:w="598" w:type="pct"/>
            <w:vMerge w:val="continue"/>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60" w:lineRule="exact"/>
              <w:jc w:val="center"/>
              <w:rPr>
                <w:rFonts w:cs="仿宋_GB2312" w:asciiTheme="minorEastAsia" w:hAnsiTheme="minorEastAsia" w:eastAsiaTheme="minorEastAsia"/>
                <w:sz w:val="21"/>
                <w:szCs w:val="21"/>
                <w:lang w:val="zh-CN" w:bidi="zh-CN"/>
              </w:rPr>
            </w:pPr>
          </w:p>
        </w:tc>
        <w:tc>
          <w:tcPr>
            <w:tcW w:w="684"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60" w:lineRule="exact"/>
              <w:jc w:val="center"/>
              <w:textAlignment w:val="center"/>
              <w:rPr>
                <w:rFonts w:cs="仿宋_GB2312" w:asciiTheme="minorEastAsia" w:hAnsiTheme="minorEastAsia" w:eastAsiaTheme="minorEastAsia"/>
                <w:sz w:val="21"/>
                <w:szCs w:val="21"/>
                <w:lang w:val="zh-CN" w:bidi="zh-CN"/>
              </w:rPr>
            </w:pPr>
            <w:r>
              <w:rPr>
                <w:rFonts w:hint="eastAsia" w:cs="仿宋_GB2312" w:asciiTheme="minorEastAsia" w:hAnsiTheme="minorEastAsia" w:eastAsiaTheme="minorEastAsia"/>
                <w:sz w:val="21"/>
                <w:szCs w:val="21"/>
                <w:lang w:bidi="ar"/>
              </w:rPr>
              <w:t>SY-Z003</w:t>
            </w:r>
          </w:p>
        </w:tc>
        <w:tc>
          <w:tcPr>
            <w:tcW w:w="3381"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60" w:lineRule="exact"/>
              <w:textAlignment w:val="center"/>
              <w:rPr>
                <w:rFonts w:cs="仿宋_GB2312" w:asciiTheme="minorEastAsia" w:hAnsiTheme="minorEastAsia" w:eastAsiaTheme="minorEastAsia"/>
                <w:sz w:val="21"/>
                <w:szCs w:val="21"/>
                <w:lang w:val="zh-CN" w:bidi="zh-CN"/>
              </w:rPr>
            </w:pPr>
            <w:r>
              <w:rPr>
                <w:rFonts w:hint="eastAsia" w:cs="仿宋_GB2312" w:asciiTheme="minorEastAsia" w:hAnsiTheme="minorEastAsia" w:eastAsiaTheme="minorEastAsia"/>
                <w:sz w:val="21"/>
                <w:szCs w:val="21"/>
                <w:lang w:bidi="ar"/>
              </w:rPr>
              <w:t>水闸监测发现铺盖、底板、上下游连接段底部淘空存在失稳的可能</w:t>
            </w:r>
          </w:p>
        </w:tc>
      </w:tr>
      <w:tr>
        <w:tblPrEx>
          <w:tblCellMar>
            <w:top w:w="0" w:type="dxa"/>
            <w:left w:w="108" w:type="dxa"/>
            <w:bottom w:w="0" w:type="dxa"/>
            <w:right w:w="108" w:type="dxa"/>
          </w:tblCellMar>
        </w:tblPrEx>
        <w:trPr>
          <w:trHeight w:val="20" w:hRule="atLeast"/>
        </w:trPr>
        <w:tc>
          <w:tcPr>
            <w:tcW w:w="338"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60" w:lineRule="exact"/>
              <w:jc w:val="center"/>
              <w:textAlignment w:val="center"/>
              <w:rPr>
                <w:rFonts w:cs="仿宋_GB2312" w:asciiTheme="minorEastAsia" w:hAnsiTheme="minorEastAsia" w:eastAsiaTheme="minorEastAsia"/>
                <w:sz w:val="21"/>
                <w:szCs w:val="21"/>
                <w:lang w:val="zh-CN" w:bidi="zh-CN"/>
              </w:rPr>
            </w:pPr>
            <w:r>
              <w:rPr>
                <w:rFonts w:hint="eastAsia" w:cs="仿宋_GB2312" w:asciiTheme="minorEastAsia" w:hAnsiTheme="minorEastAsia" w:eastAsiaTheme="minorEastAsia"/>
                <w:sz w:val="21"/>
                <w:szCs w:val="21"/>
                <w:lang w:bidi="ar"/>
              </w:rPr>
              <w:t>14</w:t>
            </w:r>
          </w:p>
        </w:tc>
        <w:tc>
          <w:tcPr>
            <w:tcW w:w="598" w:type="pct"/>
            <w:vMerge w:val="restar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60" w:lineRule="exact"/>
              <w:jc w:val="center"/>
              <w:textAlignment w:val="center"/>
              <w:rPr>
                <w:rFonts w:cs="仿宋_GB2312" w:asciiTheme="minorEastAsia" w:hAnsiTheme="minorEastAsia" w:eastAsiaTheme="minorEastAsia"/>
                <w:sz w:val="21"/>
                <w:szCs w:val="21"/>
                <w:lang w:val="zh-CN" w:bidi="zh-CN"/>
              </w:rPr>
            </w:pPr>
            <w:r>
              <w:rPr>
                <w:rFonts w:hint="eastAsia" w:cs="仿宋_GB2312" w:asciiTheme="minorEastAsia" w:hAnsiTheme="minorEastAsia" w:eastAsiaTheme="minorEastAsia"/>
                <w:sz w:val="21"/>
                <w:szCs w:val="21"/>
                <w:lang w:bidi="ar"/>
              </w:rPr>
              <w:t>堤防工程</w:t>
            </w:r>
          </w:p>
        </w:tc>
        <w:tc>
          <w:tcPr>
            <w:tcW w:w="684"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60" w:lineRule="exact"/>
              <w:jc w:val="center"/>
              <w:textAlignment w:val="center"/>
              <w:rPr>
                <w:rFonts w:cs="仿宋_GB2312" w:asciiTheme="minorEastAsia" w:hAnsiTheme="minorEastAsia" w:eastAsiaTheme="minorEastAsia"/>
                <w:sz w:val="21"/>
                <w:szCs w:val="21"/>
                <w:lang w:val="zh-CN" w:bidi="zh-CN"/>
              </w:rPr>
            </w:pPr>
            <w:r>
              <w:rPr>
                <w:rFonts w:hint="eastAsia" w:cs="仿宋_GB2312" w:asciiTheme="minorEastAsia" w:hAnsiTheme="minorEastAsia" w:eastAsiaTheme="minorEastAsia"/>
                <w:sz w:val="21"/>
                <w:szCs w:val="21"/>
                <w:lang w:bidi="ar"/>
              </w:rPr>
              <w:t>SY-F001</w:t>
            </w:r>
          </w:p>
        </w:tc>
        <w:tc>
          <w:tcPr>
            <w:tcW w:w="3381"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60" w:lineRule="exact"/>
              <w:textAlignment w:val="center"/>
              <w:rPr>
                <w:rFonts w:cs="仿宋_GB2312" w:asciiTheme="minorEastAsia" w:hAnsiTheme="minorEastAsia" w:eastAsiaTheme="minorEastAsia"/>
                <w:sz w:val="21"/>
                <w:szCs w:val="21"/>
                <w:lang w:val="zh-CN" w:bidi="zh-CN"/>
              </w:rPr>
            </w:pPr>
            <w:r>
              <w:rPr>
                <w:rFonts w:hint="eastAsia" w:cs="仿宋_GB2312" w:asciiTheme="minorEastAsia" w:hAnsiTheme="minorEastAsia" w:eastAsiaTheme="minorEastAsia"/>
                <w:sz w:val="21"/>
                <w:szCs w:val="21"/>
                <w:lang w:bidi="ar"/>
              </w:rPr>
              <w:t>堤防安全综合评价为三类，未采取有效管控措施</w:t>
            </w:r>
          </w:p>
        </w:tc>
      </w:tr>
      <w:tr>
        <w:tblPrEx>
          <w:tblCellMar>
            <w:top w:w="0" w:type="dxa"/>
            <w:left w:w="108" w:type="dxa"/>
            <w:bottom w:w="0" w:type="dxa"/>
            <w:right w:w="108" w:type="dxa"/>
          </w:tblCellMar>
        </w:tblPrEx>
        <w:trPr>
          <w:trHeight w:val="20" w:hRule="atLeast"/>
        </w:trPr>
        <w:tc>
          <w:tcPr>
            <w:tcW w:w="338"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60" w:lineRule="exact"/>
              <w:jc w:val="center"/>
              <w:textAlignment w:val="center"/>
              <w:rPr>
                <w:rFonts w:cs="仿宋_GB2312" w:asciiTheme="minorEastAsia" w:hAnsiTheme="minorEastAsia" w:eastAsiaTheme="minorEastAsia"/>
                <w:sz w:val="21"/>
                <w:szCs w:val="21"/>
                <w:lang w:val="zh-CN" w:bidi="zh-CN"/>
              </w:rPr>
            </w:pPr>
            <w:r>
              <w:rPr>
                <w:rFonts w:hint="eastAsia" w:cs="仿宋_GB2312" w:asciiTheme="minorEastAsia" w:hAnsiTheme="minorEastAsia" w:eastAsiaTheme="minorEastAsia"/>
                <w:sz w:val="21"/>
                <w:szCs w:val="21"/>
                <w:lang w:bidi="ar"/>
              </w:rPr>
              <w:t>15</w:t>
            </w:r>
          </w:p>
        </w:tc>
        <w:tc>
          <w:tcPr>
            <w:tcW w:w="598" w:type="pct"/>
            <w:vMerge w:val="continue"/>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60" w:lineRule="exact"/>
              <w:jc w:val="center"/>
              <w:rPr>
                <w:rFonts w:cs="仿宋_GB2312" w:asciiTheme="minorEastAsia" w:hAnsiTheme="minorEastAsia" w:eastAsiaTheme="minorEastAsia"/>
                <w:sz w:val="21"/>
                <w:szCs w:val="21"/>
                <w:lang w:val="zh-CN" w:bidi="zh-CN"/>
              </w:rPr>
            </w:pPr>
          </w:p>
        </w:tc>
        <w:tc>
          <w:tcPr>
            <w:tcW w:w="684"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60" w:lineRule="exact"/>
              <w:jc w:val="center"/>
              <w:textAlignment w:val="center"/>
              <w:rPr>
                <w:rFonts w:cs="仿宋_GB2312" w:asciiTheme="minorEastAsia" w:hAnsiTheme="minorEastAsia" w:eastAsiaTheme="minorEastAsia"/>
                <w:sz w:val="21"/>
                <w:szCs w:val="21"/>
                <w:lang w:val="zh-CN" w:bidi="zh-CN"/>
              </w:rPr>
            </w:pPr>
            <w:r>
              <w:rPr>
                <w:rFonts w:hint="eastAsia" w:cs="仿宋_GB2312" w:asciiTheme="minorEastAsia" w:hAnsiTheme="minorEastAsia" w:eastAsiaTheme="minorEastAsia"/>
                <w:sz w:val="21"/>
                <w:szCs w:val="21"/>
                <w:lang w:bidi="ar"/>
              </w:rPr>
              <w:t>SY-F002</w:t>
            </w:r>
          </w:p>
        </w:tc>
        <w:tc>
          <w:tcPr>
            <w:tcW w:w="3381"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60" w:lineRule="exact"/>
              <w:textAlignment w:val="center"/>
              <w:rPr>
                <w:rFonts w:cs="仿宋_GB2312" w:asciiTheme="minorEastAsia" w:hAnsiTheme="minorEastAsia" w:eastAsiaTheme="minorEastAsia"/>
                <w:sz w:val="21"/>
                <w:szCs w:val="21"/>
                <w:lang w:val="zh-CN" w:bidi="zh-CN"/>
              </w:rPr>
            </w:pPr>
            <w:r>
              <w:rPr>
                <w:rFonts w:hint="eastAsia" w:cs="仿宋_GB2312" w:asciiTheme="minorEastAsia" w:hAnsiTheme="minorEastAsia" w:eastAsiaTheme="minorEastAsia"/>
                <w:sz w:val="21"/>
                <w:szCs w:val="21"/>
                <w:lang w:bidi="ar"/>
              </w:rPr>
              <w:t>堤防渗流坡降和覆盖层盖重不满足标准的要求，或工程已出现严重渗流异常现象</w:t>
            </w:r>
          </w:p>
        </w:tc>
      </w:tr>
      <w:tr>
        <w:tblPrEx>
          <w:tblCellMar>
            <w:top w:w="0" w:type="dxa"/>
            <w:left w:w="108" w:type="dxa"/>
            <w:bottom w:w="0" w:type="dxa"/>
            <w:right w:w="108" w:type="dxa"/>
          </w:tblCellMar>
        </w:tblPrEx>
        <w:trPr>
          <w:trHeight w:val="20" w:hRule="atLeast"/>
        </w:trPr>
        <w:tc>
          <w:tcPr>
            <w:tcW w:w="338"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60" w:lineRule="exact"/>
              <w:jc w:val="center"/>
              <w:textAlignment w:val="center"/>
              <w:rPr>
                <w:rFonts w:cs="仿宋_GB2312" w:asciiTheme="minorEastAsia" w:hAnsiTheme="minorEastAsia" w:eastAsiaTheme="minorEastAsia"/>
                <w:sz w:val="21"/>
                <w:szCs w:val="21"/>
                <w:lang w:val="zh-CN" w:bidi="zh-CN"/>
              </w:rPr>
            </w:pPr>
            <w:r>
              <w:rPr>
                <w:rFonts w:hint="eastAsia" w:cs="仿宋_GB2312" w:asciiTheme="minorEastAsia" w:hAnsiTheme="minorEastAsia" w:eastAsiaTheme="minorEastAsia"/>
                <w:sz w:val="21"/>
                <w:szCs w:val="21"/>
                <w:lang w:bidi="ar"/>
              </w:rPr>
              <w:t>16</w:t>
            </w:r>
          </w:p>
        </w:tc>
        <w:tc>
          <w:tcPr>
            <w:tcW w:w="598" w:type="pct"/>
            <w:vMerge w:val="continue"/>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60" w:lineRule="exact"/>
              <w:jc w:val="center"/>
              <w:rPr>
                <w:rFonts w:cs="仿宋_GB2312" w:asciiTheme="minorEastAsia" w:hAnsiTheme="minorEastAsia" w:eastAsiaTheme="minorEastAsia"/>
                <w:sz w:val="21"/>
                <w:szCs w:val="21"/>
                <w:lang w:val="zh-CN" w:bidi="zh-CN"/>
              </w:rPr>
            </w:pPr>
          </w:p>
        </w:tc>
        <w:tc>
          <w:tcPr>
            <w:tcW w:w="684"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60" w:lineRule="exact"/>
              <w:jc w:val="center"/>
              <w:textAlignment w:val="center"/>
              <w:rPr>
                <w:rFonts w:cs="仿宋_GB2312" w:asciiTheme="minorEastAsia" w:hAnsiTheme="minorEastAsia" w:eastAsiaTheme="minorEastAsia"/>
                <w:sz w:val="21"/>
                <w:szCs w:val="21"/>
                <w:lang w:val="zh-CN" w:bidi="zh-CN"/>
              </w:rPr>
            </w:pPr>
            <w:r>
              <w:rPr>
                <w:rFonts w:hint="eastAsia" w:cs="仿宋_GB2312" w:asciiTheme="minorEastAsia" w:hAnsiTheme="minorEastAsia" w:eastAsiaTheme="minorEastAsia"/>
                <w:sz w:val="21"/>
                <w:szCs w:val="21"/>
                <w:lang w:bidi="ar"/>
              </w:rPr>
              <w:t>SY-F003</w:t>
            </w:r>
          </w:p>
        </w:tc>
        <w:tc>
          <w:tcPr>
            <w:tcW w:w="3381"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60" w:lineRule="exact"/>
              <w:textAlignment w:val="center"/>
              <w:rPr>
                <w:rFonts w:cs="仿宋_GB2312" w:asciiTheme="minorEastAsia" w:hAnsiTheme="minorEastAsia" w:eastAsiaTheme="minorEastAsia"/>
                <w:sz w:val="21"/>
                <w:szCs w:val="21"/>
                <w:lang w:val="zh-CN" w:bidi="zh-CN"/>
              </w:rPr>
            </w:pPr>
            <w:r>
              <w:rPr>
                <w:rFonts w:hint="eastAsia" w:cs="仿宋_GB2312" w:asciiTheme="minorEastAsia" w:hAnsiTheme="minorEastAsia" w:eastAsiaTheme="minorEastAsia"/>
                <w:sz w:val="21"/>
                <w:szCs w:val="21"/>
                <w:lang w:bidi="ar"/>
              </w:rPr>
              <w:t>堤防及防护</w:t>
            </w:r>
            <w:r>
              <w:rPr>
                <w:rFonts w:cs="仿宋_GB2312" w:asciiTheme="minorEastAsia" w:hAnsiTheme="minorEastAsia" w:eastAsiaTheme="minorEastAsia"/>
                <w:sz w:val="21"/>
                <w:szCs w:val="21"/>
                <w:lang w:bidi="ar"/>
              </w:rPr>
              <w:t>结构稳定性不满足规范要求，或已发现危及堤防稳定的现象</w:t>
            </w:r>
          </w:p>
        </w:tc>
      </w:tr>
      <w:tr>
        <w:tblPrEx>
          <w:tblCellMar>
            <w:top w:w="0" w:type="dxa"/>
            <w:left w:w="108" w:type="dxa"/>
            <w:bottom w:w="0" w:type="dxa"/>
            <w:right w:w="108" w:type="dxa"/>
          </w:tblCellMar>
        </w:tblPrEx>
        <w:trPr>
          <w:trHeight w:val="20" w:hRule="atLeast"/>
        </w:trPr>
        <w:tc>
          <w:tcPr>
            <w:tcW w:w="338"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60" w:lineRule="exact"/>
              <w:jc w:val="center"/>
              <w:textAlignment w:val="center"/>
              <w:rPr>
                <w:rFonts w:cs="仿宋_GB2312" w:asciiTheme="minorEastAsia" w:hAnsiTheme="minorEastAsia" w:eastAsiaTheme="minorEastAsia"/>
                <w:sz w:val="21"/>
                <w:szCs w:val="21"/>
                <w:lang w:val="zh-CN" w:bidi="zh-CN"/>
              </w:rPr>
            </w:pPr>
            <w:r>
              <w:rPr>
                <w:rFonts w:hint="eastAsia" w:cs="仿宋_GB2312" w:asciiTheme="minorEastAsia" w:hAnsiTheme="minorEastAsia" w:eastAsiaTheme="minorEastAsia"/>
                <w:sz w:val="21"/>
                <w:szCs w:val="21"/>
                <w:lang w:bidi="ar"/>
              </w:rPr>
              <w:t>17</w:t>
            </w:r>
          </w:p>
        </w:tc>
        <w:tc>
          <w:tcPr>
            <w:tcW w:w="598" w:type="pct"/>
            <w:vMerge w:val="restar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60" w:lineRule="exact"/>
              <w:jc w:val="center"/>
              <w:textAlignment w:val="center"/>
              <w:rPr>
                <w:rFonts w:cs="仿宋_GB2312" w:asciiTheme="minorEastAsia" w:hAnsiTheme="minorEastAsia" w:eastAsiaTheme="minorEastAsia"/>
                <w:sz w:val="21"/>
                <w:szCs w:val="21"/>
                <w:lang w:val="zh-CN" w:bidi="zh-CN"/>
              </w:rPr>
            </w:pPr>
            <w:r>
              <w:rPr>
                <w:rFonts w:hint="eastAsia" w:cs="仿宋_GB2312" w:asciiTheme="minorEastAsia" w:hAnsiTheme="minorEastAsia" w:eastAsiaTheme="minorEastAsia"/>
                <w:sz w:val="21"/>
                <w:szCs w:val="21"/>
                <w:lang w:bidi="ar"/>
              </w:rPr>
              <w:t>引调水及灌区工程</w:t>
            </w:r>
          </w:p>
        </w:tc>
        <w:tc>
          <w:tcPr>
            <w:tcW w:w="684"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60" w:lineRule="exact"/>
              <w:jc w:val="center"/>
              <w:textAlignment w:val="center"/>
              <w:rPr>
                <w:rFonts w:cs="仿宋_GB2312" w:asciiTheme="minorEastAsia" w:hAnsiTheme="minorEastAsia" w:eastAsiaTheme="minorEastAsia"/>
                <w:sz w:val="21"/>
                <w:szCs w:val="21"/>
                <w:lang w:val="zh-CN" w:bidi="zh-CN"/>
              </w:rPr>
            </w:pPr>
            <w:r>
              <w:rPr>
                <w:rFonts w:hint="eastAsia" w:cs="仿宋_GB2312" w:asciiTheme="minorEastAsia" w:hAnsiTheme="minorEastAsia" w:eastAsiaTheme="minorEastAsia"/>
                <w:sz w:val="21"/>
                <w:szCs w:val="21"/>
                <w:lang w:bidi="ar"/>
              </w:rPr>
              <w:t>SY-YG001</w:t>
            </w:r>
          </w:p>
        </w:tc>
        <w:tc>
          <w:tcPr>
            <w:tcW w:w="3381"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60" w:lineRule="exact"/>
              <w:textAlignment w:val="center"/>
              <w:rPr>
                <w:rFonts w:cs="仿宋_GB2312" w:asciiTheme="minorEastAsia" w:hAnsiTheme="minorEastAsia" w:eastAsiaTheme="minorEastAsia"/>
                <w:sz w:val="21"/>
                <w:szCs w:val="21"/>
                <w:lang w:val="zh-CN" w:bidi="zh-CN"/>
              </w:rPr>
            </w:pPr>
            <w:r>
              <w:rPr>
                <w:rFonts w:hint="eastAsia" w:cs="仿宋_GB2312" w:asciiTheme="minorEastAsia" w:hAnsiTheme="minorEastAsia" w:eastAsiaTheme="minorEastAsia"/>
                <w:sz w:val="21"/>
                <w:szCs w:val="21"/>
                <w:lang w:bidi="ar"/>
              </w:rPr>
              <w:t>渡槽及跨渠建筑物地基沉降量超过设计要求；排架倾斜较大，水下基础露空较大，超过设计要求；渡槽结构主体裂缝多，碳化破损严重，止水失效，漏水严重</w:t>
            </w:r>
          </w:p>
        </w:tc>
      </w:tr>
      <w:tr>
        <w:tblPrEx>
          <w:tblCellMar>
            <w:top w:w="0" w:type="dxa"/>
            <w:left w:w="108" w:type="dxa"/>
            <w:bottom w:w="0" w:type="dxa"/>
            <w:right w:w="108" w:type="dxa"/>
          </w:tblCellMar>
        </w:tblPrEx>
        <w:trPr>
          <w:trHeight w:val="20" w:hRule="atLeast"/>
        </w:trPr>
        <w:tc>
          <w:tcPr>
            <w:tcW w:w="338"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60" w:lineRule="exact"/>
              <w:jc w:val="center"/>
              <w:textAlignment w:val="center"/>
              <w:rPr>
                <w:rFonts w:cs="仿宋_GB2312" w:asciiTheme="minorEastAsia" w:hAnsiTheme="minorEastAsia" w:eastAsiaTheme="minorEastAsia"/>
                <w:sz w:val="21"/>
                <w:szCs w:val="21"/>
                <w:lang w:val="zh-CN" w:bidi="zh-CN"/>
              </w:rPr>
            </w:pPr>
            <w:r>
              <w:rPr>
                <w:rFonts w:hint="eastAsia" w:cs="仿宋_GB2312" w:asciiTheme="minorEastAsia" w:hAnsiTheme="minorEastAsia" w:eastAsiaTheme="minorEastAsia"/>
                <w:sz w:val="21"/>
                <w:szCs w:val="21"/>
                <w:lang w:bidi="ar"/>
              </w:rPr>
              <w:t>18</w:t>
            </w:r>
          </w:p>
        </w:tc>
        <w:tc>
          <w:tcPr>
            <w:tcW w:w="598" w:type="pct"/>
            <w:vMerge w:val="continue"/>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60" w:lineRule="exact"/>
              <w:jc w:val="center"/>
              <w:rPr>
                <w:rFonts w:cs="仿宋_GB2312" w:asciiTheme="minorEastAsia" w:hAnsiTheme="minorEastAsia" w:eastAsiaTheme="minorEastAsia"/>
                <w:sz w:val="21"/>
                <w:szCs w:val="21"/>
                <w:lang w:val="zh-CN" w:bidi="zh-CN"/>
              </w:rPr>
            </w:pPr>
          </w:p>
        </w:tc>
        <w:tc>
          <w:tcPr>
            <w:tcW w:w="684"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60" w:lineRule="exact"/>
              <w:jc w:val="center"/>
              <w:textAlignment w:val="center"/>
              <w:rPr>
                <w:rFonts w:cs="仿宋_GB2312" w:asciiTheme="minorEastAsia" w:hAnsiTheme="minorEastAsia" w:eastAsiaTheme="minorEastAsia"/>
                <w:sz w:val="21"/>
                <w:szCs w:val="21"/>
                <w:lang w:val="zh-CN" w:bidi="zh-CN"/>
              </w:rPr>
            </w:pPr>
            <w:r>
              <w:rPr>
                <w:rFonts w:hint="eastAsia" w:cs="仿宋_GB2312" w:asciiTheme="minorEastAsia" w:hAnsiTheme="minorEastAsia" w:eastAsiaTheme="minorEastAsia"/>
                <w:sz w:val="21"/>
                <w:szCs w:val="21"/>
                <w:lang w:bidi="ar"/>
              </w:rPr>
              <w:t>SY-YG002</w:t>
            </w:r>
          </w:p>
        </w:tc>
        <w:tc>
          <w:tcPr>
            <w:tcW w:w="3381"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60" w:lineRule="exact"/>
              <w:textAlignment w:val="center"/>
              <w:rPr>
                <w:rFonts w:cs="仿宋_GB2312" w:asciiTheme="minorEastAsia" w:hAnsiTheme="minorEastAsia" w:eastAsiaTheme="minorEastAsia"/>
                <w:sz w:val="21"/>
                <w:szCs w:val="21"/>
                <w:lang w:val="zh-CN" w:bidi="zh-CN"/>
              </w:rPr>
            </w:pPr>
            <w:r>
              <w:rPr>
                <w:rFonts w:hint="eastAsia" w:cs="仿宋_GB2312" w:asciiTheme="minorEastAsia" w:hAnsiTheme="minorEastAsia" w:eastAsiaTheme="minorEastAsia"/>
                <w:sz w:val="21"/>
                <w:szCs w:val="21"/>
                <w:lang w:bidi="ar"/>
              </w:rPr>
              <w:t>隧洞洞脸边坡不稳定；隧洞围岩或支护结构严重变形</w:t>
            </w:r>
          </w:p>
        </w:tc>
      </w:tr>
      <w:tr>
        <w:tblPrEx>
          <w:tblCellMar>
            <w:top w:w="0" w:type="dxa"/>
            <w:left w:w="108" w:type="dxa"/>
            <w:bottom w:w="0" w:type="dxa"/>
            <w:right w:w="108" w:type="dxa"/>
          </w:tblCellMar>
        </w:tblPrEx>
        <w:trPr>
          <w:trHeight w:val="20" w:hRule="atLeast"/>
        </w:trPr>
        <w:tc>
          <w:tcPr>
            <w:tcW w:w="338"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60" w:lineRule="exact"/>
              <w:jc w:val="center"/>
              <w:textAlignment w:val="center"/>
              <w:rPr>
                <w:rFonts w:cs="仿宋_GB2312" w:asciiTheme="minorEastAsia" w:hAnsiTheme="minorEastAsia" w:eastAsiaTheme="minorEastAsia"/>
                <w:sz w:val="21"/>
                <w:szCs w:val="21"/>
                <w:lang w:val="zh-CN" w:bidi="zh-CN"/>
              </w:rPr>
            </w:pPr>
            <w:r>
              <w:rPr>
                <w:rFonts w:hint="eastAsia" w:cs="仿宋_GB2312" w:asciiTheme="minorEastAsia" w:hAnsiTheme="minorEastAsia" w:eastAsiaTheme="minorEastAsia"/>
                <w:sz w:val="21"/>
                <w:szCs w:val="21"/>
                <w:lang w:bidi="ar"/>
              </w:rPr>
              <w:t>19</w:t>
            </w:r>
          </w:p>
        </w:tc>
        <w:tc>
          <w:tcPr>
            <w:tcW w:w="598" w:type="pct"/>
            <w:vMerge w:val="continue"/>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60" w:lineRule="exact"/>
              <w:jc w:val="center"/>
              <w:rPr>
                <w:rFonts w:cs="仿宋_GB2312" w:asciiTheme="minorEastAsia" w:hAnsiTheme="minorEastAsia" w:eastAsiaTheme="minorEastAsia"/>
                <w:sz w:val="21"/>
                <w:szCs w:val="21"/>
                <w:lang w:val="zh-CN" w:bidi="zh-CN"/>
              </w:rPr>
            </w:pPr>
          </w:p>
        </w:tc>
        <w:tc>
          <w:tcPr>
            <w:tcW w:w="684"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60" w:lineRule="exact"/>
              <w:jc w:val="center"/>
              <w:textAlignment w:val="center"/>
              <w:rPr>
                <w:rFonts w:cs="仿宋_GB2312" w:asciiTheme="minorEastAsia" w:hAnsiTheme="minorEastAsia" w:eastAsiaTheme="minorEastAsia"/>
                <w:sz w:val="21"/>
                <w:szCs w:val="21"/>
                <w:lang w:val="zh-CN" w:bidi="zh-CN"/>
              </w:rPr>
            </w:pPr>
            <w:r>
              <w:rPr>
                <w:rFonts w:hint="eastAsia" w:cs="仿宋_GB2312" w:asciiTheme="minorEastAsia" w:hAnsiTheme="minorEastAsia" w:eastAsiaTheme="minorEastAsia"/>
                <w:sz w:val="21"/>
                <w:szCs w:val="21"/>
                <w:lang w:bidi="ar"/>
              </w:rPr>
              <w:t>SY-YG003</w:t>
            </w:r>
          </w:p>
        </w:tc>
        <w:tc>
          <w:tcPr>
            <w:tcW w:w="3381"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60" w:lineRule="exact"/>
              <w:textAlignment w:val="center"/>
              <w:rPr>
                <w:rFonts w:cs="仿宋_GB2312" w:asciiTheme="minorEastAsia" w:hAnsiTheme="minorEastAsia" w:eastAsiaTheme="minorEastAsia"/>
                <w:sz w:val="21"/>
                <w:szCs w:val="21"/>
                <w:lang w:val="zh-CN" w:bidi="zh-CN"/>
              </w:rPr>
            </w:pPr>
            <w:r>
              <w:rPr>
                <w:rFonts w:hint="eastAsia" w:cs="仿宋_GB2312" w:asciiTheme="minorEastAsia" w:hAnsiTheme="minorEastAsia" w:eastAsiaTheme="minorEastAsia"/>
                <w:sz w:val="21"/>
                <w:szCs w:val="21"/>
                <w:lang w:bidi="ar"/>
              </w:rPr>
              <w:t>高填方或傍山渠坡出现管涌等渗透破坏现象或塌陷、边坡失稳等现象</w:t>
            </w:r>
          </w:p>
        </w:tc>
      </w:tr>
      <w:tr>
        <w:tblPrEx>
          <w:tblCellMar>
            <w:top w:w="0" w:type="dxa"/>
            <w:left w:w="108" w:type="dxa"/>
            <w:bottom w:w="0" w:type="dxa"/>
            <w:right w:w="108" w:type="dxa"/>
          </w:tblCellMar>
        </w:tblPrEx>
        <w:trPr>
          <w:trHeight w:val="20" w:hRule="atLeast"/>
        </w:trPr>
        <w:tc>
          <w:tcPr>
            <w:tcW w:w="338"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60" w:lineRule="exact"/>
              <w:jc w:val="center"/>
              <w:textAlignment w:val="center"/>
              <w:rPr>
                <w:rFonts w:cs="仿宋_GB2312" w:asciiTheme="minorEastAsia" w:hAnsiTheme="minorEastAsia" w:eastAsiaTheme="minorEastAsia"/>
                <w:sz w:val="21"/>
                <w:szCs w:val="21"/>
                <w:lang w:val="zh-CN" w:bidi="zh-CN"/>
              </w:rPr>
            </w:pPr>
            <w:r>
              <w:rPr>
                <w:rFonts w:hint="eastAsia" w:cs="仿宋_GB2312" w:asciiTheme="minorEastAsia" w:hAnsiTheme="minorEastAsia" w:eastAsiaTheme="minorEastAsia"/>
                <w:sz w:val="21"/>
                <w:szCs w:val="21"/>
                <w:lang w:bidi="ar"/>
              </w:rPr>
              <w:t>20</w:t>
            </w:r>
          </w:p>
        </w:tc>
        <w:tc>
          <w:tcPr>
            <w:tcW w:w="598"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60" w:lineRule="exact"/>
              <w:jc w:val="center"/>
              <w:textAlignment w:val="center"/>
              <w:rPr>
                <w:rFonts w:cs="仿宋_GB2312" w:asciiTheme="minorEastAsia" w:hAnsiTheme="minorEastAsia" w:eastAsiaTheme="minorEastAsia"/>
                <w:sz w:val="21"/>
                <w:szCs w:val="21"/>
                <w:lang w:val="zh-CN" w:bidi="zh-CN"/>
              </w:rPr>
            </w:pPr>
            <w:r>
              <w:rPr>
                <w:rFonts w:hint="eastAsia" w:cs="仿宋_GB2312" w:asciiTheme="minorEastAsia" w:hAnsiTheme="minorEastAsia" w:eastAsiaTheme="minorEastAsia"/>
                <w:sz w:val="21"/>
                <w:szCs w:val="21"/>
                <w:lang w:bidi="ar"/>
              </w:rPr>
              <w:t>淤地坝工程</w:t>
            </w:r>
          </w:p>
        </w:tc>
        <w:tc>
          <w:tcPr>
            <w:tcW w:w="684"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60" w:lineRule="exact"/>
              <w:jc w:val="center"/>
              <w:textAlignment w:val="center"/>
              <w:rPr>
                <w:rFonts w:cs="仿宋_GB2312" w:asciiTheme="minorEastAsia" w:hAnsiTheme="minorEastAsia" w:eastAsiaTheme="minorEastAsia"/>
                <w:sz w:val="21"/>
                <w:szCs w:val="21"/>
                <w:lang w:val="zh-CN" w:bidi="zh-CN"/>
              </w:rPr>
            </w:pPr>
            <w:r>
              <w:rPr>
                <w:rFonts w:hint="eastAsia" w:cs="仿宋_GB2312" w:asciiTheme="minorEastAsia" w:hAnsiTheme="minorEastAsia" w:eastAsiaTheme="minorEastAsia"/>
                <w:sz w:val="21"/>
                <w:szCs w:val="21"/>
                <w:lang w:bidi="ar"/>
              </w:rPr>
              <w:t>SY-NK001</w:t>
            </w:r>
          </w:p>
        </w:tc>
        <w:tc>
          <w:tcPr>
            <w:tcW w:w="3381"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60" w:lineRule="exact"/>
              <w:textAlignment w:val="center"/>
              <w:rPr>
                <w:rFonts w:cs="仿宋_GB2312" w:asciiTheme="minorEastAsia" w:hAnsiTheme="minorEastAsia" w:eastAsiaTheme="minorEastAsia"/>
                <w:sz w:val="21"/>
                <w:szCs w:val="21"/>
                <w:lang w:val="zh-CN" w:bidi="zh-CN"/>
              </w:rPr>
            </w:pPr>
            <w:r>
              <w:rPr>
                <w:rFonts w:hint="eastAsia" w:cs="仿宋_GB2312" w:asciiTheme="minorEastAsia" w:hAnsiTheme="minorEastAsia" w:eastAsiaTheme="minorEastAsia"/>
                <w:sz w:val="21"/>
                <w:szCs w:val="21"/>
                <w:lang w:bidi="ar"/>
              </w:rPr>
              <w:t>下游影响范围有村庄、学校、工矿等的大中型淤地坝无溢洪道或无放水设施；坝体坝肩出现贯通性横向裂缝或纵向滑动性裂缝；坝坡出现破坏性滑坡、塌陷、冲沟，坝体出现冲缺、管涌、流土；放水建筑物（卧管、竖井、涵洞、涵管等）或溢洪道出现损毁、断裂、坍塌、基部掏刷、悬空</w:t>
            </w:r>
          </w:p>
        </w:tc>
      </w:tr>
    </w:tbl>
    <w:p>
      <w:pPr>
        <w:rPr>
          <w:rFonts w:asciiTheme="minorEastAsia" w:hAnsiTheme="minorEastAsia" w:eastAsiaTheme="minorEastAsia"/>
          <w:sz w:val="21"/>
          <w:szCs w:val="21"/>
        </w:rPr>
      </w:pPr>
    </w:p>
    <w:p>
      <w:pPr>
        <w:rPr>
          <w:rFonts w:asciiTheme="minorEastAsia" w:hAnsiTheme="minorEastAsia" w:eastAsiaTheme="minorEastAsia"/>
          <w:sz w:val="21"/>
          <w:szCs w:val="21"/>
        </w:rPr>
        <w:sectPr>
          <w:pgSz w:w="11906" w:h="16838"/>
          <w:pgMar w:top="1440" w:right="1797" w:bottom="1440" w:left="1797" w:header="851" w:footer="992" w:gutter="0"/>
          <w:cols w:space="425" w:num="1"/>
          <w:docGrid w:type="lines" w:linePitch="435" w:charSpace="0"/>
        </w:sectPr>
      </w:pPr>
    </w:p>
    <w:p>
      <w:pPr>
        <w:jc w:val="center"/>
        <w:outlineLvl w:val="0"/>
        <w:rPr>
          <w:rFonts w:ascii="方正小标宋_GBK" w:hAnsi="黑体" w:eastAsia="方正小标宋_GBK"/>
          <w:b/>
          <w:bCs/>
          <w:sz w:val="28"/>
          <w:szCs w:val="28"/>
        </w:rPr>
      </w:pPr>
      <w:bookmarkStart w:id="169" w:name="_Toc119336613"/>
      <w:bookmarkStart w:id="170" w:name="_Toc117541332"/>
      <w:r>
        <w:rPr>
          <w:rFonts w:hint="eastAsia" w:ascii="方正小标宋_GBK" w:hAnsi="黑体" w:eastAsia="方正小标宋_GBK"/>
          <w:b/>
          <w:bCs/>
          <w:sz w:val="28"/>
          <w:szCs w:val="28"/>
        </w:rPr>
        <w:t>附录D</w:t>
      </w:r>
      <w:bookmarkEnd w:id="169"/>
      <w:bookmarkEnd w:id="170"/>
    </w:p>
    <w:p>
      <w:pPr>
        <w:jc w:val="center"/>
        <w:rPr>
          <w:rFonts w:ascii="方正小标宋_GBK" w:hAnsi="黑体" w:eastAsia="方正小标宋_GBK"/>
          <w:b/>
          <w:bCs/>
          <w:sz w:val="28"/>
          <w:szCs w:val="28"/>
        </w:rPr>
      </w:pPr>
      <w:r>
        <w:rPr>
          <w:rFonts w:hint="eastAsia" w:ascii="方正小标宋_GBK" w:hAnsi="黑体" w:eastAsia="方正小标宋_GBK"/>
          <w:b/>
          <w:bCs/>
          <w:sz w:val="28"/>
          <w:szCs w:val="28"/>
        </w:rPr>
        <w:t>（资料性附录）</w:t>
      </w:r>
    </w:p>
    <w:p>
      <w:pPr>
        <w:jc w:val="center"/>
        <w:rPr>
          <w:rFonts w:ascii="方正小标宋_GBK" w:hAnsi="黑体" w:eastAsia="方正小标宋_GBK"/>
          <w:b/>
          <w:bCs/>
          <w:sz w:val="28"/>
          <w:szCs w:val="28"/>
        </w:rPr>
      </w:pPr>
      <w:r>
        <w:rPr>
          <w:rFonts w:hint="eastAsia" w:ascii="方正小标宋_GBK" w:hAnsi="黑体" w:eastAsia="方正小标宋_GBK"/>
          <w:b/>
          <w:bCs/>
          <w:sz w:val="28"/>
          <w:szCs w:val="28"/>
        </w:rPr>
        <w:t>《一般危险源风险评价表》</w:t>
      </w:r>
    </w:p>
    <w:p>
      <w:pPr>
        <w:rPr>
          <w:rFonts w:asciiTheme="minorEastAsia" w:hAnsiTheme="minorEastAsia" w:eastAsiaTheme="minorEastAsia"/>
          <w:sz w:val="21"/>
          <w:szCs w:val="21"/>
        </w:rPr>
      </w:pPr>
    </w:p>
    <w:p>
      <w:pPr>
        <w:keepNext/>
        <w:keepLines/>
        <w:widowControl w:val="0"/>
        <w:snapToGrid w:val="0"/>
        <w:spacing w:line="360" w:lineRule="auto"/>
        <w:jc w:val="center"/>
        <w:outlineLvl w:val="1"/>
        <w:rPr>
          <w:rFonts w:ascii="方正小标宋_GBK" w:hAnsi="黑体" w:eastAsia="方正小标宋_GBK"/>
          <w:b/>
          <w:bCs/>
          <w:sz w:val="28"/>
          <w:szCs w:val="28"/>
        </w:rPr>
      </w:pPr>
      <w:bookmarkStart w:id="171" w:name="_Toc119336614"/>
      <w:bookmarkStart w:id="172" w:name="_Toc117541333"/>
      <w:r>
        <w:rPr>
          <w:rFonts w:hint="eastAsia" w:ascii="方正小标宋_GBK" w:hAnsi="黑体" w:eastAsia="方正小标宋_GBK"/>
          <w:b/>
          <w:bCs/>
          <w:sz w:val="28"/>
          <w:szCs w:val="28"/>
        </w:rPr>
        <w:t>一般危险源风险评价表（LEC法）</w:t>
      </w:r>
      <w:bookmarkEnd w:id="171"/>
      <w:bookmarkEnd w:id="172"/>
    </w:p>
    <w:tbl>
      <w:tblPr>
        <w:tblStyle w:val="3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8"/>
        <w:gridCol w:w="1021"/>
        <w:gridCol w:w="1021"/>
        <w:gridCol w:w="1630"/>
        <w:gridCol w:w="1432"/>
        <w:gridCol w:w="1630"/>
        <w:gridCol w:w="1602"/>
        <w:gridCol w:w="689"/>
        <w:gridCol w:w="612"/>
        <w:gridCol w:w="567"/>
        <w:gridCol w:w="621"/>
        <w:gridCol w:w="811"/>
        <w:gridCol w:w="885"/>
        <w:gridCol w:w="8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0" w:hRule="atLeast"/>
          <w:jc w:val="center"/>
        </w:trPr>
        <w:tc>
          <w:tcPr>
            <w:tcW w:w="271" w:type="pct"/>
            <w:vAlign w:val="center"/>
          </w:tcPr>
          <w:p>
            <w:pPr>
              <w:widowControl w:val="0"/>
              <w:jc w:val="center"/>
              <w:rPr>
                <w:rFonts w:ascii="宋体" w:hAnsi="宋体" w:eastAsia="宋体" w:cs="宋体"/>
                <w:sz w:val="21"/>
                <w:szCs w:val="21"/>
              </w:rPr>
            </w:pPr>
            <w:bookmarkStart w:id="173" w:name="_Hlk40369024"/>
            <w:r>
              <w:rPr>
                <w:rFonts w:hint="eastAsia" w:ascii="宋体" w:hAnsi="宋体" w:eastAsia="宋体" w:cs="宋体"/>
                <w:sz w:val="21"/>
                <w:szCs w:val="21"/>
              </w:rPr>
              <w:t>序号</w:t>
            </w:r>
          </w:p>
        </w:tc>
        <w:tc>
          <w:tcPr>
            <w:tcW w:w="360" w:type="pct"/>
            <w:vAlign w:val="center"/>
          </w:tcPr>
          <w:p>
            <w:pPr>
              <w:widowControl w:val="0"/>
              <w:jc w:val="center"/>
              <w:rPr>
                <w:rFonts w:ascii="宋体" w:hAnsi="宋体" w:eastAsia="宋体" w:cs="宋体"/>
                <w:sz w:val="21"/>
                <w:szCs w:val="21"/>
              </w:rPr>
            </w:pPr>
            <w:r>
              <w:rPr>
                <w:rFonts w:hint="eastAsia" w:ascii="宋体" w:hAnsi="宋体" w:eastAsia="宋体" w:cs="宋体"/>
                <w:sz w:val="21"/>
                <w:szCs w:val="21"/>
              </w:rPr>
              <w:t>类别</w:t>
            </w:r>
          </w:p>
        </w:tc>
        <w:tc>
          <w:tcPr>
            <w:tcW w:w="360" w:type="pct"/>
            <w:vAlign w:val="center"/>
          </w:tcPr>
          <w:p>
            <w:pPr>
              <w:widowControl w:val="0"/>
              <w:jc w:val="center"/>
              <w:rPr>
                <w:rFonts w:ascii="宋体" w:hAnsi="宋体" w:eastAsia="宋体" w:cs="宋体"/>
                <w:sz w:val="21"/>
                <w:szCs w:val="21"/>
              </w:rPr>
            </w:pPr>
            <w:r>
              <w:rPr>
                <w:rFonts w:hint="eastAsia" w:ascii="宋体" w:hAnsi="宋体" w:eastAsia="宋体" w:cs="宋体"/>
                <w:sz w:val="21"/>
                <w:szCs w:val="21"/>
              </w:rPr>
              <w:t>项目</w:t>
            </w:r>
          </w:p>
        </w:tc>
        <w:tc>
          <w:tcPr>
            <w:tcW w:w="575" w:type="pct"/>
            <w:vAlign w:val="center"/>
          </w:tcPr>
          <w:p>
            <w:pPr>
              <w:widowControl w:val="0"/>
              <w:jc w:val="center"/>
              <w:rPr>
                <w:rFonts w:ascii="宋体" w:hAnsi="宋体" w:eastAsia="宋体" w:cs="宋体"/>
                <w:sz w:val="21"/>
                <w:szCs w:val="21"/>
              </w:rPr>
            </w:pPr>
            <w:r>
              <w:rPr>
                <w:rFonts w:hint="eastAsia" w:ascii="宋体" w:hAnsi="宋体" w:eastAsia="宋体" w:cs="宋体"/>
                <w:sz w:val="21"/>
                <w:szCs w:val="21"/>
              </w:rPr>
              <w:t>危险源名称</w:t>
            </w:r>
          </w:p>
        </w:tc>
        <w:tc>
          <w:tcPr>
            <w:tcW w:w="505" w:type="pct"/>
            <w:vAlign w:val="center"/>
          </w:tcPr>
          <w:p>
            <w:pPr>
              <w:widowControl w:val="0"/>
              <w:jc w:val="center"/>
              <w:rPr>
                <w:rFonts w:ascii="宋体" w:hAnsi="宋体" w:eastAsia="宋体" w:cs="宋体"/>
                <w:sz w:val="21"/>
                <w:szCs w:val="21"/>
              </w:rPr>
            </w:pPr>
            <w:r>
              <w:rPr>
                <w:rFonts w:hint="eastAsia" w:ascii="宋体" w:hAnsi="宋体" w:eastAsia="宋体" w:cs="宋体"/>
                <w:sz w:val="21"/>
                <w:szCs w:val="21"/>
              </w:rPr>
              <w:t>事故诱因</w:t>
            </w:r>
          </w:p>
        </w:tc>
        <w:tc>
          <w:tcPr>
            <w:tcW w:w="575" w:type="pct"/>
            <w:vAlign w:val="center"/>
          </w:tcPr>
          <w:p>
            <w:pPr>
              <w:widowControl w:val="0"/>
              <w:jc w:val="center"/>
              <w:rPr>
                <w:rFonts w:ascii="宋体" w:hAnsi="宋体" w:eastAsia="宋体" w:cs="宋体"/>
                <w:sz w:val="21"/>
                <w:szCs w:val="21"/>
              </w:rPr>
            </w:pPr>
            <w:r>
              <w:rPr>
                <w:rFonts w:hint="eastAsia" w:ascii="宋体" w:hAnsi="宋体" w:eastAsia="宋体" w:cs="宋体"/>
                <w:sz w:val="21"/>
                <w:szCs w:val="21"/>
              </w:rPr>
              <w:t>可能导致的后果</w:t>
            </w:r>
          </w:p>
        </w:tc>
        <w:tc>
          <w:tcPr>
            <w:tcW w:w="565" w:type="pct"/>
            <w:vAlign w:val="center"/>
          </w:tcPr>
          <w:p>
            <w:pPr>
              <w:widowControl w:val="0"/>
              <w:jc w:val="center"/>
              <w:rPr>
                <w:rFonts w:ascii="宋体" w:hAnsi="宋体" w:eastAsia="宋体" w:cs="宋体"/>
                <w:sz w:val="21"/>
                <w:szCs w:val="21"/>
              </w:rPr>
            </w:pPr>
            <w:r>
              <w:rPr>
                <w:rFonts w:hint="eastAsia" w:ascii="宋体" w:hAnsi="宋体" w:eastAsia="宋体" w:cs="宋体"/>
                <w:sz w:val="21"/>
                <w:szCs w:val="21"/>
              </w:rPr>
              <w:t>潜在事故</w:t>
            </w:r>
          </w:p>
          <w:p>
            <w:pPr>
              <w:widowControl w:val="0"/>
              <w:jc w:val="center"/>
              <w:rPr>
                <w:rFonts w:ascii="宋体" w:hAnsi="宋体" w:eastAsia="宋体" w:cs="宋体"/>
                <w:sz w:val="21"/>
                <w:szCs w:val="21"/>
              </w:rPr>
            </w:pPr>
            <w:r>
              <w:rPr>
                <w:rFonts w:hint="eastAsia" w:ascii="宋体" w:hAnsi="宋体" w:eastAsia="宋体" w:cs="宋体"/>
                <w:sz w:val="21"/>
                <w:szCs w:val="21"/>
              </w:rPr>
              <w:t>类型</w:t>
            </w:r>
          </w:p>
        </w:tc>
        <w:tc>
          <w:tcPr>
            <w:tcW w:w="243" w:type="pct"/>
            <w:vAlign w:val="center"/>
          </w:tcPr>
          <w:p>
            <w:pPr>
              <w:widowControl w:val="0"/>
              <w:jc w:val="center"/>
              <w:rPr>
                <w:rFonts w:ascii="宋体" w:hAnsi="宋体" w:eastAsia="宋体" w:cs="宋体"/>
                <w:sz w:val="21"/>
                <w:szCs w:val="21"/>
              </w:rPr>
            </w:pPr>
            <w:r>
              <w:rPr>
                <w:rFonts w:hint="eastAsia" w:ascii="宋体" w:hAnsi="宋体" w:eastAsia="宋体" w:cs="宋体"/>
                <w:sz w:val="21"/>
                <w:szCs w:val="21"/>
              </w:rPr>
              <w:t>L</w:t>
            </w:r>
          </w:p>
        </w:tc>
        <w:tc>
          <w:tcPr>
            <w:tcW w:w="216" w:type="pct"/>
            <w:vAlign w:val="center"/>
          </w:tcPr>
          <w:p>
            <w:pPr>
              <w:widowControl w:val="0"/>
              <w:jc w:val="center"/>
              <w:rPr>
                <w:rFonts w:ascii="宋体" w:hAnsi="宋体" w:eastAsia="宋体" w:cs="宋体"/>
                <w:sz w:val="21"/>
                <w:szCs w:val="21"/>
              </w:rPr>
            </w:pPr>
            <w:r>
              <w:rPr>
                <w:rFonts w:ascii="宋体" w:hAnsi="宋体" w:eastAsia="宋体" w:cs="宋体"/>
                <w:sz w:val="21"/>
                <w:szCs w:val="21"/>
              </w:rPr>
              <w:t>E</w:t>
            </w:r>
          </w:p>
        </w:tc>
        <w:tc>
          <w:tcPr>
            <w:tcW w:w="200" w:type="pct"/>
            <w:vAlign w:val="center"/>
          </w:tcPr>
          <w:p>
            <w:pPr>
              <w:widowControl w:val="0"/>
              <w:jc w:val="center"/>
              <w:rPr>
                <w:rFonts w:ascii="宋体" w:hAnsi="宋体" w:eastAsia="宋体" w:cs="宋体"/>
                <w:sz w:val="21"/>
                <w:szCs w:val="21"/>
              </w:rPr>
            </w:pPr>
            <w:r>
              <w:rPr>
                <w:rFonts w:ascii="宋体" w:hAnsi="宋体" w:eastAsia="宋体" w:cs="宋体"/>
                <w:sz w:val="21"/>
                <w:szCs w:val="21"/>
              </w:rPr>
              <w:t>C</w:t>
            </w:r>
          </w:p>
        </w:tc>
        <w:tc>
          <w:tcPr>
            <w:tcW w:w="219" w:type="pct"/>
            <w:vAlign w:val="center"/>
          </w:tcPr>
          <w:p>
            <w:pPr>
              <w:widowControl w:val="0"/>
              <w:rPr>
                <w:rFonts w:ascii="宋体" w:hAnsi="宋体" w:eastAsia="宋体" w:cs="宋体"/>
                <w:sz w:val="21"/>
                <w:szCs w:val="21"/>
              </w:rPr>
            </w:pPr>
            <w:r>
              <w:rPr>
                <w:rFonts w:hint="eastAsia" w:ascii="宋体" w:hAnsi="宋体" w:eastAsia="宋体" w:cs="宋体"/>
                <w:sz w:val="21"/>
                <w:szCs w:val="21"/>
              </w:rPr>
              <w:t>D</w:t>
            </w:r>
          </w:p>
        </w:tc>
        <w:tc>
          <w:tcPr>
            <w:tcW w:w="286" w:type="pct"/>
            <w:vAlign w:val="center"/>
          </w:tcPr>
          <w:p>
            <w:pPr>
              <w:widowControl w:val="0"/>
              <w:jc w:val="center"/>
              <w:rPr>
                <w:rFonts w:ascii="宋体" w:hAnsi="宋体" w:eastAsia="宋体" w:cs="宋体"/>
                <w:sz w:val="21"/>
                <w:szCs w:val="21"/>
              </w:rPr>
            </w:pPr>
            <w:r>
              <w:rPr>
                <w:rFonts w:hint="eastAsia" w:ascii="宋体" w:hAnsi="宋体" w:eastAsia="宋体" w:cs="宋体"/>
                <w:sz w:val="21"/>
                <w:szCs w:val="21"/>
              </w:rPr>
              <w:t>风险</w:t>
            </w:r>
          </w:p>
          <w:p>
            <w:pPr>
              <w:widowControl w:val="0"/>
              <w:jc w:val="center"/>
              <w:rPr>
                <w:rFonts w:ascii="宋体" w:hAnsi="宋体" w:eastAsia="宋体" w:cs="宋体"/>
                <w:sz w:val="21"/>
                <w:szCs w:val="21"/>
              </w:rPr>
            </w:pPr>
            <w:r>
              <w:rPr>
                <w:rFonts w:hint="eastAsia" w:ascii="宋体" w:hAnsi="宋体" w:eastAsia="宋体" w:cs="宋体"/>
                <w:sz w:val="21"/>
                <w:szCs w:val="21"/>
              </w:rPr>
              <w:t>等级</w:t>
            </w:r>
          </w:p>
        </w:tc>
        <w:tc>
          <w:tcPr>
            <w:tcW w:w="312" w:type="pct"/>
            <w:vAlign w:val="center"/>
          </w:tcPr>
          <w:p>
            <w:pPr>
              <w:widowControl w:val="0"/>
              <w:jc w:val="center"/>
              <w:rPr>
                <w:rFonts w:ascii="宋体" w:hAnsi="宋体" w:eastAsia="宋体" w:cs="宋体"/>
                <w:sz w:val="21"/>
                <w:szCs w:val="21"/>
              </w:rPr>
            </w:pPr>
            <w:r>
              <w:rPr>
                <w:rFonts w:hint="eastAsia" w:ascii="宋体" w:hAnsi="宋体" w:eastAsia="宋体" w:cs="宋体"/>
                <w:sz w:val="21"/>
                <w:szCs w:val="21"/>
              </w:rPr>
              <w:t>颜色标示</w:t>
            </w:r>
          </w:p>
        </w:tc>
        <w:tc>
          <w:tcPr>
            <w:tcW w:w="312" w:type="pct"/>
            <w:vAlign w:val="center"/>
          </w:tcPr>
          <w:p>
            <w:pPr>
              <w:widowControl w:val="0"/>
              <w:jc w:val="center"/>
              <w:rPr>
                <w:rFonts w:ascii="宋体" w:hAnsi="宋体" w:eastAsia="宋体" w:cs="宋体"/>
                <w:sz w:val="21"/>
                <w:szCs w:val="21"/>
              </w:rPr>
            </w:pPr>
            <w:r>
              <w:rPr>
                <w:rFonts w:hint="eastAsia" w:ascii="宋体" w:hAnsi="宋体" w:eastAsia="宋体" w:cs="宋体"/>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1" w:type="pct"/>
            <w:vAlign w:val="center"/>
          </w:tcPr>
          <w:p>
            <w:pPr>
              <w:widowControl w:val="0"/>
              <w:rPr>
                <w:rFonts w:ascii="宋体" w:hAnsi="宋体" w:eastAsia="宋体" w:cs="宋体"/>
                <w:sz w:val="21"/>
                <w:szCs w:val="21"/>
              </w:rPr>
            </w:pPr>
          </w:p>
        </w:tc>
        <w:tc>
          <w:tcPr>
            <w:tcW w:w="360" w:type="pct"/>
            <w:vAlign w:val="center"/>
          </w:tcPr>
          <w:p>
            <w:pPr>
              <w:widowControl w:val="0"/>
              <w:rPr>
                <w:rFonts w:ascii="宋体" w:hAnsi="宋体" w:eastAsia="宋体" w:cs="宋体"/>
                <w:sz w:val="21"/>
                <w:szCs w:val="21"/>
              </w:rPr>
            </w:pPr>
          </w:p>
        </w:tc>
        <w:tc>
          <w:tcPr>
            <w:tcW w:w="360" w:type="pct"/>
            <w:vAlign w:val="center"/>
          </w:tcPr>
          <w:p>
            <w:pPr>
              <w:widowControl w:val="0"/>
              <w:rPr>
                <w:rFonts w:ascii="宋体" w:hAnsi="宋体" w:eastAsia="宋体" w:cs="宋体"/>
                <w:sz w:val="21"/>
                <w:szCs w:val="21"/>
              </w:rPr>
            </w:pPr>
          </w:p>
        </w:tc>
        <w:tc>
          <w:tcPr>
            <w:tcW w:w="575" w:type="pct"/>
            <w:vAlign w:val="center"/>
          </w:tcPr>
          <w:p>
            <w:pPr>
              <w:widowControl w:val="0"/>
              <w:rPr>
                <w:rFonts w:ascii="宋体" w:hAnsi="宋体" w:eastAsia="宋体" w:cs="宋体"/>
                <w:sz w:val="21"/>
                <w:szCs w:val="21"/>
              </w:rPr>
            </w:pPr>
          </w:p>
        </w:tc>
        <w:tc>
          <w:tcPr>
            <w:tcW w:w="505" w:type="pct"/>
            <w:vAlign w:val="center"/>
          </w:tcPr>
          <w:p>
            <w:pPr>
              <w:widowControl w:val="0"/>
              <w:rPr>
                <w:rFonts w:ascii="宋体" w:hAnsi="宋体" w:eastAsia="宋体" w:cs="宋体"/>
                <w:sz w:val="21"/>
                <w:szCs w:val="21"/>
              </w:rPr>
            </w:pPr>
          </w:p>
        </w:tc>
        <w:tc>
          <w:tcPr>
            <w:tcW w:w="575" w:type="pct"/>
            <w:vAlign w:val="center"/>
          </w:tcPr>
          <w:p>
            <w:pPr>
              <w:widowControl w:val="0"/>
              <w:rPr>
                <w:rFonts w:ascii="宋体" w:hAnsi="宋体" w:eastAsia="宋体" w:cs="宋体"/>
                <w:sz w:val="21"/>
                <w:szCs w:val="21"/>
              </w:rPr>
            </w:pPr>
          </w:p>
        </w:tc>
        <w:tc>
          <w:tcPr>
            <w:tcW w:w="565" w:type="pct"/>
            <w:vAlign w:val="center"/>
          </w:tcPr>
          <w:p>
            <w:pPr>
              <w:widowControl w:val="0"/>
              <w:rPr>
                <w:rFonts w:ascii="宋体" w:hAnsi="宋体" w:eastAsia="宋体" w:cs="宋体"/>
                <w:sz w:val="21"/>
                <w:szCs w:val="21"/>
              </w:rPr>
            </w:pPr>
          </w:p>
        </w:tc>
        <w:tc>
          <w:tcPr>
            <w:tcW w:w="243" w:type="pct"/>
            <w:vAlign w:val="center"/>
          </w:tcPr>
          <w:p>
            <w:pPr>
              <w:widowControl w:val="0"/>
              <w:jc w:val="center"/>
              <w:rPr>
                <w:rFonts w:ascii="宋体" w:hAnsi="宋体" w:eastAsia="宋体" w:cs="宋体"/>
                <w:sz w:val="21"/>
                <w:szCs w:val="21"/>
              </w:rPr>
            </w:pPr>
          </w:p>
        </w:tc>
        <w:tc>
          <w:tcPr>
            <w:tcW w:w="216" w:type="pct"/>
            <w:vAlign w:val="center"/>
          </w:tcPr>
          <w:p>
            <w:pPr>
              <w:widowControl w:val="0"/>
              <w:jc w:val="center"/>
              <w:rPr>
                <w:rFonts w:ascii="宋体" w:hAnsi="宋体" w:eastAsia="宋体" w:cs="宋体"/>
                <w:sz w:val="21"/>
                <w:szCs w:val="21"/>
              </w:rPr>
            </w:pPr>
          </w:p>
        </w:tc>
        <w:tc>
          <w:tcPr>
            <w:tcW w:w="200" w:type="pct"/>
            <w:vAlign w:val="center"/>
          </w:tcPr>
          <w:p>
            <w:pPr>
              <w:widowControl w:val="0"/>
              <w:jc w:val="center"/>
              <w:rPr>
                <w:rFonts w:ascii="宋体" w:hAnsi="宋体" w:eastAsia="宋体" w:cs="宋体"/>
                <w:sz w:val="21"/>
                <w:szCs w:val="21"/>
              </w:rPr>
            </w:pPr>
          </w:p>
        </w:tc>
        <w:tc>
          <w:tcPr>
            <w:tcW w:w="219" w:type="pct"/>
            <w:vAlign w:val="center"/>
          </w:tcPr>
          <w:p>
            <w:pPr>
              <w:widowControl w:val="0"/>
              <w:rPr>
                <w:rFonts w:ascii="宋体" w:hAnsi="宋体" w:eastAsia="宋体" w:cs="宋体"/>
                <w:sz w:val="21"/>
                <w:szCs w:val="21"/>
              </w:rPr>
            </w:pPr>
          </w:p>
        </w:tc>
        <w:tc>
          <w:tcPr>
            <w:tcW w:w="286" w:type="pct"/>
            <w:vAlign w:val="center"/>
          </w:tcPr>
          <w:p>
            <w:pPr>
              <w:widowControl w:val="0"/>
              <w:rPr>
                <w:rFonts w:ascii="宋体" w:hAnsi="宋体" w:eastAsia="宋体" w:cs="宋体"/>
                <w:sz w:val="21"/>
                <w:szCs w:val="21"/>
              </w:rPr>
            </w:pPr>
          </w:p>
        </w:tc>
        <w:tc>
          <w:tcPr>
            <w:tcW w:w="312" w:type="pct"/>
            <w:vAlign w:val="center"/>
          </w:tcPr>
          <w:p>
            <w:pPr>
              <w:widowControl w:val="0"/>
              <w:rPr>
                <w:rFonts w:ascii="宋体" w:hAnsi="宋体" w:eastAsia="宋体" w:cs="宋体"/>
                <w:sz w:val="21"/>
                <w:szCs w:val="21"/>
              </w:rPr>
            </w:pPr>
          </w:p>
        </w:tc>
        <w:tc>
          <w:tcPr>
            <w:tcW w:w="312" w:type="pct"/>
            <w:vAlign w:val="center"/>
          </w:tcPr>
          <w:p>
            <w:pPr>
              <w:widowControl w:val="0"/>
              <w:rPr>
                <w:rFonts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1" w:type="pct"/>
            <w:vAlign w:val="center"/>
          </w:tcPr>
          <w:p>
            <w:pPr>
              <w:widowControl w:val="0"/>
              <w:rPr>
                <w:rFonts w:ascii="宋体" w:hAnsi="宋体" w:eastAsia="宋体" w:cs="宋体"/>
                <w:sz w:val="21"/>
                <w:szCs w:val="21"/>
              </w:rPr>
            </w:pPr>
          </w:p>
        </w:tc>
        <w:tc>
          <w:tcPr>
            <w:tcW w:w="360" w:type="pct"/>
            <w:vAlign w:val="center"/>
          </w:tcPr>
          <w:p>
            <w:pPr>
              <w:widowControl w:val="0"/>
              <w:rPr>
                <w:rFonts w:ascii="宋体" w:hAnsi="宋体" w:eastAsia="宋体" w:cs="宋体"/>
                <w:sz w:val="21"/>
                <w:szCs w:val="21"/>
              </w:rPr>
            </w:pPr>
          </w:p>
        </w:tc>
        <w:tc>
          <w:tcPr>
            <w:tcW w:w="360" w:type="pct"/>
            <w:vAlign w:val="center"/>
          </w:tcPr>
          <w:p>
            <w:pPr>
              <w:widowControl w:val="0"/>
              <w:rPr>
                <w:rFonts w:ascii="宋体" w:hAnsi="宋体" w:eastAsia="宋体" w:cs="宋体"/>
                <w:sz w:val="21"/>
                <w:szCs w:val="21"/>
              </w:rPr>
            </w:pPr>
          </w:p>
        </w:tc>
        <w:tc>
          <w:tcPr>
            <w:tcW w:w="575" w:type="pct"/>
            <w:vAlign w:val="center"/>
          </w:tcPr>
          <w:p>
            <w:pPr>
              <w:widowControl w:val="0"/>
              <w:rPr>
                <w:rFonts w:ascii="宋体" w:hAnsi="宋体" w:eastAsia="宋体" w:cs="宋体"/>
                <w:sz w:val="21"/>
                <w:szCs w:val="21"/>
              </w:rPr>
            </w:pPr>
          </w:p>
        </w:tc>
        <w:tc>
          <w:tcPr>
            <w:tcW w:w="505" w:type="pct"/>
            <w:vAlign w:val="center"/>
          </w:tcPr>
          <w:p>
            <w:pPr>
              <w:widowControl w:val="0"/>
              <w:rPr>
                <w:rFonts w:ascii="宋体" w:hAnsi="宋体" w:eastAsia="宋体" w:cs="宋体"/>
                <w:sz w:val="21"/>
                <w:szCs w:val="21"/>
              </w:rPr>
            </w:pPr>
          </w:p>
        </w:tc>
        <w:tc>
          <w:tcPr>
            <w:tcW w:w="575" w:type="pct"/>
            <w:vAlign w:val="center"/>
          </w:tcPr>
          <w:p>
            <w:pPr>
              <w:widowControl w:val="0"/>
              <w:rPr>
                <w:rFonts w:ascii="宋体" w:hAnsi="宋体" w:eastAsia="宋体" w:cs="宋体"/>
                <w:sz w:val="21"/>
                <w:szCs w:val="21"/>
              </w:rPr>
            </w:pPr>
          </w:p>
        </w:tc>
        <w:tc>
          <w:tcPr>
            <w:tcW w:w="565" w:type="pct"/>
            <w:vAlign w:val="center"/>
          </w:tcPr>
          <w:p>
            <w:pPr>
              <w:widowControl w:val="0"/>
              <w:rPr>
                <w:rFonts w:ascii="宋体" w:hAnsi="宋体" w:eastAsia="宋体" w:cs="宋体"/>
                <w:sz w:val="21"/>
                <w:szCs w:val="21"/>
              </w:rPr>
            </w:pPr>
          </w:p>
        </w:tc>
        <w:tc>
          <w:tcPr>
            <w:tcW w:w="243" w:type="pct"/>
            <w:vAlign w:val="center"/>
          </w:tcPr>
          <w:p>
            <w:pPr>
              <w:widowControl w:val="0"/>
              <w:jc w:val="center"/>
              <w:rPr>
                <w:rFonts w:ascii="宋体" w:hAnsi="宋体" w:eastAsia="宋体" w:cs="宋体"/>
                <w:sz w:val="21"/>
                <w:szCs w:val="21"/>
              </w:rPr>
            </w:pPr>
          </w:p>
        </w:tc>
        <w:tc>
          <w:tcPr>
            <w:tcW w:w="216" w:type="pct"/>
            <w:vAlign w:val="center"/>
          </w:tcPr>
          <w:p>
            <w:pPr>
              <w:widowControl w:val="0"/>
              <w:jc w:val="center"/>
              <w:rPr>
                <w:rFonts w:ascii="宋体" w:hAnsi="宋体" w:eastAsia="宋体" w:cs="宋体"/>
                <w:sz w:val="21"/>
                <w:szCs w:val="21"/>
              </w:rPr>
            </w:pPr>
          </w:p>
        </w:tc>
        <w:tc>
          <w:tcPr>
            <w:tcW w:w="200" w:type="pct"/>
            <w:vAlign w:val="center"/>
          </w:tcPr>
          <w:p>
            <w:pPr>
              <w:widowControl w:val="0"/>
              <w:jc w:val="center"/>
              <w:rPr>
                <w:rFonts w:ascii="宋体" w:hAnsi="宋体" w:eastAsia="宋体" w:cs="宋体"/>
                <w:sz w:val="21"/>
                <w:szCs w:val="21"/>
              </w:rPr>
            </w:pPr>
          </w:p>
        </w:tc>
        <w:tc>
          <w:tcPr>
            <w:tcW w:w="219" w:type="pct"/>
            <w:vAlign w:val="center"/>
          </w:tcPr>
          <w:p>
            <w:pPr>
              <w:widowControl w:val="0"/>
              <w:rPr>
                <w:rFonts w:ascii="宋体" w:hAnsi="宋体" w:eastAsia="宋体" w:cs="宋体"/>
                <w:sz w:val="21"/>
                <w:szCs w:val="21"/>
              </w:rPr>
            </w:pPr>
          </w:p>
        </w:tc>
        <w:tc>
          <w:tcPr>
            <w:tcW w:w="286" w:type="pct"/>
            <w:vAlign w:val="center"/>
          </w:tcPr>
          <w:p>
            <w:pPr>
              <w:widowControl w:val="0"/>
              <w:rPr>
                <w:rFonts w:ascii="宋体" w:hAnsi="宋体" w:eastAsia="宋体" w:cs="宋体"/>
                <w:sz w:val="21"/>
                <w:szCs w:val="21"/>
              </w:rPr>
            </w:pPr>
          </w:p>
        </w:tc>
        <w:tc>
          <w:tcPr>
            <w:tcW w:w="312" w:type="pct"/>
            <w:vAlign w:val="center"/>
          </w:tcPr>
          <w:p>
            <w:pPr>
              <w:widowControl w:val="0"/>
              <w:rPr>
                <w:rFonts w:ascii="宋体" w:hAnsi="宋体" w:eastAsia="宋体" w:cs="宋体"/>
                <w:sz w:val="21"/>
                <w:szCs w:val="21"/>
              </w:rPr>
            </w:pPr>
          </w:p>
        </w:tc>
        <w:tc>
          <w:tcPr>
            <w:tcW w:w="312" w:type="pct"/>
            <w:vAlign w:val="center"/>
          </w:tcPr>
          <w:p>
            <w:pPr>
              <w:widowControl w:val="0"/>
              <w:rPr>
                <w:rFonts w:ascii="宋体" w:hAnsi="宋体" w:eastAsia="宋体" w:cs="宋体"/>
                <w:sz w:val="21"/>
                <w:szCs w:val="21"/>
              </w:rPr>
            </w:pPr>
          </w:p>
        </w:tc>
      </w:tr>
      <w:bookmarkEnd w:id="173"/>
    </w:tbl>
    <w:p>
      <w:pPr>
        <w:rPr>
          <w:rFonts w:asciiTheme="minorEastAsia" w:hAnsiTheme="minorEastAsia" w:eastAsiaTheme="minorEastAsia"/>
          <w:sz w:val="21"/>
          <w:szCs w:val="21"/>
        </w:rPr>
      </w:pPr>
    </w:p>
    <w:p>
      <w:pPr>
        <w:jc w:val="center"/>
        <w:outlineLvl w:val="1"/>
        <w:rPr>
          <w:rFonts w:ascii="方正小标宋_GBK" w:hAnsi="黑体" w:eastAsia="方正小标宋_GBK"/>
          <w:b/>
          <w:bCs/>
          <w:sz w:val="28"/>
          <w:szCs w:val="28"/>
        </w:rPr>
      </w:pPr>
      <w:bookmarkStart w:id="174" w:name="_Toc117541334"/>
      <w:bookmarkStart w:id="175" w:name="_Toc119336615"/>
      <w:r>
        <w:rPr>
          <w:rFonts w:hint="eastAsia" w:ascii="方正小标宋_GBK" w:hAnsi="黑体" w:eastAsia="方正小标宋_GBK"/>
          <w:b/>
          <w:bCs/>
          <w:sz w:val="28"/>
          <w:szCs w:val="28"/>
        </w:rPr>
        <w:t>一般危险源风险评价表（LS法）</w:t>
      </w:r>
      <w:bookmarkEnd w:id="174"/>
      <w:bookmarkEnd w:id="175"/>
    </w:p>
    <w:tbl>
      <w:tblPr>
        <w:tblStyle w:val="3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2"/>
        <w:gridCol w:w="1066"/>
        <w:gridCol w:w="1066"/>
        <w:gridCol w:w="1707"/>
        <w:gridCol w:w="1497"/>
        <w:gridCol w:w="1704"/>
        <w:gridCol w:w="1675"/>
        <w:gridCol w:w="720"/>
        <w:gridCol w:w="641"/>
        <w:gridCol w:w="592"/>
        <w:gridCol w:w="850"/>
        <w:gridCol w:w="927"/>
        <w:gridCol w:w="9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283" w:type="pct"/>
            <w:vMerge w:val="restart"/>
            <w:vAlign w:val="center"/>
          </w:tcPr>
          <w:p>
            <w:pPr>
              <w:widowControl w:val="0"/>
              <w:jc w:val="center"/>
              <w:rPr>
                <w:rFonts w:ascii="宋体" w:hAnsi="宋体" w:eastAsia="宋体" w:cs="宋体"/>
                <w:sz w:val="21"/>
                <w:szCs w:val="21"/>
              </w:rPr>
            </w:pPr>
            <w:r>
              <w:rPr>
                <w:rFonts w:hint="eastAsia" w:ascii="宋体" w:hAnsi="宋体" w:eastAsia="宋体" w:cs="宋体"/>
                <w:sz w:val="21"/>
                <w:szCs w:val="21"/>
              </w:rPr>
              <w:t>序号</w:t>
            </w:r>
          </w:p>
        </w:tc>
        <w:tc>
          <w:tcPr>
            <w:tcW w:w="376" w:type="pct"/>
            <w:vMerge w:val="restart"/>
            <w:vAlign w:val="center"/>
          </w:tcPr>
          <w:p>
            <w:pPr>
              <w:widowControl w:val="0"/>
              <w:jc w:val="center"/>
              <w:rPr>
                <w:rFonts w:ascii="宋体" w:hAnsi="宋体" w:eastAsia="宋体" w:cs="宋体"/>
                <w:sz w:val="21"/>
                <w:szCs w:val="21"/>
              </w:rPr>
            </w:pPr>
            <w:r>
              <w:rPr>
                <w:rFonts w:hint="eastAsia" w:ascii="宋体" w:hAnsi="宋体" w:eastAsia="宋体" w:cs="宋体"/>
                <w:sz w:val="21"/>
                <w:szCs w:val="21"/>
              </w:rPr>
              <w:t>类别</w:t>
            </w:r>
          </w:p>
        </w:tc>
        <w:tc>
          <w:tcPr>
            <w:tcW w:w="376" w:type="pct"/>
            <w:vMerge w:val="restart"/>
            <w:vAlign w:val="center"/>
          </w:tcPr>
          <w:p>
            <w:pPr>
              <w:widowControl w:val="0"/>
              <w:jc w:val="center"/>
              <w:rPr>
                <w:rFonts w:ascii="宋体" w:hAnsi="宋体" w:eastAsia="宋体" w:cs="宋体"/>
                <w:sz w:val="21"/>
                <w:szCs w:val="21"/>
              </w:rPr>
            </w:pPr>
            <w:r>
              <w:rPr>
                <w:rFonts w:hint="eastAsia" w:ascii="宋体" w:hAnsi="宋体" w:eastAsia="宋体" w:cs="宋体"/>
                <w:sz w:val="21"/>
                <w:szCs w:val="21"/>
              </w:rPr>
              <w:t>项目</w:t>
            </w:r>
          </w:p>
        </w:tc>
        <w:tc>
          <w:tcPr>
            <w:tcW w:w="602" w:type="pct"/>
            <w:vMerge w:val="restart"/>
            <w:vAlign w:val="center"/>
          </w:tcPr>
          <w:p>
            <w:pPr>
              <w:widowControl w:val="0"/>
              <w:jc w:val="center"/>
              <w:rPr>
                <w:rFonts w:ascii="宋体" w:hAnsi="宋体" w:eastAsia="宋体" w:cs="宋体"/>
                <w:sz w:val="21"/>
                <w:szCs w:val="21"/>
              </w:rPr>
            </w:pPr>
            <w:r>
              <w:rPr>
                <w:rFonts w:hint="eastAsia" w:ascii="宋体" w:hAnsi="宋体" w:eastAsia="宋体" w:cs="宋体"/>
                <w:sz w:val="21"/>
                <w:szCs w:val="21"/>
              </w:rPr>
              <w:t>危险源名称</w:t>
            </w:r>
          </w:p>
        </w:tc>
        <w:tc>
          <w:tcPr>
            <w:tcW w:w="528" w:type="pct"/>
            <w:vMerge w:val="restart"/>
            <w:vAlign w:val="center"/>
          </w:tcPr>
          <w:p>
            <w:pPr>
              <w:widowControl w:val="0"/>
              <w:jc w:val="center"/>
              <w:rPr>
                <w:rFonts w:ascii="宋体" w:hAnsi="宋体" w:eastAsia="宋体" w:cs="宋体"/>
                <w:sz w:val="21"/>
                <w:szCs w:val="21"/>
              </w:rPr>
            </w:pPr>
            <w:r>
              <w:rPr>
                <w:rFonts w:hint="eastAsia" w:ascii="宋体" w:hAnsi="宋体" w:eastAsia="宋体" w:cs="宋体"/>
                <w:sz w:val="21"/>
                <w:szCs w:val="21"/>
              </w:rPr>
              <w:t>事故诱因</w:t>
            </w:r>
          </w:p>
        </w:tc>
        <w:tc>
          <w:tcPr>
            <w:tcW w:w="601" w:type="pct"/>
            <w:vMerge w:val="restart"/>
            <w:vAlign w:val="center"/>
          </w:tcPr>
          <w:p>
            <w:pPr>
              <w:widowControl w:val="0"/>
              <w:jc w:val="center"/>
              <w:rPr>
                <w:rFonts w:ascii="宋体" w:hAnsi="宋体" w:eastAsia="宋体" w:cs="宋体"/>
                <w:sz w:val="21"/>
                <w:szCs w:val="21"/>
              </w:rPr>
            </w:pPr>
            <w:r>
              <w:rPr>
                <w:rFonts w:hint="eastAsia" w:ascii="宋体" w:hAnsi="宋体" w:eastAsia="宋体" w:cs="宋体"/>
                <w:sz w:val="21"/>
                <w:szCs w:val="21"/>
              </w:rPr>
              <w:t>可能导致的后果</w:t>
            </w:r>
          </w:p>
        </w:tc>
        <w:tc>
          <w:tcPr>
            <w:tcW w:w="591" w:type="pct"/>
            <w:vMerge w:val="restart"/>
            <w:vAlign w:val="center"/>
          </w:tcPr>
          <w:p>
            <w:pPr>
              <w:widowControl w:val="0"/>
              <w:jc w:val="center"/>
              <w:rPr>
                <w:rFonts w:ascii="宋体" w:hAnsi="宋体" w:eastAsia="宋体" w:cs="宋体"/>
                <w:sz w:val="21"/>
                <w:szCs w:val="21"/>
              </w:rPr>
            </w:pPr>
            <w:r>
              <w:rPr>
                <w:rFonts w:hint="eastAsia" w:ascii="宋体" w:hAnsi="宋体" w:eastAsia="宋体" w:cs="宋体"/>
                <w:sz w:val="21"/>
                <w:szCs w:val="21"/>
              </w:rPr>
              <w:t>潜在事故</w:t>
            </w:r>
          </w:p>
          <w:p>
            <w:pPr>
              <w:widowControl w:val="0"/>
              <w:jc w:val="center"/>
              <w:rPr>
                <w:rFonts w:ascii="宋体" w:hAnsi="宋体" w:eastAsia="宋体" w:cs="宋体"/>
                <w:sz w:val="21"/>
                <w:szCs w:val="21"/>
              </w:rPr>
            </w:pPr>
            <w:r>
              <w:rPr>
                <w:rFonts w:hint="eastAsia" w:ascii="宋体" w:hAnsi="宋体" w:eastAsia="宋体" w:cs="宋体"/>
                <w:sz w:val="21"/>
                <w:szCs w:val="21"/>
              </w:rPr>
              <w:t>类型</w:t>
            </w:r>
          </w:p>
        </w:tc>
        <w:tc>
          <w:tcPr>
            <w:tcW w:w="254" w:type="pct"/>
            <w:vMerge w:val="restart"/>
            <w:vAlign w:val="center"/>
          </w:tcPr>
          <w:p>
            <w:pPr>
              <w:widowControl w:val="0"/>
              <w:jc w:val="center"/>
              <w:rPr>
                <w:rFonts w:ascii="宋体" w:hAnsi="宋体" w:eastAsia="宋体" w:cs="宋体"/>
                <w:sz w:val="21"/>
                <w:szCs w:val="21"/>
              </w:rPr>
            </w:pPr>
            <w:r>
              <w:rPr>
                <w:rFonts w:hint="eastAsia" w:ascii="宋体" w:hAnsi="宋体" w:eastAsia="宋体" w:cs="宋体"/>
                <w:sz w:val="21"/>
                <w:szCs w:val="21"/>
              </w:rPr>
              <w:t>L</w:t>
            </w:r>
          </w:p>
        </w:tc>
        <w:tc>
          <w:tcPr>
            <w:tcW w:w="226" w:type="pct"/>
            <w:vMerge w:val="restart"/>
            <w:vAlign w:val="center"/>
          </w:tcPr>
          <w:p>
            <w:pPr>
              <w:widowControl w:val="0"/>
              <w:jc w:val="center"/>
              <w:rPr>
                <w:rFonts w:ascii="宋体" w:hAnsi="宋体" w:eastAsia="宋体" w:cs="宋体"/>
                <w:sz w:val="21"/>
                <w:szCs w:val="21"/>
              </w:rPr>
            </w:pPr>
            <w:r>
              <w:rPr>
                <w:rFonts w:ascii="宋体" w:hAnsi="宋体" w:eastAsia="宋体" w:cs="宋体"/>
                <w:sz w:val="21"/>
                <w:szCs w:val="21"/>
              </w:rPr>
              <w:t>S</w:t>
            </w:r>
          </w:p>
        </w:tc>
        <w:tc>
          <w:tcPr>
            <w:tcW w:w="209" w:type="pct"/>
            <w:vMerge w:val="restart"/>
            <w:vAlign w:val="center"/>
          </w:tcPr>
          <w:p>
            <w:pPr>
              <w:widowControl w:val="0"/>
              <w:jc w:val="center"/>
              <w:rPr>
                <w:rFonts w:ascii="宋体" w:hAnsi="宋体" w:eastAsia="宋体" w:cs="宋体"/>
                <w:sz w:val="21"/>
                <w:szCs w:val="21"/>
              </w:rPr>
            </w:pPr>
            <w:r>
              <w:rPr>
                <w:rFonts w:ascii="宋体" w:hAnsi="宋体" w:eastAsia="宋体" w:cs="宋体"/>
                <w:sz w:val="21"/>
                <w:szCs w:val="21"/>
              </w:rPr>
              <w:t>R</w:t>
            </w:r>
          </w:p>
        </w:tc>
        <w:tc>
          <w:tcPr>
            <w:tcW w:w="300" w:type="pct"/>
            <w:vMerge w:val="restart"/>
            <w:vAlign w:val="center"/>
          </w:tcPr>
          <w:p>
            <w:pPr>
              <w:widowControl w:val="0"/>
              <w:jc w:val="center"/>
              <w:rPr>
                <w:rFonts w:ascii="宋体" w:hAnsi="宋体" w:eastAsia="宋体" w:cs="宋体"/>
                <w:sz w:val="21"/>
                <w:szCs w:val="21"/>
              </w:rPr>
            </w:pPr>
            <w:r>
              <w:rPr>
                <w:rFonts w:hint="eastAsia" w:ascii="宋体" w:hAnsi="宋体" w:eastAsia="宋体" w:cs="宋体"/>
                <w:sz w:val="21"/>
                <w:szCs w:val="21"/>
              </w:rPr>
              <w:t>风险</w:t>
            </w:r>
          </w:p>
          <w:p>
            <w:pPr>
              <w:widowControl w:val="0"/>
              <w:jc w:val="center"/>
              <w:rPr>
                <w:rFonts w:ascii="宋体" w:hAnsi="宋体" w:eastAsia="宋体" w:cs="宋体"/>
                <w:sz w:val="21"/>
                <w:szCs w:val="21"/>
              </w:rPr>
            </w:pPr>
            <w:r>
              <w:rPr>
                <w:rFonts w:hint="eastAsia" w:ascii="宋体" w:hAnsi="宋体" w:eastAsia="宋体" w:cs="宋体"/>
                <w:sz w:val="21"/>
                <w:szCs w:val="21"/>
              </w:rPr>
              <w:t>等级</w:t>
            </w:r>
          </w:p>
        </w:tc>
        <w:tc>
          <w:tcPr>
            <w:tcW w:w="327" w:type="pct"/>
            <w:vMerge w:val="restart"/>
            <w:vAlign w:val="center"/>
          </w:tcPr>
          <w:p>
            <w:pPr>
              <w:widowControl w:val="0"/>
              <w:jc w:val="center"/>
              <w:rPr>
                <w:rFonts w:ascii="宋体" w:hAnsi="宋体" w:eastAsia="宋体" w:cs="宋体"/>
                <w:sz w:val="21"/>
                <w:szCs w:val="21"/>
              </w:rPr>
            </w:pPr>
            <w:r>
              <w:rPr>
                <w:rFonts w:hint="eastAsia" w:ascii="宋体" w:hAnsi="宋体" w:eastAsia="宋体" w:cs="宋体"/>
                <w:sz w:val="21"/>
                <w:szCs w:val="21"/>
              </w:rPr>
              <w:t>颜色标示</w:t>
            </w:r>
          </w:p>
        </w:tc>
        <w:tc>
          <w:tcPr>
            <w:tcW w:w="327" w:type="pct"/>
            <w:vMerge w:val="restart"/>
            <w:vAlign w:val="center"/>
          </w:tcPr>
          <w:p>
            <w:pPr>
              <w:widowControl w:val="0"/>
              <w:jc w:val="center"/>
              <w:rPr>
                <w:rFonts w:ascii="宋体" w:hAnsi="宋体" w:eastAsia="宋体" w:cs="宋体"/>
                <w:sz w:val="21"/>
                <w:szCs w:val="21"/>
              </w:rPr>
            </w:pPr>
            <w:r>
              <w:rPr>
                <w:rFonts w:hint="eastAsia" w:ascii="宋体" w:hAnsi="宋体" w:eastAsia="宋体" w:cs="宋体"/>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283" w:type="pct"/>
            <w:vMerge w:val="continue"/>
            <w:vAlign w:val="center"/>
          </w:tcPr>
          <w:p>
            <w:pPr>
              <w:widowControl w:val="0"/>
              <w:rPr>
                <w:rFonts w:ascii="宋体" w:hAnsi="宋体" w:eastAsia="宋体" w:cs="宋体"/>
                <w:sz w:val="21"/>
                <w:szCs w:val="21"/>
              </w:rPr>
            </w:pPr>
          </w:p>
        </w:tc>
        <w:tc>
          <w:tcPr>
            <w:tcW w:w="376" w:type="pct"/>
            <w:vMerge w:val="continue"/>
            <w:vAlign w:val="center"/>
          </w:tcPr>
          <w:p>
            <w:pPr>
              <w:widowControl w:val="0"/>
              <w:rPr>
                <w:rFonts w:ascii="宋体" w:hAnsi="宋体" w:eastAsia="宋体" w:cs="宋体"/>
                <w:sz w:val="21"/>
                <w:szCs w:val="21"/>
              </w:rPr>
            </w:pPr>
          </w:p>
        </w:tc>
        <w:tc>
          <w:tcPr>
            <w:tcW w:w="376" w:type="pct"/>
            <w:vMerge w:val="continue"/>
            <w:vAlign w:val="center"/>
          </w:tcPr>
          <w:p>
            <w:pPr>
              <w:widowControl w:val="0"/>
              <w:rPr>
                <w:rFonts w:ascii="宋体" w:hAnsi="宋体" w:eastAsia="宋体" w:cs="宋体"/>
                <w:sz w:val="21"/>
                <w:szCs w:val="21"/>
              </w:rPr>
            </w:pPr>
          </w:p>
        </w:tc>
        <w:tc>
          <w:tcPr>
            <w:tcW w:w="602" w:type="pct"/>
            <w:vMerge w:val="continue"/>
            <w:vAlign w:val="center"/>
          </w:tcPr>
          <w:p>
            <w:pPr>
              <w:widowControl w:val="0"/>
              <w:rPr>
                <w:rFonts w:ascii="宋体" w:hAnsi="宋体" w:eastAsia="宋体" w:cs="宋体"/>
                <w:sz w:val="21"/>
                <w:szCs w:val="21"/>
              </w:rPr>
            </w:pPr>
          </w:p>
        </w:tc>
        <w:tc>
          <w:tcPr>
            <w:tcW w:w="528" w:type="pct"/>
            <w:vMerge w:val="continue"/>
            <w:vAlign w:val="center"/>
          </w:tcPr>
          <w:p>
            <w:pPr>
              <w:widowControl w:val="0"/>
              <w:rPr>
                <w:rFonts w:ascii="宋体" w:hAnsi="宋体" w:eastAsia="宋体" w:cs="宋体"/>
                <w:sz w:val="21"/>
                <w:szCs w:val="21"/>
              </w:rPr>
            </w:pPr>
          </w:p>
        </w:tc>
        <w:tc>
          <w:tcPr>
            <w:tcW w:w="601" w:type="pct"/>
            <w:vMerge w:val="continue"/>
            <w:vAlign w:val="center"/>
          </w:tcPr>
          <w:p>
            <w:pPr>
              <w:widowControl w:val="0"/>
              <w:rPr>
                <w:rFonts w:ascii="宋体" w:hAnsi="宋体" w:eastAsia="宋体" w:cs="宋体"/>
                <w:sz w:val="21"/>
                <w:szCs w:val="21"/>
              </w:rPr>
            </w:pPr>
          </w:p>
        </w:tc>
        <w:tc>
          <w:tcPr>
            <w:tcW w:w="591" w:type="pct"/>
            <w:vMerge w:val="continue"/>
            <w:vAlign w:val="center"/>
          </w:tcPr>
          <w:p>
            <w:pPr>
              <w:widowControl w:val="0"/>
              <w:rPr>
                <w:rFonts w:ascii="宋体" w:hAnsi="宋体" w:eastAsia="宋体" w:cs="宋体"/>
                <w:sz w:val="21"/>
                <w:szCs w:val="21"/>
              </w:rPr>
            </w:pPr>
          </w:p>
        </w:tc>
        <w:tc>
          <w:tcPr>
            <w:tcW w:w="254" w:type="pct"/>
            <w:vMerge w:val="continue"/>
            <w:vAlign w:val="center"/>
          </w:tcPr>
          <w:p>
            <w:pPr>
              <w:widowControl w:val="0"/>
              <w:jc w:val="center"/>
              <w:rPr>
                <w:rFonts w:ascii="宋体" w:hAnsi="宋体" w:eastAsia="宋体" w:cs="宋体"/>
                <w:sz w:val="21"/>
                <w:szCs w:val="21"/>
              </w:rPr>
            </w:pPr>
          </w:p>
        </w:tc>
        <w:tc>
          <w:tcPr>
            <w:tcW w:w="226" w:type="pct"/>
            <w:vMerge w:val="continue"/>
            <w:vAlign w:val="center"/>
          </w:tcPr>
          <w:p>
            <w:pPr>
              <w:widowControl w:val="0"/>
              <w:jc w:val="center"/>
              <w:rPr>
                <w:rFonts w:ascii="宋体" w:hAnsi="宋体" w:eastAsia="宋体" w:cs="宋体"/>
                <w:sz w:val="21"/>
                <w:szCs w:val="21"/>
              </w:rPr>
            </w:pPr>
          </w:p>
        </w:tc>
        <w:tc>
          <w:tcPr>
            <w:tcW w:w="209" w:type="pct"/>
            <w:vMerge w:val="continue"/>
            <w:vAlign w:val="center"/>
          </w:tcPr>
          <w:p>
            <w:pPr>
              <w:widowControl w:val="0"/>
              <w:jc w:val="center"/>
              <w:rPr>
                <w:rFonts w:ascii="宋体" w:hAnsi="宋体" w:eastAsia="宋体" w:cs="宋体"/>
                <w:sz w:val="21"/>
                <w:szCs w:val="21"/>
              </w:rPr>
            </w:pPr>
          </w:p>
        </w:tc>
        <w:tc>
          <w:tcPr>
            <w:tcW w:w="300" w:type="pct"/>
            <w:vMerge w:val="continue"/>
            <w:vAlign w:val="center"/>
          </w:tcPr>
          <w:p>
            <w:pPr>
              <w:widowControl w:val="0"/>
              <w:rPr>
                <w:rFonts w:ascii="宋体" w:hAnsi="宋体" w:eastAsia="宋体" w:cs="宋体"/>
                <w:sz w:val="21"/>
                <w:szCs w:val="21"/>
              </w:rPr>
            </w:pPr>
          </w:p>
        </w:tc>
        <w:tc>
          <w:tcPr>
            <w:tcW w:w="327" w:type="pct"/>
            <w:vMerge w:val="continue"/>
            <w:vAlign w:val="center"/>
          </w:tcPr>
          <w:p>
            <w:pPr>
              <w:widowControl w:val="0"/>
              <w:rPr>
                <w:rFonts w:ascii="宋体" w:hAnsi="宋体" w:eastAsia="宋体" w:cs="宋体"/>
                <w:sz w:val="21"/>
                <w:szCs w:val="21"/>
              </w:rPr>
            </w:pPr>
          </w:p>
        </w:tc>
        <w:tc>
          <w:tcPr>
            <w:tcW w:w="327" w:type="pct"/>
            <w:vMerge w:val="continue"/>
            <w:vAlign w:val="center"/>
          </w:tcPr>
          <w:p>
            <w:pPr>
              <w:widowControl w:val="0"/>
              <w:rPr>
                <w:rFonts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3" w:type="pct"/>
            <w:vAlign w:val="center"/>
          </w:tcPr>
          <w:p>
            <w:pPr>
              <w:widowControl w:val="0"/>
              <w:rPr>
                <w:rFonts w:ascii="宋体" w:hAnsi="宋体" w:eastAsia="宋体" w:cs="宋体"/>
                <w:sz w:val="21"/>
                <w:szCs w:val="21"/>
              </w:rPr>
            </w:pPr>
          </w:p>
        </w:tc>
        <w:tc>
          <w:tcPr>
            <w:tcW w:w="376" w:type="pct"/>
            <w:vAlign w:val="center"/>
          </w:tcPr>
          <w:p>
            <w:pPr>
              <w:widowControl w:val="0"/>
              <w:rPr>
                <w:rFonts w:ascii="宋体" w:hAnsi="宋体" w:eastAsia="宋体" w:cs="宋体"/>
                <w:sz w:val="21"/>
                <w:szCs w:val="21"/>
              </w:rPr>
            </w:pPr>
          </w:p>
        </w:tc>
        <w:tc>
          <w:tcPr>
            <w:tcW w:w="376" w:type="pct"/>
            <w:vAlign w:val="center"/>
          </w:tcPr>
          <w:p>
            <w:pPr>
              <w:widowControl w:val="0"/>
              <w:rPr>
                <w:rFonts w:ascii="宋体" w:hAnsi="宋体" w:eastAsia="宋体" w:cs="宋体"/>
                <w:sz w:val="21"/>
                <w:szCs w:val="21"/>
              </w:rPr>
            </w:pPr>
          </w:p>
        </w:tc>
        <w:tc>
          <w:tcPr>
            <w:tcW w:w="602" w:type="pct"/>
            <w:vAlign w:val="center"/>
          </w:tcPr>
          <w:p>
            <w:pPr>
              <w:widowControl w:val="0"/>
              <w:rPr>
                <w:rFonts w:ascii="宋体" w:hAnsi="宋体" w:eastAsia="宋体" w:cs="宋体"/>
                <w:sz w:val="21"/>
                <w:szCs w:val="21"/>
              </w:rPr>
            </w:pPr>
          </w:p>
        </w:tc>
        <w:tc>
          <w:tcPr>
            <w:tcW w:w="528" w:type="pct"/>
            <w:vAlign w:val="center"/>
          </w:tcPr>
          <w:p>
            <w:pPr>
              <w:widowControl w:val="0"/>
              <w:rPr>
                <w:rFonts w:ascii="宋体" w:hAnsi="宋体" w:eastAsia="宋体" w:cs="宋体"/>
                <w:sz w:val="21"/>
                <w:szCs w:val="21"/>
              </w:rPr>
            </w:pPr>
          </w:p>
        </w:tc>
        <w:tc>
          <w:tcPr>
            <w:tcW w:w="601" w:type="pct"/>
            <w:vAlign w:val="center"/>
          </w:tcPr>
          <w:p>
            <w:pPr>
              <w:widowControl w:val="0"/>
              <w:rPr>
                <w:rFonts w:ascii="宋体" w:hAnsi="宋体" w:eastAsia="宋体" w:cs="宋体"/>
                <w:sz w:val="21"/>
                <w:szCs w:val="21"/>
              </w:rPr>
            </w:pPr>
          </w:p>
        </w:tc>
        <w:tc>
          <w:tcPr>
            <w:tcW w:w="591" w:type="pct"/>
            <w:vAlign w:val="center"/>
          </w:tcPr>
          <w:p>
            <w:pPr>
              <w:widowControl w:val="0"/>
              <w:rPr>
                <w:rFonts w:ascii="宋体" w:hAnsi="宋体" w:eastAsia="宋体" w:cs="宋体"/>
                <w:sz w:val="21"/>
                <w:szCs w:val="21"/>
              </w:rPr>
            </w:pPr>
          </w:p>
        </w:tc>
        <w:tc>
          <w:tcPr>
            <w:tcW w:w="254" w:type="pct"/>
            <w:vAlign w:val="center"/>
          </w:tcPr>
          <w:p>
            <w:pPr>
              <w:widowControl w:val="0"/>
              <w:jc w:val="center"/>
              <w:rPr>
                <w:rFonts w:ascii="宋体" w:hAnsi="宋体" w:eastAsia="宋体" w:cs="宋体"/>
                <w:sz w:val="21"/>
                <w:szCs w:val="21"/>
              </w:rPr>
            </w:pPr>
          </w:p>
        </w:tc>
        <w:tc>
          <w:tcPr>
            <w:tcW w:w="226" w:type="pct"/>
            <w:vAlign w:val="center"/>
          </w:tcPr>
          <w:p>
            <w:pPr>
              <w:widowControl w:val="0"/>
              <w:jc w:val="center"/>
              <w:rPr>
                <w:rFonts w:ascii="宋体" w:hAnsi="宋体" w:eastAsia="宋体" w:cs="宋体"/>
                <w:sz w:val="21"/>
                <w:szCs w:val="21"/>
              </w:rPr>
            </w:pPr>
          </w:p>
        </w:tc>
        <w:tc>
          <w:tcPr>
            <w:tcW w:w="209" w:type="pct"/>
            <w:vAlign w:val="center"/>
          </w:tcPr>
          <w:p>
            <w:pPr>
              <w:widowControl w:val="0"/>
              <w:jc w:val="center"/>
              <w:rPr>
                <w:rFonts w:ascii="宋体" w:hAnsi="宋体" w:eastAsia="宋体" w:cs="宋体"/>
                <w:sz w:val="21"/>
                <w:szCs w:val="21"/>
              </w:rPr>
            </w:pPr>
          </w:p>
        </w:tc>
        <w:tc>
          <w:tcPr>
            <w:tcW w:w="300" w:type="pct"/>
            <w:vAlign w:val="center"/>
          </w:tcPr>
          <w:p>
            <w:pPr>
              <w:widowControl w:val="0"/>
              <w:rPr>
                <w:rFonts w:ascii="宋体" w:hAnsi="宋体" w:eastAsia="宋体" w:cs="宋体"/>
                <w:sz w:val="21"/>
                <w:szCs w:val="21"/>
              </w:rPr>
            </w:pPr>
          </w:p>
        </w:tc>
        <w:tc>
          <w:tcPr>
            <w:tcW w:w="327" w:type="pct"/>
            <w:vAlign w:val="center"/>
          </w:tcPr>
          <w:p>
            <w:pPr>
              <w:widowControl w:val="0"/>
              <w:rPr>
                <w:rFonts w:ascii="宋体" w:hAnsi="宋体" w:eastAsia="宋体" w:cs="宋体"/>
                <w:sz w:val="21"/>
                <w:szCs w:val="21"/>
              </w:rPr>
            </w:pPr>
          </w:p>
        </w:tc>
        <w:tc>
          <w:tcPr>
            <w:tcW w:w="327" w:type="pct"/>
            <w:vAlign w:val="center"/>
          </w:tcPr>
          <w:p>
            <w:pPr>
              <w:widowControl w:val="0"/>
              <w:rPr>
                <w:rFonts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3" w:type="pct"/>
            <w:vAlign w:val="center"/>
          </w:tcPr>
          <w:p>
            <w:pPr>
              <w:widowControl w:val="0"/>
              <w:rPr>
                <w:rFonts w:ascii="宋体" w:hAnsi="宋体" w:eastAsia="宋体" w:cs="宋体"/>
                <w:sz w:val="21"/>
                <w:szCs w:val="21"/>
              </w:rPr>
            </w:pPr>
          </w:p>
        </w:tc>
        <w:tc>
          <w:tcPr>
            <w:tcW w:w="376" w:type="pct"/>
            <w:vAlign w:val="center"/>
          </w:tcPr>
          <w:p>
            <w:pPr>
              <w:widowControl w:val="0"/>
              <w:rPr>
                <w:rFonts w:ascii="宋体" w:hAnsi="宋体" w:eastAsia="宋体" w:cs="宋体"/>
                <w:sz w:val="21"/>
                <w:szCs w:val="21"/>
              </w:rPr>
            </w:pPr>
          </w:p>
        </w:tc>
        <w:tc>
          <w:tcPr>
            <w:tcW w:w="376" w:type="pct"/>
            <w:vAlign w:val="center"/>
          </w:tcPr>
          <w:p>
            <w:pPr>
              <w:widowControl w:val="0"/>
              <w:rPr>
                <w:rFonts w:ascii="宋体" w:hAnsi="宋体" w:eastAsia="宋体" w:cs="宋体"/>
                <w:sz w:val="21"/>
                <w:szCs w:val="21"/>
              </w:rPr>
            </w:pPr>
          </w:p>
        </w:tc>
        <w:tc>
          <w:tcPr>
            <w:tcW w:w="602" w:type="pct"/>
            <w:vAlign w:val="center"/>
          </w:tcPr>
          <w:p>
            <w:pPr>
              <w:widowControl w:val="0"/>
              <w:rPr>
                <w:rFonts w:ascii="宋体" w:hAnsi="宋体" w:eastAsia="宋体" w:cs="宋体"/>
                <w:sz w:val="21"/>
                <w:szCs w:val="21"/>
              </w:rPr>
            </w:pPr>
          </w:p>
        </w:tc>
        <w:tc>
          <w:tcPr>
            <w:tcW w:w="528" w:type="pct"/>
            <w:vAlign w:val="center"/>
          </w:tcPr>
          <w:p>
            <w:pPr>
              <w:widowControl w:val="0"/>
              <w:rPr>
                <w:rFonts w:ascii="宋体" w:hAnsi="宋体" w:eastAsia="宋体" w:cs="宋体"/>
                <w:sz w:val="21"/>
                <w:szCs w:val="21"/>
              </w:rPr>
            </w:pPr>
          </w:p>
        </w:tc>
        <w:tc>
          <w:tcPr>
            <w:tcW w:w="601" w:type="pct"/>
            <w:vAlign w:val="center"/>
          </w:tcPr>
          <w:p>
            <w:pPr>
              <w:widowControl w:val="0"/>
              <w:rPr>
                <w:rFonts w:ascii="宋体" w:hAnsi="宋体" w:eastAsia="宋体" w:cs="宋体"/>
                <w:sz w:val="21"/>
                <w:szCs w:val="21"/>
              </w:rPr>
            </w:pPr>
          </w:p>
        </w:tc>
        <w:tc>
          <w:tcPr>
            <w:tcW w:w="591" w:type="pct"/>
            <w:vAlign w:val="center"/>
          </w:tcPr>
          <w:p>
            <w:pPr>
              <w:widowControl w:val="0"/>
              <w:rPr>
                <w:rFonts w:ascii="宋体" w:hAnsi="宋体" w:eastAsia="宋体" w:cs="宋体"/>
                <w:sz w:val="21"/>
                <w:szCs w:val="21"/>
              </w:rPr>
            </w:pPr>
          </w:p>
        </w:tc>
        <w:tc>
          <w:tcPr>
            <w:tcW w:w="254" w:type="pct"/>
            <w:vAlign w:val="center"/>
          </w:tcPr>
          <w:p>
            <w:pPr>
              <w:widowControl w:val="0"/>
              <w:jc w:val="center"/>
              <w:rPr>
                <w:rFonts w:ascii="宋体" w:hAnsi="宋体" w:eastAsia="宋体" w:cs="宋体"/>
                <w:sz w:val="21"/>
                <w:szCs w:val="21"/>
              </w:rPr>
            </w:pPr>
          </w:p>
        </w:tc>
        <w:tc>
          <w:tcPr>
            <w:tcW w:w="226" w:type="pct"/>
            <w:vAlign w:val="center"/>
          </w:tcPr>
          <w:p>
            <w:pPr>
              <w:widowControl w:val="0"/>
              <w:jc w:val="center"/>
              <w:rPr>
                <w:rFonts w:ascii="宋体" w:hAnsi="宋体" w:eastAsia="宋体" w:cs="宋体"/>
                <w:sz w:val="21"/>
                <w:szCs w:val="21"/>
              </w:rPr>
            </w:pPr>
          </w:p>
        </w:tc>
        <w:tc>
          <w:tcPr>
            <w:tcW w:w="209" w:type="pct"/>
            <w:vAlign w:val="center"/>
          </w:tcPr>
          <w:p>
            <w:pPr>
              <w:widowControl w:val="0"/>
              <w:jc w:val="center"/>
              <w:rPr>
                <w:rFonts w:ascii="宋体" w:hAnsi="宋体" w:eastAsia="宋体" w:cs="宋体"/>
                <w:sz w:val="21"/>
                <w:szCs w:val="21"/>
              </w:rPr>
            </w:pPr>
          </w:p>
        </w:tc>
        <w:tc>
          <w:tcPr>
            <w:tcW w:w="300" w:type="pct"/>
            <w:vAlign w:val="center"/>
          </w:tcPr>
          <w:p>
            <w:pPr>
              <w:widowControl w:val="0"/>
              <w:rPr>
                <w:rFonts w:ascii="宋体" w:hAnsi="宋体" w:eastAsia="宋体" w:cs="宋体"/>
                <w:sz w:val="21"/>
                <w:szCs w:val="21"/>
              </w:rPr>
            </w:pPr>
          </w:p>
        </w:tc>
        <w:tc>
          <w:tcPr>
            <w:tcW w:w="327" w:type="pct"/>
            <w:vAlign w:val="center"/>
          </w:tcPr>
          <w:p>
            <w:pPr>
              <w:widowControl w:val="0"/>
              <w:rPr>
                <w:rFonts w:ascii="宋体" w:hAnsi="宋体" w:eastAsia="宋体" w:cs="宋体"/>
                <w:sz w:val="21"/>
                <w:szCs w:val="21"/>
              </w:rPr>
            </w:pPr>
          </w:p>
        </w:tc>
        <w:tc>
          <w:tcPr>
            <w:tcW w:w="327" w:type="pct"/>
            <w:vAlign w:val="center"/>
          </w:tcPr>
          <w:p>
            <w:pPr>
              <w:widowControl w:val="0"/>
              <w:rPr>
                <w:rFonts w:ascii="宋体" w:hAnsi="宋体" w:eastAsia="宋体" w:cs="宋体"/>
                <w:sz w:val="21"/>
                <w:szCs w:val="21"/>
              </w:rPr>
            </w:pPr>
          </w:p>
        </w:tc>
      </w:tr>
    </w:tbl>
    <w:p>
      <w:pPr>
        <w:rPr>
          <w:rFonts w:ascii="方正小标宋_GBK" w:hAnsi="Arial" w:eastAsia="方正小标宋_GBK"/>
        </w:rPr>
      </w:pPr>
      <w:r>
        <w:rPr>
          <w:rFonts w:ascii="方正小标宋_GBK" w:hAnsi="Arial" w:eastAsia="方正小标宋_GBK"/>
        </w:rPr>
        <w:br w:type="page"/>
      </w:r>
    </w:p>
    <w:p>
      <w:pPr>
        <w:jc w:val="center"/>
        <w:outlineLvl w:val="0"/>
        <w:rPr>
          <w:rFonts w:ascii="方正小标宋_GBK" w:hAnsi="黑体" w:eastAsia="方正小标宋_GBK"/>
          <w:b/>
          <w:bCs/>
          <w:sz w:val="28"/>
          <w:szCs w:val="28"/>
        </w:rPr>
      </w:pPr>
      <w:bookmarkStart w:id="176" w:name="_Toc119336616"/>
      <w:bookmarkStart w:id="177" w:name="_Toc117541335"/>
      <w:r>
        <w:rPr>
          <w:rFonts w:hint="eastAsia" w:ascii="方正小标宋_GBK" w:hAnsi="黑体" w:eastAsia="方正小标宋_GBK"/>
          <w:b/>
          <w:bCs/>
          <w:sz w:val="28"/>
          <w:szCs w:val="28"/>
        </w:rPr>
        <w:t>附录</w:t>
      </w:r>
      <w:r>
        <w:rPr>
          <w:rFonts w:ascii="方正小标宋_GBK" w:hAnsi="黑体" w:eastAsia="方正小标宋_GBK"/>
          <w:b/>
          <w:bCs/>
          <w:sz w:val="28"/>
          <w:szCs w:val="28"/>
        </w:rPr>
        <w:t>E</w:t>
      </w:r>
      <w:bookmarkEnd w:id="176"/>
    </w:p>
    <w:p>
      <w:pPr>
        <w:jc w:val="center"/>
        <w:rPr>
          <w:rFonts w:ascii="方正小标宋_GBK" w:hAnsi="黑体" w:eastAsia="方正小标宋_GBK"/>
          <w:b/>
          <w:bCs/>
          <w:sz w:val="28"/>
          <w:szCs w:val="28"/>
        </w:rPr>
      </w:pPr>
      <w:r>
        <w:rPr>
          <w:rFonts w:hint="eastAsia" w:ascii="方正小标宋_GBK" w:hAnsi="黑体" w:eastAsia="方正小标宋_GBK"/>
          <w:b/>
          <w:bCs/>
          <w:sz w:val="28"/>
          <w:szCs w:val="28"/>
        </w:rPr>
        <w:t>（资料性附录）</w:t>
      </w:r>
    </w:p>
    <w:p>
      <w:pPr>
        <w:jc w:val="center"/>
        <w:rPr>
          <w:rFonts w:ascii="方正小标宋_GBK" w:hAnsi="黑体" w:eastAsia="方正小标宋_GBK"/>
          <w:b/>
          <w:bCs/>
          <w:sz w:val="28"/>
          <w:szCs w:val="28"/>
        </w:rPr>
      </w:pPr>
      <w:r>
        <w:rPr>
          <w:rFonts w:hint="eastAsia" w:ascii="方正小标宋_GBK" w:hAnsi="黑体" w:eastAsia="方正小标宋_GBK"/>
          <w:b/>
          <w:bCs/>
          <w:sz w:val="28"/>
          <w:szCs w:val="28"/>
        </w:rPr>
        <w:t>《一般危险源风险评价表》</w:t>
      </w:r>
    </w:p>
    <w:p>
      <w:pPr>
        <w:jc w:val="center"/>
        <w:rPr>
          <w:rFonts w:ascii="方正小标宋_GBK" w:hAnsi="黑体" w:eastAsia="方正小标宋_GBK"/>
          <w:b/>
          <w:bCs/>
          <w:sz w:val="28"/>
          <w:szCs w:val="28"/>
        </w:rPr>
      </w:pPr>
    </w:p>
    <w:p>
      <w:pPr>
        <w:jc w:val="center"/>
        <w:outlineLvl w:val="1"/>
        <w:rPr>
          <w:rFonts w:ascii="方正小标宋_GBK" w:hAnsi="黑体" w:eastAsia="方正小标宋_GBK"/>
          <w:b/>
          <w:bCs/>
          <w:sz w:val="28"/>
          <w:szCs w:val="28"/>
        </w:rPr>
      </w:pPr>
      <w:bookmarkStart w:id="178" w:name="_Toc119336617"/>
      <w:r>
        <w:rPr>
          <w:rFonts w:hint="eastAsia" w:ascii="方正小标宋_GBK" w:hAnsi="黑体" w:eastAsia="方正小标宋_GBK"/>
          <w:b/>
          <w:bCs/>
          <w:sz w:val="28"/>
          <w:szCs w:val="28"/>
        </w:rPr>
        <w:t>作业危害分析 (JHA+LS) 评价表</w:t>
      </w:r>
      <w:bookmarkEnd w:id="177"/>
      <w:bookmarkEnd w:id="178"/>
    </w:p>
    <w:p>
      <w:pPr>
        <w:tabs>
          <w:tab w:val="left" w:pos="2660"/>
          <w:tab w:val="left" w:pos="4078"/>
          <w:tab w:val="left" w:pos="7771"/>
        </w:tabs>
        <w:kinsoku w:val="0"/>
        <w:overflowPunct w:val="0"/>
        <w:jc w:val="left"/>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 xml:space="preserve">单位： </w:t>
      </w:r>
      <w:r>
        <w:rPr>
          <w:rFonts w:cs="宋体" w:asciiTheme="minorEastAsia" w:hAnsiTheme="minorEastAsia" w:eastAsiaTheme="minorEastAsia"/>
          <w:sz w:val="21"/>
          <w:szCs w:val="21"/>
        </w:rPr>
        <w:t xml:space="preserve">                      </w:t>
      </w:r>
      <w:r>
        <w:rPr>
          <w:rFonts w:hint="eastAsia" w:cs="宋体" w:asciiTheme="minorEastAsia" w:hAnsiTheme="minorEastAsia" w:eastAsiaTheme="minorEastAsia"/>
          <w:sz w:val="21"/>
          <w:szCs w:val="21"/>
        </w:rPr>
        <w:t xml:space="preserve">岗位： </w:t>
      </w:r>
      <w:r>
        <w:rPr>
          <w:rFonts w:cs="宋体" w:asciiTheme="minorEastAsia" w:hAnsiTheme="minorEastAsia" w:eastAsiaTheme="minorEastAsia"/>
          <w:sz w:val="21"/>
          <w:szCs w:val="21"/>
        </w:rPr>
        <w:t xml:space="preserve">                 </w:t>
      </w:r>
      <w:r>
        <w:rPr>
          <w:rFonts w:hint="eastAsia" w:cs="宋体" w:asciiTheme="minorEastAsia" w:hAnsiTheme="minorEastAsia" w:eastAsiaTheme="minorEastAsia"/>
          <w:position w:val="1"/>
          <w:sz w:val="21"/>
          <w:szCs w:val="21"/>
        </w:rPr>
        <w:t>风险点</w:t>
      </w:r>
      <w:r>
        <w:rPr>
          <w:rFonts w:cs="宋体" w:asciiTheme="minorEastAsia" w:hAnsiTheme="minorEastAsia" w:eastAsiaTheme="minorEastAsia"/>
          <w:position w:val="1"/>
          <w:sz w:val="21"/>
          <w:szCs w:val="21"/>
        </w:rPr>
        <w:t>(</w:t>
      </w:r>
      <w:r>
        <w:rPr>
          <w:rFonts w:hint="eastAsia" w:cs="宋体" w:asciiTheme="minorEastAsia" w:hAnsiTheme="minorEastAsia" w:eastAsiaTheme="minorEastAsia"/>
          <w:position w:val="1"/>
          <w:sz w:val="21"/>
          <w:szCs w:val="21"/>
        </w:rPr>
        <w:t>作业活动</w:t>
      </w:r>
      <w:r>
        <w:rPr>
          <w:rFonts w:cs="宋体" w:asciiTheme="minorEastAsia" w:hAnsiTheme="minorEastAsia" w:eastAsiaTheme="minorEastAsia"/>
          <w:position w:val="1"/>
          <w:sz w:val="21"/>
          <w:szCs w:val="21"/>
        </w:rPr>
        <w:t>)</w:t>
      </w:r>
      <w:r>
        <w:rPr>
          <w:rFonts w:hint="eastAsia" w:cs="宋体" w:asciiTheme="minorEastAsia" w:hAnsiTheme="minorEastAsia" w:eastAsiaTheme="minorEastAsia"/>
          <w:position w:val="1"/>
          <w:sz w:val="21"/>
          <w:szCs w:val="21"/>
        </w:rPr>
        <w:t xml:space="preserve">名称： </w:t>
      </w:r>
      <w:r>
        <w:rPr>
          <w:rFonts w:cs="宋体" w:asciiTheme="minorEastAsia" w:hAnsiTheme="minorEastAsia" w:eastAsiaTheme="minorEastAsia"/>
          <w:position w:val="1"/>
          <w:sz w:val="21"/>
          <w:szCs w:val="21"/>
        </w:rPr>
        <w:t xml:space="preserve">                                  </w:t>
      </w:r>
      <w:r>
        <w:rPr>
          <w:rFonts w:cs="Courier New" w:asciiTheme="minorEastAsia" w:hAnsiTheme="minorEastAsia" w:eastAsiaTheme="minorEastAsia"/>
          <w:position w:val="1"/>
          <w:sz w:val="21"/>
          <w:szCs w:val="21"/>
        </w:rPr>
        <w:t>N</w:t>
      </w:r>
      <w:r>
        <w:rPr>
          <w:rFonts w:cs="Courier New" w:asciiTheme="minorEastAsia" w:hAnsiTheme="minorEastAsia" w:eastAsiaTheme="minorEastAsia"/>
          <w:spacing w:val="15"/>
          <w:position w:val="1"/>
          <w:sz w:val="21"/>
          <w:szCs w:val="21"/>
        </w:rPr>
        <w:t>o</w:t>
      </w:r>
      <w:r>
        <w:rPr>
          <w:rFonts w:hint="eastAsia" w:cs="宋体" w:asciiTheme="minorEastAsia" w:hAnsiTheme="minorEastAsia" w:eastAsiaTheme="minorEastAsia"/>
          <w:position w:val="1"/>
          <w:sz w:val="21"/>
          <w:szCs w:val="21"/>
        </w:rPr>
        <w:t>：</w:t>
      </w:r>
    </w:p>
    <w:tbl>
      <w:tblPr>
        <w:tblStyle w:val="3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986"/>
        <w:gridCol w:w="1766"/>
        <w:gridCol w:w="2352"/>
        <w:gridCol w:w="1279"/>
        <w:gridCol w:w="2056"/>
        <w:gridCol w:w="679"/>
        <w:gridCol w:w="528"/>
        <w:gridCol w:w="609"/>
        <w:gridCol w:w="1008"/>
        <w:gridCol w:w="1654"/>
        <w:gridCol w:w="10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0" w:hRule="exact"/>
        </w:trPr>
        <w:tc>
          <w:tcPr>
            <w:tcW w:w="353" w:type="pct"/>
            <w:vAlign w:val="center"/>
          </w:tcPr>
          <w:p>
            <w:pPr>
              <w:kinsoku w:val="0"/>
              <w:overflowPunct w:val="0"/>
              <w:spacing w:line="110" w:lineRule="exact"/>
              <w:jc w:val="center"/>
              <w:rPr>
                <w:rFonts w:asciiTheme="minorEastAsia" w:hAnsiTheme="minorEastAsia" w:eastAsiaTheme="minorEastAsia"/>
                <w:sz w:val="21"/>
                <w:szCs w:val="21"/>
              </w:rPr>
            </w:pPr>
          </w:p>
          <w:p>
            <w:pPr>
              <w:kinsoku w:val="0"/>
              <w:overflowPunct w:val="0"/>
              <w:jc w:val="center"/>
              <w:rPr>
                <w:rFonts w:asciiTheme="minorEastAsia" w:hAnsiTheme="minorEastAsia" w:eastAsiaTheme="minorEastAsia"/>
                <w:sz w:val="21"/>
                <w:szCs w:val="21"/>
              </w:rPr>
            </w:pPr>
            <w:r>
              <w:rPr>
                <w:rFonts w:hint="eastAsia" w:cs="宋体" w:asciiTheme="minorEastAsia" w:hAnsiTheme="minorEastAsia" w:eastAsiaTheme="minorEastAsia"/>
                <w:w w:val="105"/>
                <w:sz w:val="21"/>
                <w:szCs w:val="21"/>
              </w:rPr>
              <w:t>序号</w:t>
            </w:r>
          </w:p>
        </w:tc>
        <w:tc>
          <w:tcPr>
            <w:tcW w:w="632" w:type="pct"/>
            <w:vAlign w:val="center"/>
          </w:tcPr>
          <w:p>
            <w:pPr>
              <w:kinsoku w:val="0"/>
              <w:overflowPunct w:val="0"/>
              <w:spacing w:line="110" w:lineRule="exact"/>
              <w:jc w:val="center"/>
              <w:rPr>
                <w:rFonts w:asciiTheme="minorEastAsia" w:hAnsiTheme="minorEastAsia" w:eastAsiaTheme="minorEastAsia"/>
                <w:sz w:val="21"/>
                <w:szCs w:val="21"/>
              </w:rPr>
            </w:pPr>
          </w:p>
          <w:p>
            <w:pPr>
              <w:kinsoku w:val="0"/>
              <w:overflowPunct w:val="0"/>
              <w:jc w:val="center"/>
              <w:rPr>
                <w:rFonts w:asciiTheme="minorEastAsia" w:hAnsiTheme="minorEastAsia" w:eastAsiaTheme="minorEastAsia"/>
                <w:sz w:val="21"/>
                <w:szCs w:val="21"/>
              </w:rPr>
            </w:pPr>
            <w:r>
              <w:rPr>
                <w:rFonts w:hint="eastAsia" w:cs="宋体" w:asciiTheme="minorEastAsia" w:hAnsiTheme="minorEastAsia" w:eastAsiaTheme="minorEastAsia"/>
                <w:w w:val="110"/>
                <w:sz w:val="21"/>
                <w:szCs w:val="21"/>
              </w:rPr>
              <w:t>作业步骤</w:t>
            </w:r>
          </w:p>
        </w:tc>
        <w:tc>
          <w:tcPr>
            <w:tcW w:w="842" w:type="pct"/>
            <w:vAlign w:val="center"/>
          </w:tcPr>
          <w:p>
            <w:pPr>
              <w:kinsoku w:val="0"/>
              <w:overflowPunct w:val="0"/>
              <w:spacing w:line="238" w:lineRule="exact"/>
              <w:jc w:val="center"/>
              <w:rPr>
                <w:rFonts w:asciiTheme="minorEastAsia" w:hAnsiTheme="minorEastAsia" w:eastAsiaTheme="minorEastAsia"/>
                <w:sz w:val="21"/>
                <w:szCs w:val="21"/>
              </w:rPr>
            </w:pPr>
            <w:r>
              <w:rPr>
                <w:rFonts w:hint="eastAsia" w:cs="宋体" w:asciiTheme="minorEastAsia" w:hAnsiTheme="minorEastAsia" w:eastAsiaTheme="minorEastAsia"/>
                <w:w w:val="105"/>
                <w:sz w:val="21"/>
                <w:szCs w:val="21"/>
              </w:rPr>
              <w:t>危害因素或潜在</w:t>
            </w:r>
            <w:r>
              <w:rPr>
                <w:rFonts w:hint="eastAsia" w:cs="宋体" w:asciiTheme="minorEastAsia" w:hAnsiTheme="minorEastAsia" w:eastAsiaTheme="minorEastAsia"/>
                <w:w w:val="110"/>
                <w:sz w:val="21"/>
                <w:szCs w:val="21"/>
              </w:rPr>
              <w:t>事件</w:t>
            </w:r>
          </w:p>
        </w:tc>
        <w:tc>
          <w:tcPr>
            <w:tcW w:w="458" w:type="pct"/>
            <w:vAlign w:val="center"/>
          </w:tcPr>
          <w:p>
            <w:pPr>
              <w:kinsoku w:val="0"/>
              <w:overflowPunct w:val="0"/>
              <w:spacing w:line="110" w:lineRule="exact"/>
              <w:jc w:val="center"/>
              <w:rPr>
                <w:rFonts w:asciiTheme="minorEastAsia" w:hAnsiTheme="minorEastAsia" w:eastAsiaTheme="minorEastAsia"/>
                <w:sz w:val="21"/>
                <w:szCs w:val="21"/>
              </w:rPr>
            </w:pPr>
          </w:p>
          <w:p>
            <w:pPr>
              <w:kinsoku w:val="0"/>
              <w:overflowPunct w:val="0"/>
              <w:jc w:val="center"/>
              <w:rPr>
                <w:rFonts w:asciiTheme="minorEastAsia" w:hAnsiTheme="minorEastAsia" w:eastAsiaTheme="minorEastAsia"/>
                <w:sz w:val="21"/>
                <w:szCs w:val="21"/>
              </w:rPr>
            </w:pPr>
            <w:r>
              <w:rPr>
                <w:rFonts w:hint="eastAsia" w:cs="宋体" w:asciiTheme="minorEastAsia" w:hAnsiTheme="minorEastAsia" w:eastAsiaTheme="minorEastAsia"/>
                <w:w w:val="110"/>
                <w:sz w:val="21"/>
                <w:szCs w:val="21"/>
              </w:rPr>
              <w:t>主要后果</w:t>
            </w:r>
          </w:p>
        </w:tc>
        <w:tc>
          <w:tcPr>
            <w:tcW w:w="736" w:type="pct"/>
            <w:vAlign w:val="center"/>
          </w:tcPr>
          <w:p>
            <w:pPr>
              <w:kinsoku w:val="0"/>
              <w:overflowPunct w:val="0"/>
              <w:spacing w:line="238" w:lineRule="exact"/>
              <w:jc w:val="center"/>
              <w:rPr>
                <w:rFonts w:asciiTheme="minorEastAsia" w:hAnsiTheme="minorEastAsia" w:eastAsiaTheme="minorEastAsia"/>
                <w:sz w:val="21"/>
                <w:szCs w:val="21"/>
              </w:rPr>
            </w:pPr>
            <w:r>
              <w:rPr>
                <w:rFonts w:hint="eastAsia" w:cs="宋体" w:asciiTheme="minorEastAsia" w:hAnsiTheme="minorEastAsia" w:eastAsiaTheme="minorEastAsia"/>
                <w:w w:val="105"/>
                <w:sz w:val="21"/>
                <w:szCs w:val="21"/>
              </w:rPr>
              <w:t>现有控制措施</w:t>
            </w:r>
          </w:p>
        </w:tc>
        <w:tc>
          <w:tcPr>
            <w:tcW w:w="243" w:type="pct"/>
            <w:vAlign w:val="center"/>
          </w:tcPr>
          <w:p>
            <w:pPr>
              <w:kinsoku w:val="0"/>
              <w:overflowPunct w:val="0"/>
              <w:jc w:val="center"/>
              <w:rPr>
                <w:rFonts w:asciiTheme="minorEastAsia" w:hAnsiTheme="minorEastAsia" w:eastAsiaTheme="minorEastAsia"/>
                <w:sz w:val="21"/>
                <w:szCs w:val="21"/>
              </w:rPr>
            </w:pPr>
            <w:r>
              <w:rPr>
                <w:rFonts w:cs="Arial" w:asciiTheme="minorEastAsia" w:hAnsiTheme="minorEastAsia" w:eastAsiaTheme="minorEastAsia"/>
                <w:w w:val="120"/>
                <w:sz w:val="21"/>
                <w:szCs w:val="21"/>
              </w:rPr>
              <w:t>L</w:t>
            </w:r>
          </w:p>
        </w:tc>
        <w:tc>
          <w:tcPr>
            <w:tcW w:w="189" w:type="pct"/>
            <w:vAlign w:val="center"/>
          </w:tcPr>
          <w:p>
            <w:pPr>
              <w:kinsoku w:val="0"/>
              <w:overflowPunct w:val="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S</w:t>
            </w:r>
          </w:p>
        </w:tc>
        <w:tc>
          <w:tcPr>
            <w:tcW w:w="218" w:type="pct"/>
            <w:vAlign w:val="center"/>
          </w:tcPr>
          <w:p>
            <w:pPr>
              <w:kinsoku w:val="0"/>
              <w:overflowPunct w:val="0"/>
              <w:jc w:val="center"/>
              <w:rPr>
                <w:rFonts w:asciiTheme="minorEastAsia" w:hAnsiTheme="minorEastAsia" w:eastAsiaTheme="minorEastAsia"/>
                <w:sz w:val="21"/>
                <w:szCs w:val="21"/>
              </w:rPr>
            </w:pPr>
            <w:r>
              <w:rPr>
                <w:rFonts w:cs="Arial" w:asciiTheme="minorEastAsia" w:hAnsiTheme="minorEastAsia" w:eastAsiaTheme="minorEastAsia"/>
                <w:w w:val="105"/>
                <w:sz w:val="21"/>
                <w:szCs w:val="21"/>
              </w:rPr>
              <w:t>R</w:t>
            </w:r>
          </w:p>
        </w:tc>
        <w:tc>
          <w:tcPr>
            <w:tcW w:w="361" w:type="pct"/>
            <w:vAlign w:val="center"/>
          </w:tcPr>
          <w:p>
            <w:pPr>
              <w:kinsoku w:val="0"/>
              <w:overflowPunct w:val="0"/>
              <w:spacing w:line="238" w:lineRule="exact"/>
              <w:jc w:val="center"/>
              <w:rPr>
                <w:rFonts w:asciiTheme="minorEastAsia" w:hAnsiTheme="minorEastAsia" w:eastAsiaTheme="minorEastAsia"/>
                <w:sz w:val="21"/>
                <w:szCs w:val="21"/>
              </w:rPr>
            </w:pPr>
            <w:r>
              <w:rPr>
                <w:rFonts w:hint="eastAsia" w:cs="宋体" w:asciiTheme="minorEastAsia" w:hAnsiTheme="minorEastAsia" w:eastAsiaTheme="minorEastAsia"/>
                <w:w w:val="105"/>
                <w:sz w:val="21"/>
                <w:szCs w:val="21"/>
              </w:rPr>
              <w:t xml:space="preserve">风险等 </w:t>
            </w:r>
            <w:r>
              <w:rPr>
                <w:rFonts w:cs="宋体" w:asciiTheme="minorEastAsia" w:hAnsiTheme="minorEastAsia" w:eastAsiaTheme="minorEastAsia"/>
                <w:w w:val="105"/>
                <w:sz w:val="21"/>
                <w:szCs w:val="21"/>
              </w:rPr>
              <w:t xml:space="preserve"> </w:t>
            </w:r>
            <w:r>
              <w:rPr>
                <w:rFonts w:hint="eastAsia" w:cs="宋体" w:asciiTheme="minorEastAsia" w:hAnsiTheme="minorEastAsia" w:eastAsiaTheme="minorEastAsia"/>
                <w:w w:val="105"/>
                <w:sz w:val="21"/>
                <w:szCs w:val="21"/>
              </w:rPr>
              <w:t>级</w:t>
            </w:r>
          </w:p>
        </w:tc>
        <w:tc>
          <w:tcPr>
            <w:tcW w:w="592" w:type="pct"/>
            <w:vAlign w:val="center"/>
          </w:tcPr>
          <w:p>
            <w:pPr>
              <w:kinsoku w:val="0"/>
              <w:overflowPunct w:val="0"/>
              <w:spacing w:line="238" w:lineRule="exact"/>
              <w:jc w:val="center"/>
              <w:rPr>
                <w:rFonts w:cs="宋体" w:asciiTheme="minorEastAsia" w:hAnsiTheme="minorEastAsia" w:eastAsiaTheme="minorEastAsia"/>
                <w:w w:val="105"/>
                <w:sz w:val="21"/>
                <w:szCs w:val="21"/>
              </w:rPr>
            </w:pPr>
            <w:r>
              <w:rPr>
                <w:rFonts w:hint="eastAsia" w:cs="宋体" w:asciiTheme="minorEastAsia" w:hAnsiTheme="minorEastAsia" w:eastAsiaTheme="minorEastAsia"/>
                <w:w w:val="105"/>
                <w:sz w:val="21"/>
                <w:szCs w:val="21"/>
              </w:rPr>
              <w:t>建议新增</w:t>
            </w:r>
          </w:p>
          <w:p>
            <w:pPr>
              <w:kinsoku w:val="0"/>
              <w:overflowPunct w:val="0"/>
              <w:spacing w:line="238" w:lineRule="exact"/>
              <w:jc w:val="center"/>
              <w:rPr>
                <w:rFonts w:asciiTheme="minorEastAsia" w:hAnsiTheme="minorEastAsia" w:eastAsiaTheme="minorEastAsia"/>
                <w:sz w:val="21"/>
                <w:szCs w:val="21"/>
              </w:rPr>
            </w:pPr>
            <w:r>
              <w:rPr>
                <w:rFonts w:hint="eastAsia" w:cs="宋体" w:asciiTheme="minorEastAsia" w:hAnsiTheme="minorEastAsia" w:eastAsiaTheme="minorEastAsia"/>
                <w:w w:val="105"/>
                <w:sz w:val="21"/>
                <w:szCs w:val="21"/>
              </w:rPr>
              <w:t>控制措施</w:t>
            </w:r>
          </w:p>
        </w:tc>
        <w:tc>
          <w:tcPr>
            <w:tcW w:w="376" w:type="pct"/>
            <w:vAlign w:val="center"/>
          </w:tcPr>
          <w:p>
            <w:pPr>
              <w:kinsoku w:val="0"/>
              <w:overflowPunct w:val="0"/>
              <w:spacing w:line="110" w:lineRule="exact"/>
              <w:jc w:val="center"/>
              <w:rPr>
                <w:rFonts w:asciiTheme="minorEastAsia" w:hAnsiTheme="minorEastAsia" w:eastAsiaTheme="minorEastAsia"/>
                <w:sz w:val="21"/>
                <w:szCs w:val="21"/>
              </w:rPr>
            </w:pPr>
          </w:p>
          <w:p>
            <w:pPr>
              <w:kinsoku w:val="0"/>
              <w:overflowPunct w:val="0"/>
              <w:jc w:val="center"/>
              <w:rPr>
                <w:rFonts w:asciiTheme="minorEastAsia" w:hAnsiTheme="minorEastAsia" w:eastAsiaTheme="minorEastAsia"/>
                <w:sz w:val="21"/>
                <w:szCs w:val="21"/>
              </w:rPr>
            </w:pPr>
            <w:r>
              <w:rPr>
                <w:rFonts w:hint="eastAsia" w:cs="宋体" w:asciiTheme="minorEastAsia" w:hAnsiTheme="minorEastAsia" w:eastAsiaTheme="minorEastAsia"/>
                <w:w w:val="110"/>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7" w:hRule="exact"/>
        </w:trPr>
        <w:tc>
          <w:tcPr>
            <w:tcW w:w="353" w:type="pct"/>
            <w:vAlign w:val="center"/>
          </w:tcPr>
          <w:p>
            <w:pPr>
              <w:rPr>
                <w:rFonts w:asciiTheme="minorEastAsia" w:hAnsiTheme="minorEastAsia" w:eastAsiaTheme="minorEastAsia"/>
                <w:sz w:val="21"/>
                <w:szCs w:val="21"/>
              </w:rPr>
            </w:pPr>
          </w:p>
        </w:tc>
        <w:tc>
          <w:tcPr>
            <w:tcW w:w="632" w:type="pct"/>
            <w:vAlign w:val="center"/>
          </w:tcPr>
          <w:p>
            <w:pPr>
              <w:rPr>
                <w:rFonts w:asciiTheme="minorEastAsia" w:hAnsiTheme="minorEastAsia" w:eastAsiaTheme="minorEastAsia"/>
                <w:sz w:val="21"/>
                <w:szCs w:val="21"/>
              </w:rPr>
            </w:pPr>
          </w:p>
        </w:tc>
        <w:tc>
          <w:tcPr>
            <w:tcW w:w="842" w:type="pct"/>
            <w:vAlign w:val="center"/>
          </w:tcPr>
          <w:p>
            <w:pPr>
              <w:rPr>
                <w:rFonts w:asciiTheme="minorEastAsia" w:hAnsiTheme="minorEastAsia" w:eastAsiaTheme="minorEastAsia"/>
                <w:sz w:val="21"/>
                <w:szCs w:val="21"/>
              </w:rPr>
            </w:pPr>
          </w:p>
        </w:tc>
        <w:tc>
          <w:tcPr>
            <w:tcW w:w="458" w:type="pct"/>
            <w:vAlign w:val="center"/>
          </w:tcPr>
          <w:p>
            <w:pPr>
              <w:rPr>
                <w:rFonts w:asciiTheme="minorEastAsia" w:hAnsiTheme="minorEastAsia" w:eastAsiaTheme="minorEastAsia"/>
                <w:sz w:val="21"/>
                <w:szCs w:val="21"/>
              </w:rPr>
            </w:pPr>
          </w:p>
        </w:tc>
        <w:tc>
          <w:tcPr>
            <w:tcW w:w="736" w:type="pct"/>
            <w:vAlign w:val="center"/>
          </w:tcPr>
          <w:p>
            <w:pPr>
              <w:rPr>
                <w:rFonts w:asciiTheme="minorEastAsia" w:hAnsiTheme="minorEastAsia" w:eastAsiaTheme="minorEastAsia"/>
                <w:sz w:val="21"/>
                <w:szCs w:val="21"/>
              </w:rPr>
            </w:pPr>
          </w:p>
        </w:tc>
        <w:tc>
          <w:tcPr>
            <w:tcW w:w="243" w:type="pct"/>
            <w:vAlign w:val="center"/>
          </w:tcPr>
          <w:p>
            <w:pPr>
              <w:rPr>
                <w:rFonts w:asciiTheme="minorEastAsia" w:hAnsiTheme="minorEastAsia" w:eastAsiaTheme="minorEastAsia"/>
                <w:sz w:val="21"/>
                <w:szCs w:val="21"/>
              </w:rPr>
            </w:pPr>
          </w:p>
        </w:tc>
        <w:tc>
          <w:tcPr>
            <w:tcW w:w="189" w:type="pct"/>
            <w:vAlign w:val="center"/>
          </w:tcPr>
          <w:p>
            <w:pPr>
              <w:rPr>
                <w:rFonts w:asciiTheme="minorEastAsia" w:hAnsiTheme="minorEastAsia" w:eastAsiaTheme="minorEastAsia"/>
                <w:sz w:val="21"/>
                <w:szCs w:val="21"/>
              </w:rPr>
            </w:pPr>
          </w:p>
        </w:tc>
        <w:tc>
          <w:tcPr>
            <w:tcW w:w="218" w:type="pct"/>
            <w:vAlign w:val="center"/>
          </w:tcPr>
          <w:p>
            <w:pPr>
              <w:rPr>
                <w:rFonts w:asciiTheme="minorEastAsia" w:hAnsiTheme="minorEastAsia" w:eastAsiaTheme="minorEastAsia"/>
                <w:sz w:val="21"/>
                <w:szCs w:val="21"/>
              </w:rPr>
            </w:pPr>
          </w:p>
        </w:tc>
        <w:tc>
          <w:tcPr>
            <w:tcW w:w="361" w:type="pct"/>
            <w:vAlign w:val="center"/>
          </w:tcPr>
          <w:p>
            <w:pPr>
              <w:rPr>
                <w:rFonts w:asciiTheme="minorEastAsia" w:hAnsiTheme="minorEastAsia" w:eastAsiaTheme="minorEastAsia"/>
                <w:sz w:val="21"/>
                <w:szCs w:val="21"/>
              </w:rPr>
            </w:pPr>
          </w:p>
        </w:tc>
        <w:tc>
          <w:tcPr>
            <w:tcW w:w="592" w:type="pct"/>
            <w:vAlign w:val="center"/>
          </w:tcPr>
          <w:p>
            <w:pPr>
              <w:rPr>
                <w:rFonts w:asciiTheme="minorEastAsia" w:hAnsiTheme="minorEastAsia" w:eastAsiaTheme="minorEastAsia"/>
                <w:sz w:val="21"/>
                <w:szCs w:val="21"/>
              </w:rPr>
            </w:pPr>
          </w:p>
        </w:tc>
        <w:tc>
          <w:tcPr>
            <w:tcW w:w="376" w:type="pct"/>
            <w:vAlign w:val="center"/>
          </w:tcPr>
          <w:p>
            <w:pPr>
              <w:rPr>
                <w:rFonts w:asciiTheme="minorEastAsia" w:hAnsiTheme="minorEastAsia"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7" w:hRule="exact"/>
        </w:trPr>
        <w:tc>
          <w:tcPr>
            <w:tcW w:w="353" w:type="pct"/>
            <w:vAlign w:val="center"/>
          </w:tcPr>
          <w:p>
            <w:pPr>
              <w:rPr>
                <w:rFonts w:asciiTheme="minorEastAsia" w:hAnsiTheme="minorEastAsia" w:eastAsiaTheme="minorEastAsia"/>
                <w:sz w:val="21"/>
                <w:szCs w:val="21"/>
              </w:rPr>
            </w:pPr>
          </w:p>
        </w:tc>
        <w:tc>
          <w:tcPr>
            <w:tcW w:w="632" w:type="pct"/>
            <w:vAlign w:val="center"/>
          </w:tcPr>
          <w:p>
            <w:pPr>
              <w:rPr>
                <w:rFonts w:asciiTheme="minorEastAsia" w:hAnsiTheme="minorEastAsia" w:eastAsiaTheme="minorEastAsia"/>
                <w:sz w:val="21"/>
                <w:szCs w:val="21"/>
              </w:rPr>
            </w:pPr>
          </w:p>
        </w:tc>
        <w:tc>
          <w:tcPr>
            <w:tcW w:w="842" w:type="pct"/>
            <w:vAlign w:val="center"/>
          </w:tcPr>
          <w:p>
            <w:pPr>
              <w:rPr>
                <w:rFonts w:asciiTheme="minorEastAsia" w:hAnsiTheme="minorEastAsia" w:eastAsiaTheme="minorEastAsia"/>
                <w:sz w:val="21"/>
                <w:szCs w:val="21"/>
              </w:rPr>
            </w:pPr>
          </w:p>
        </w:tc>
        <w:tc>
          <w:tcPr>
            <w:tcW w:w="458" w:type="pct"/>
            <w:vAlign w:val="center"/>
          </w:tcPr>
          <w:p>
            <w:pPr>
              <w:rPr>
                <w:rFonts w:asciiTheme="minorEastAsia" w:hAnsiTheme="minorEastAsia" w:eastAsiaTheme="minorEastAsia"/>
                <w:sz w:val="21"/>
                <w:szCs w:val="21"/>
              </w:rPr>
            </w:pPr>
          </w:p>
        </w:tc>
        <w:tc>
          <w:tcPr>
            <w:tcW w:w="736" w:type="pct"/>
            <w:vAlign w:val="center"/>
          </w:tcPr>
          <w:p>
            <w:pPr>
              <w:rPr>
                <w:rFonts w:asciiTheme="minorEastAsia" w:hAnsiTheme="minorEastAsia" w:eastAsiaTheme="minorEastAsia"/>
                <w:sz w:val="21"/>
                <w:szCs w:val="21"/>
              </w:rPr>
            </w:pPr>
          </w:p>
        </w:tc>
        <w:tc>
          <w:tcPr>
            <w:tcW w:w="243" w:type="pct"/>
            <w:vAlign w:val="center"/>
          </w:tcPr>
          <w:p>
            <w:pPr>
              <w:rPr>
                <w:rFonts w:asciiTheme="minorEastAsia" w:hAnsiTheme="minorEastAsia" w:eastAsiaTheme="minorEastAsia"/>
                <w:sz w:val="21"/>
                <w:szCs w:val="21"/>
              </w:rPr>
            </w:pPr>
          </w:p>
        </w:tc>
        <w:tc>
          <w:tcPr>
            <w:tcW w:w="189" w:type="pct"/>
            <w:vAlign w:val="center"/>
          </w:tcPr>
          <w:p>
            <w:pPr>
              <w:rPr>
                <w:rFonts w:asciiTheme="minorEastAsia" w:hAnsiTheme="minorEastAsia" w:eastAsiaTheme="minorEastAsia"/>
                <w:sz w:val="21"/>
                <w:szCs w:val="21"/>
              </w:rPr>
            </w:pPr>
          </w:p>
        </w:tc>
        <w:tc>
          <w:tcPr>
            <w:tcW w:w="218" w:type="pct"/>
            <w:vAlign w:val="center"/>
          </w:tcPr>
          <w:p>
            <w:pPr>
              <w:rPr>
                <w:rFonts w:asciiTheme="minorEastAsia" w:hAnsiTheme="minorEastAsia" w:eastAsiaTheme="minorEastAsia"/>
                <w:sz w:val="21"/>
                <w:szCs w:val="21"/>
              </w:rPr>
            </w:pPr>
          </w:p>
        </w:tc>
        <w:tc>
          <w:tcPr>
            <w:tcW w:w="361" w:type="pct"/>
            <w:vAlign w:val="center"/>
          </w:tcPr>
          <w:p>
            <w:pPr>
              <w:rPr>
                <w:rFonts w:asciiTheme="minorEastAsia" w:hAnsiTheme="minorEastAsia" w:eastAsiaTheme="minorEastAsia"/>
                <w:sz w:val="21"/>
                <w:szCs w:val="21"/>
              </w:rPr>
            </w:pPr>
          </w:p>
        </w:tc>
        <w:tc>
          <w:tcPr>
            <w:tcW w:w="592" w:type="pct"/>
            <w:vAlign w:val="center"/>
          </w:tcPr>
          <w:p>
            <w:pPr>
              <w:rPr>
                <w:rFonts w:asciiTheme="minorEastAsia" w:hAnsiTheme="minorEastAsia" w:eastAsiaTheme="minorEastAsia"/>
                <w:sz w:val="21"/>
                <w:szCs w:val="21"/>
              </w:rPr>
            </w:pPr>
          </w:p>
        </w:tc>
        <w:tc>
          <w:tcPr>
            <w:tcW w:w="376" w:type="pct"/>
            <w:vAlign w:val="center"/>
          </w:tcPr>
          <w:p>
            <w:pPr>
              <w:rPr>
                <w:rFonts w:asciiTheme="minorEastAsia" w:hAnsiTheme="minorEastAsia"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2" w:hRule="exact"/>
        </w:trPr>
        <w:tc>
          <w:tcPr>
            <w:tcW w:w="985" w:type="pct"/>
            <w:gridSpan w:val="2"/>
            <w:vAlign w:val="center"/>
          </w:tcPr>
          <w:p>
            <w:pPr>
              <w:kinsoku w:val="0"/>
              <w:overflowPunct w:val="0"/>
              <w:spacing w:line="248" w:lineRule="exact"/>
              <w:rPr>
                <w:rFonts w:asciiTheme="minorEastAsia" w:hAnsiTheme="minorEastAsia" w:eastAsiaTheme="minorEastAsia"/>
                <w:sz w:val="21"/>
                <w:szCs w:val="21"/>
              </w:rPr>
            </w:pPr>
            <w:r>
              <w:rPr>
                <w:rFonts w:hint="eastAsia" w:cs="宋体" w:asciiTheme="minorEastAsia" w:hAnsiTheme="minorEastAsia" w:eastAsiaTheme="minorEastAsia"/>
                <w:sz w:val="21"/>
                <w:szCs w:val="21"/>
              </w:rPr>
              <w:t>填表说明</w:t>
            </w:r>
          </w:p>
        </w:tc>
        <w:tc>
          <w:tcPr>
            <w:tcW w:w="3047" w:type="pct"/>
            <w:gridSpan w:val="7"/>
            <w:vAlign w:val="center"/>
          </w:tcPr>
          <w:p>
            <w:pPr>
              <w:kinsoku w:val="0"/>
              <w:overflowPunct w:val="0"/>
              <w:spacing w:line="248" w:lineRule="exact"/>
              <w:rPr>
                <w:rFonts w:hint="eastAsia" w:asciiTheme="minorEastAsia" w:hAnsiTheme="minorEastAsia" w:eastAsiaTheme="minorEastAsia"/>
                <w:sz w:val="21"/>
                <w:szCs w:val="21"/>
                <w:lang w:eastAsia="zh-CN"/>
              </w:rPr>
            </w:pPr>
            <w:r>
              <w:rPr>
                <w:rFonts w:hint="eastAsia" w:cs="宋体" w:asciiTheme="minorEastAsia" w:hAnsiTheme="minorEastAsia" w:eastAsiaTheme="minorEastAsia"/>
                <w:sz w:val="21"/>
                <w:szCs w:val="21"/>
              </w:rPr>
              <w:t>审核人为所在岗位</w:t>
            </w:r>
            <w:r>
              <w:rPr>
                <w:rFonts w:cs="宋体" w:asciiTheme="minorEastAsia" w:hAnsiTheme="minorEastAsia" w:eastAsiaTheme="minorEastAsia"/>
                <w:sz w:val="21"/>
                <w:szCs w:val="21"/>
              </w:rPr>
              <w:t>/</w:t>
            </w:r>
            <w:r>
              <w:rPr>
                <w:rFonts w:hint="eastAsia" w:cs="宋体" w:asciiTheme="minorEastAsia" w:hAnsiTheme="minorEastAsia" w:eastAsiaTheme="minorEastAsia"/>
                <w:sz w:val="21"/>
                <w:szCs w:val="21"/>
              </w:rPr>
              <w:t>工序负责人，审定人为上级</w:t>
            </w:r>
            <w:r>
              <w:rPr>
                <w:rFonts w:hint="eastAsia" w:cs="宋体" w:asciiTheme="minorEastAsia" w:hAnsiTheme="minorEastAsia" w:eastAsiaTheme="minorEastAsia"/>
                <w:sz w:val="21"/>
                <w:szCs w:val="21"/>
                <w:lang w:eastAsia="zh-CN"/>
              </w:rPr>
              <w:t>负责人</w:t>
            </w:r>
            <w:bookmarkStart w:id="268" w:name="_GoBack"/>
            <w:bookmarkEnd w:id="268"/>
          </w:p>
        </w:tc>
        <w:tc>
          <w:tcPr>
            <w:tcW w:w="592" w:type="pct"/>
            <w:vAlign w:val="center"/>
          </w:tcPr>
          <w:p>
            <w:pPr>
              <w:rPr>
                <w:rFonts w:asciiTheme="minorEastAsia" w:hAnsiTheme="minorEastAsia" w:eastAsiaTheme="minorEastAsia"/>
                <w:sz w:val="21"/>
                <w:szCs w:val="21"/>
              </w:rPr>
            </w:pPr>
          </w:p>
        </w:tc>
        <w:tc>
          <w:tcPr>
            <w:tcW w:w="376" w:type="pct"/>
            <w:vAlign w:val="center"/>
          </w:tcPr>
          <w:p>
            <w:pPr>
              <w:rPr>
                <w:rFonts w:asciiTheme="minorEastAsia" w:hAnsiTheme="minorEastAsia" w:eastAsiaTheme="minorEastAsia"/>
                <w:sz w:val="21"/>
                <w:szCs w:val="21"/>
              </w:rPr>
            </w:pPr>
          </w:p>
        </w:tc>
      </w:tr>
    </w:tbl>
    <w:p>
      <w:pPr>
        <w:tabs>
          <w:tab w:val="left" w:pos="1792"/>
          <w:tab w:val="left" w:pos="2922"/>
          <w:tab w:val="left" w:pos="4405"/>
          <w:tab w:val="left" w:pos="5643"/>
          <w:tab w:val="left" w:pos="6766"/>
        </w:tabs>
        <w:kinsoku w:val="0"/>
        <w:overflowPunct w:val="0"/>
        <w:spacing w:line="252" w:lineRule="exact"/>
        <w:ind w:firstLine="597" w:firstLineChars="300"/>
        <w:jc w:val="left"/>
        <w:rPr>
          <w:rFonts w:asciiTheme="minorEastAsia" w:hAnsiTheme="minorEastAsia" w:eastAsiaTheme="minorEastAsia"/>
          <w:sz w:val="21"/>
          <w:szCs w:val="21"/>
        </w:rPr>
      </w:pPr>
      <w:r>
        <w:rPr>
          <w:rFonts w:hint="eastAsia" w:cs="宋体" w:asciiTheme="minorEastAsia" w:hAnsiTheme="minorEastAsia" w:eastAsiaTheme="minorEastAsia"/>
          <w:w w:val="95"/>
          <w:sz w:val="21"/>
          <w:szCs w:val="21"/>
        </w:rPr>
        <w:t>分析人员</w:t>
      </w:r>
      <w:r>
        <w:rPr>
          <w:rFonts w:hint="eastAsia" w:asciiTheme="minorEastAsia" w:hAnsiTheme="minorEastAsia" w:eastAsiaTheme="minorEastAsia"/>
          <w:w w:val="95"/>
          <w:sz w:val="21"/>
          <w:szCs w:val="21"/>
        </w:rPr>
        <w:t xml:space="preserve">： </w:t>
      </w:r>
      <w:r>
        <w:rPr>
          <w:rFonts w:asciiTheme="minorEastAsia" w:hAnsiTheme="minorEastAsia" w:eastAsiaTheme="minorEastAsia"/>
          <w:w w:val="95"/>
          <w:sz w:val="21"/>
          <w:szCs w:val="21"/>
        </w:rPr>
        <w:t xml:space="preserve">             </w:t>
      </w:r>
      <w:r>
        <w:rPr>
          <w:rFonts w:hint="eastAsia" w:cs="宋体" w:asciiTheme="minorEastAsia" w:hAnsiTheme="minorEastAsia" w:eastAsiaTheme="minorEastAsia"/>
          <w:w w:val="95"/>
          <w:sz w:val="21"/>
          <w:szCs w:val="21"/>
        </w:rPr>
        <w:t>日</w:t>
      </w:r>
      <w:r>
        <w:rPr>
          <w:rFonts w:hint="eastAsia" w:cs="宋体" w:asciiTheme="minorEastAsia" w:hAnsiTheme="minorEastAsia" w:eastAsiaTheme="minorEastAsia"/>
          <w:spacing w:val="-4"/>
          <w:w w:val="95"/>
          <w:sz w:val="21"/>
          <w:szCs w:val="21"/>
        </w:rPr>
        <w:t>期</w:t>
      </w:r>
      <w:r>
        <w:rPr>
          <w:rFonts w:hint="eastAsia" w:asciiTheme="minorEastAsia" w:hAnsiTheme="minorEastAsia" w:eastAsiaTheme="minorEastAsia"/>
          <w:w w:val="95"/>
          <w:sz w:val="21"/>
          <w:szCs w:val="21"/>
        </w:rPr>
        <w:t xml:space="preserve">： </w:t>
      </w:r>
      <w:r>
        <w:rPr>
          <w:rFonts w:asciiTheme="minorEastAsia" w:hAnsiTheme="minorEastAsia" w:eastAsiaTheme="minorEastAsia"/>
          <w:w w:val="95"/>
          <w:sz w:val="21"/>
          <w:szCs w:val="21"/>
        </w:rPr>
        <w:t xml:space="preserve">           </w:t>
      </w:r>
      <w:r>
        <w:rPr>
          <w:rFonts w:hint="eastAsia" w:cs="宋体" w:asciiTheme="minorEastAsia" w:hAnsiTheme="minorEastAsia" w:eastAsiaTheme="minorEastAsia"/>
          <w:w w:val="95"/>
          <w:sz w:val="21"/>
          <w:szCs w:val="21"/>
        </w:rPr>
        <w:t xml:space="preserve">审核人： </w:t>
      </w:r>
      <w:r>
        <w:rPr>
          <w:rFonts w:cs="宋体" w:asciiTheme="minorEastAsia" w:hAnsiTheme="minorEastAsia" w:eastAsiaTheme="minorEastAsia"/>
          <w:w w:val="95"/>
          <w:sz w:val="21"/>
          <w:szCs w:val="21"/>
        </w:rPr>
        <w:t xml:space="preserve">            </w:t>
      </w:r>
      <w:r>
        <w:rPr>
          <w:rFonts w:hint="eastAsia" w:cs="宋体" w:asciiTheme="minorEastAsia" w:hAnsiTheme="minorEastAsia" w:eastAsiaTheme="minorEastAsia"/>
          <w:w w:val="95"/>
          <w:sz w:val="21"/>
          <w:szCs w:val="21"/>
        </w:rPr>
        <w:t>日</w:t>
      </w:r>
      <w:r>
        <w:rPr>
          <w:rFonts w:hint="eastAsia" w:cs="宋体" w:asciiTheme="minorEastAsia" w:hAnsiTheme="minorEastAsia" w:eastAsiaTheme="minorEastAsia"/>
          <w:spacing w:val="-10"/>
          <w:w w:val="95"/>
          <w:sz w:val="21"/>
          <w:szCs w:val="21"/>
        </w:rPr>
        <w:t xml:space="preserve">期： </w:t>
      </w:r>
      <w:r>
        <w:rPr>
          <w:rFonts w:cs="宋体" w:asciiTheme="minorEastAsia" w:hAnsiTheme="minorEastAsia" w:eastAsiaTheme="minorEastAsia"/>
          <w:spacing w:val="-10"/>
          <w:w w:val="95"/>
          <w:sz w:val="21"/>
          <w:szCs w:val="21"/>
        </w:rPr>
        <w:t xml:space="preserve">          </w:t>
      </w:r>
      <w:r>
        <w:rPr>
          <w:rFonts w:hint="eastAsia" w:cs="宋体" w:asciiTheme="minorEastAsia" w:hAnsiTheme="minorEastAsia" w:eastAsiaTheme="minorEastAsia"/>
          <w:w w:val="95"/>
          <w:sz w:val="21"/>
          <w:szCs w:val="21"/>
        </w:rPr>
        <w:t>审定人</w:t>
      </w:r>
      <w:r>
        <w:rPr>
          <w:rFonts w:hint="eastAsia" w:asciiTheme="minorEastAsia" w:hAnsiTheme="minorEastAsia" w:eastAsiaTheme="minorEastAsia"/>
          <w:w w:val="95"/>
          <w:sz w:val="21"/>
          <w:szCs w:val="21"/>
        </w:rPr>
        <w:t xml:space="preserve">： </w:t>
      </w:r>
      <w:r>
        <w:rPr>
          <w:rFonts w:asciiTheme="minorEastAsia" w:hAnsiTheme="minorEastAsia" w:eastAsiaTheme="minorEastAsia"/>
          <w:w w:val="95"/>
          <w:sz w:val="21"/>
          <w:szCs w:val="21"/>
        </w:rPr>
        <w:t xml:space="preserve">            </w:t>
      </w:r>
      <w:r>
        <w:rPr>
          <w:rFonts w:hint="eastAsia" w:cs="宋体" w:asciiTheme="minorEastAsia" w:hAnsiTheme="minorEastAsia" w:eastAsiaTheme="minorEastAsia"/>
          <w:w w:val="95"/>
          <w:sz w:val="21"/>
          <w:szCs w:val="21"/>
        </w:rPr>
        <w:t>审定日期</w:t>
      </w:r>
      <w:r>
        <w:rPr>
          <w:rFonts w:hint="eastAsia" w:asciiTheme="minorEastAsia" w:hAnsiTheme="minorEastAsia" w:eastAsiaTheme="minorEastAsia"/>
          <w:w w:val="95"/>
          <w:sz w:val="21"/>
          <w:szCs w:val="21"/>
        </w:rPr>
        <w:t>：</w:t>
      </w:r>
    </w:p>
    <w:p>
      <w:pPr>
        <w:kinsoku w:val="0"/>
        <w:overflowPunct w:val="0"/>
        <w:spacing w:line="14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 </w:t>
      </w:r>
      <w:r>
        <w:rPr>
          <w:rFonts w:asciiTheme="minorEastAsia" w:hAnsiTheme="minorEastAsia" w:eastAsiaTheme="minorEastAsia"/>
          <w:sz w:val="21"/>
          <w:szCs w:val="21"/>
        </w:rPr>
        <w:t xml:space="preserve"> </w:t>
      </w:r>
    </w:p>
    <w:p>
      <w:pPr>
        <w:kinsoku w:val="0"/>
        <w:overflowPunct w:val="0"/>
        <w:spacing w:line="200" w:lineRule="exact"/>
        <w:rPr>
          <w:sz w:val="20"/>
          <w:szCs w:val="20"/>
        </w:rPr>
      </w:pPr>
    </w:p>
    <w:p>
      <w:pPr>
        <w:kinsoku w:val="0"/>
        <w:overflowPunct w:val="0"/>
        <w:spacing w:line="200" w:lineRule="exact"/>
        <w:rPr>
          <w:sz w:val="20"/>
          <w:szCs w:val="20"/>
        </w:rPr>
      </w:pPr>
    </w:p>
    <w:p>
      <w:pPr>
        <w:jc w:val="center"/>
        <w:outlineLvl w:val="1"/>
        <w:rPr>
          <w:rFonts w:ascii="方正小标宋_GBK" w:hAnsi="黑体" w:eastAsia="方正小标宋_GBK"/>
          <w:b/>
          <w:bCs/>
          <w:sz w:val="28"/>
          <w:szCs w:val="28"/>
        </w:rPr>
      </w:pPr>
      <w:bookmarkStart w:id="179" w:name="_Toc119336618"/>
      <w:bookmarkStart w:id="180" w:name="_Toc117541336"/>
      <w:r>
        <w:rPr>
          <w:rFonts w:hint="eastAsia" w:ascii="方正小标宋_GBK" w:hAnsi="黑体" w:eastAsia="方正小标宋_GBK"/>
          <w:b/>
          <w:bCs/>
          <w:sz w:val="28"/>
          <w:szCs w:val="28"/>
        </w:rPr>
        <w:t>作业危害分析 (JHA+LEC)评价表</w:t>
      </w:r>
      <w:bookmarkEnd w:id="179"/>
      <w:bookmarkEnd w:id="180"/>
    </w:p>
    <w:p>
      <w:pPr>
        <w:kinsoku w:val="0"/>
        <w:overflowPunct w:val="0"/>
        <w:spacing w:line="260" w:lineRule="exact"/>
        <w:rPr>
          <w:sz w:val="26"/>
          <w:szCs w:val="26"/>
        </w:rPr>
      </w:pPr>
    </w:p>
    <w:p>
      <w:pPr>
        <w:tabs>
          <w:tab w:val="left" w:pos="2660"/>
          <w:tab w:val="left" w:pos="4078"/>
          <w:tab w:val="left" w:pos="7771"/>
        </w:tabs>
        <w:kinsoku w:val="0"/>
        <w:overflowPunct w:val="0"/>
        <w:jc w:val="left"/>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 xml:space="preserve">单位： </w:t>
      </w:r>
      <w:r>
        <w:rPr>
          <w:rFonts w:cs="宋体" w:asciiTheme="minorEastAsia" w:hAnsiTheme="minorEastAsia" w:eastAsiaTheme="minorEastAsia"/>
          <w:sz w:val="21"/>
          <w:szCs w:val="21"/>
        </w:rPr>
        <w:t xml:space="preserve">                      </w:t>
      </w:r>
      <w:r>
        <w:rPr>
          <w:rFonts w:hint="eastAsia" w:cs="宋体" w:asciiTheme="minorEastAsia" w:hAnsiTheme="minorEastAsia" w:eastAsiaTheme="minorEastAsia"/>
          <w:sz w:val="21"/>
          <w:szCs w:val="21"/>
        </w:rPr>
        <w:t xml:space="preserve">岗位： </w:t>
      </w:r>
      <w:r>
        <w:rPr>
          <w:rFonts w:cs="宋体" w:asciiTheme="minorEastAsia" w:hAnsiTheme="minorEastAsia" w:eastAsiaTheme="minorEastAsia"/>
          <w:sz w:val="21"/>
          <w:szCs w:val="21"/>
        </w:rPr>
        <w:t xml:space="preserve">                 </w:t>
      </w:r>
      <w:r>
        <w:rPr>
          <w:rFonts w:hint="eastAsia" w:cs="宋体" w:asciiTheme="minorEastAsia" w:hAnsiTheme="minorEastAsia" w:eastAsiaTheme="minorEastAsia"/>
          <w:position w:val="1"/>
          <w:sz w:val="21"/>
          <w:szCs w:val="21"/>
        </w:rPr>
        <w:t>风险点</w:t>
      </w:r>
      <w:r>
        <w:rPr>
          <w:rFonts w:cs="宋体" w:asciiTheme="minorEastAsia" w:hAnsiTheme="minorEastAsia" w:eastAsiaTheme="minorEastAsia"/>
          <w:position w:val="1"/>
          <w:sz w:val="21"/>
          <w:szCs w:val="21"/>
        </w:rPr>
        <w:t>(</w:t>
      </w:r>
      <w:r>
        <w:rPr>
          <w:rFonts w:hint="eastAsia" w:cs="宋体" w:asciiTheme="minorEastAsia" w:hAnsiTheme="minorEastAsia" w:eastAsiaTheme="minorEastAsia"/>
          <w:position w:val="1"/>
          <w:sz w:val="21"/>
          <w:szCs w:val="21"/>
        </w:rPr>
        <w:t>作业活动</w:t>
      </w:r>
      <w:r>
        <w:rPr>
          <w:rFonts w:cs="宋体" w:asciiTheme="minorEastAsia" w:hAnsiTheme="minorEastAsia" w:eastAsiaTheme="minorEastAsia"/>
          <w:position w:val="1"/>
          <w:sz w:val="21"/>
          <w:szCs w:val="21"/>
        </w:rPr>
        <w:t>)</w:t>
      </w:r>
      <w:r>
        <w:rPr>
          <w:rFonts w:hint="eastAsia" w:cs="宋体" w:asciiTheme="minorEastAsia" w:hAnsiTheme="minorEastAsia" w:eastAsiaTheme="minorEastAsia"/>
          <w:position w:val="1"/>
          <w:sz w:val="21"/>
          <w:szCs w:val="21"/>
        </w:rPr>
        <w:t xml:space="preserve">名称： </w:t>
      </w:r>
      <w:r>
        <w:rPr>
          <w:rFonts w:cs="宋体" w:asciiTheme="minorEastAsia" w:hAnsiTheme="minorEastAsia" w:eastAsiaTheme="minorEastAsia"/>
          <w:position w:val="1"/>
          <w:sz w:val="21"/>
          <w:szCs w:val="21"/>
        </w:rPr>
        <w:t xml:space="preserve">                                  </w:t>
      </w:r>
      <w:r>
        <w:rPr>
          <w:rFonts w:cs="Courier New" w:asciiTheme="minorEastAsia" w:hAnsiTheme="minorEastAsia" w:eastAsiaTheme="minorEastAsia"/>
          <w:position w:val="1"/>
          <w:sz w:val="21"/>
          <w:szCs w:val="21"/>
        </w:rPr>
        <w:t>N</w:t>
      </w:r>
      <w:r>
        <w:rPr>
          <w:rFonts w:cs="Courier New" w:asciiTheme="minorEastAsia" w:hAnsiTheme="minorEastAsia" w:eastAsiaTheme="minorEastAsia"/>
          <w:spacing w:val="15"/>
          <w:position w:val="1"/>
          <w:sz w:val="21"/>
          <w:szCs w:val="21"/>
        </w:rPr>
        <w:t>o</w:t>
      </w:r>
      <w:r>
        <w:rPr>
          <w:rFonts w:hint="eastAsia" w:cs="宋体" w:asciiTheme="minorEastAsia" w:hAnsiTheme="minorEastAsia" w:eastAsiaTheme="minorEastAsia"/>
          <w:position w:val="1"/>
          <w:sz w:val="21"/>
          <w:szCs w:val="21"/>
        </w:rPr>
        <w:t>：</w:t>
      </w:r>
    </w:p>
    <w:tbl>
      <w:tblPr>
        <w:tblStyle w:val="3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985"/>
        <w:gridCol w:w="1763"/>
        <w:gridCol w:w="2358"/>
        <w:gridCol w:w="1277"/>
        <w:gridCol w:w="2042"/>
        <w:gridCol w:w="478"/>
        <w:gridCol w:w="517"/>
        <w:gridCol w:w="578"/>
        <w:gridCol w:w="416"/>
        <w:gridCol w:w="964"/>
        <w:gridCol w:w="1612"/>
        <w:gridCol w:w="9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0" w:hRule="exact"/>
        </w:trPr>
        <w:tc>
          <w:tcPr>
            <w:tcW w:w="353" w:type="pct"/>
            <w:vAlign w:val="center"/>
          </w:tcPr>
          <w:p>
            <w:pPr>
              <w:kinsoku w:val="0"/>
              <w:overflowPunct w:val="0"/>
              <w:spacing w:line="110" w:lineRule="exact"/>
              <w:jc w:val="center"/>
              <w:rPr>
                <w:rFonts w:asciiTheme="minorEastAsia" w:hAnsiTheme="minorEastAsia" w:eastAsiaTheme="minorEastAsia"/>
                <w:sz w:val="21"/>
                <w:szCs w:val="21"/>
              </w:rPr>
            </w:pPr>
          </w:p>
          <w:p>
            <w:pPr>
              <w:kinsoku w:val="0"/>
              <w:overflowPunct w:val="0"/>
              <w:jc w:val="center"/>
              <w:rPr>
                <w:rFonts w:asciiTheme="minorEastAsia" w:hAnsiTheme="minorEastAsia" w:eastAsiaTheme="minorEastAsia"/>
                <w:sz w:val="21"/>
                <w:szCs w:val="21"/>
              </w:rPr>
            </w:pPr>
            <w:r>
              <w:rPr>
                <w:rFonts w:hint="eastAsia" w:cs="宋体" w:asciiTheme="minorEastAsia" w:hAnsiTheme="minorEastAsia" w:eastAsiaTheme="minorEastAsia"/>
                <w:w w:val="105"/>
                <w:sz w:val="21"/>
                <w:szCs w:val="21"/>
              </w:rPr>
              <w:t>序号</w:t>
            </w:r>
          </w:p>
        </w:tc>
        <w:tc>
          <w:tcPr>
            <w:tcW w:w="631" w:type="pct"/>
            <w:vAlign w:val="center"/>
          </w:tcPr>
          <w:p>
            <w:pPr>
              <w:kinsoku w:val="0"/>
              <w:overflowPunct w:val="0"/>
              <w:spacing w:line="110" w:lineRule="exact"/>
              <w:jc w:val="center"/>
              <w:rPr>
                <w:rFonts w:asciiTheme="minorEastAsia" w:hAnsiTheme="minorEastAsia" w:eastAsiaTheme="minorEastAsia"/>
                <w:sz w:val="21"/>
                <w:szCs w:val="21"/>
              </w:rPr>
            </w:pPr>
          </w:p>
          <w:p>
            <w:pPr>
              <w:kinsoku w:val="0"/>
              <w:overflowPunct w:val="0"/>
              <w:jc w:val="center"/>
              <w:rPr>
                <w:rFonts w:asciiTheme="minorEastAsia" w:hAnsiTheme="minorEastAsia" w:eastAsiaTheme="minorEastAsia"/>
                <w:sz w:val="21"/>
                <w:szCs w:val="21"/>
              </w:rPr>
            </w:pPr>
            <w:r>
              <w:rPr>
                <w:rFonts w:hint="eastAsia" w:cs="宋体" w:asciiTheme="minorEastAsia" w:hAnsiTheme="minorEastAsia" w:eastAsiaTheme="minorEastAsia"/>
                <w:w w:val="110"/>
                <w:sz w:val="21"/>
                <w:szCs w:val="21"/>
              </w:rPr>
              <w:t>作业步骤</w:t>
            </w:r>
          </w:p>
        </w:tc>
        <w:tc>
          <w:tcPr>
            <w:tcW w:w="844" w:type="pct"/>
            <w:vAlign w:val="center"/>
          </w:tcPr>
          <w:p>
            <w:pPr>
              <w:kinsoku w:val="0"/>
              <w:overflowPunct w:val="0"/>
              <w:spacing w:line="230" w:lineRule="exact"/>
              <w:jc w:val="center"/>
              <w:rPr>
                <w:rFonts w:asciiTheme="minorEastAsia" w:hAnsiTheme="minorEastAsia" w:eastAsiaTheme="minorEastAsia"/>
                <w:sz w:val="21"/>
                <w:szCs w:val="21"/>
              </w:rPr>
            </w:pPr>
            <w:r>
              <w:rPr>
                <w:rFonts w:hint="eastAsia" w:cs="宋体" w:asciiTheme="minorEastAsia" w:hAnsiTheme="minorEastAsia" w:eastAsiaTheme="minorEastAsia"/>
                <w:w w:val="105"/>
                <w:sz w:val="21"/>
                <w:szCs w:val="21"/>
              </w:rPr>
              <w:t>危害因素或潜</w:t>
            </w:r>
            <w:r>
              <w:rPr>
                <w:rFonts w:hint="eastAsia" w:cs="宋体" w:asciiTheme="minorEastAsia" w:hAnsiTheme="minorEastAsia" w:eastAsiaTheme="minorEastAsia"/>
                <w:w w:val="110"/>
                <w:sz w:val="21"/>
                <w:szCs w:val="21"/>
              </w:rPr>
              <w:t>在事件</w:t>
            </w:r>
          </w:p>
        </w:tc>
        <w:tc>
          <w:tcPr>
            <w:tcW w:w="457" w:type="pct"/>
            <w:vAlign w:val="center"/>
          </w:tcPr>
          <w:p>
            <w:pPr>
              <w:kinsoku w:val="0"/>
              <w:overflowPunct w:val="0"/>
              <w:spacing w:line="238" w:lineRule="exact"/>
              <w:ind w:hanging="195"/>
              <w:jc w:val="center"/>
              <w:rPr>
                <w:rFonts w:asciiTheme="minorEastAsia" w:hAnsiTheme="minorEastAsia" w:eastAsiaTheme="minorEastAsia"/>
                <w:sz w:val="21"/>
                <w:szCs w:val="21"/>
              </w:rPr>
            </w:pPr>
            <w:r>
              <w:rPr>
                <w:rFonts w:hint="eastAsia" w:cs="宋体" w:asciiTheme="minorEastAsia" w:hAnsiTheme="minorEastAsia" w:eastAsiaTheme="minorEastAsia"/>
                <w:w w:val="105"/>
                <w:sz w:val="21"/>
                <w:szCs w:val="21"/>
              </w:rPr>
              <w:t>主要后</w:t>
            </w:r>
            <w:r>
              <w:rPr>
                <w:rFonts w:hint="eastAsia" w:cs="宋体" w:asciiTheme="minorEastAsia" w:hAnsiTheme="minorEastAsia" w:eastAsiaTheme="minorEastAsia"/>
                <w:w w:val="110"/>
                <w:sz w:val="21"/>
                <w:szCs w:val="21"/>
              </w:rPr>
              <w:t>果</w:t>
            </w:r>
          </w:p>
        </w:tc>
        <w:tc>
          <w:tcPr>
            <w:tcW w:w="731" w:type="pct"/>
            <w:vAlign w:val="center"/>
          </w:tcPr>
          <w:p>
            <w:pPr>
              <w:kinsoku w:val="0"/>
              <w:overflowPunct w:val="0"/>
              <w:spacing w:line="110" w:lineRule="exact"/>
              <w:jc w:val="center"/>
              <w:rPr>
                <w:rFonts w:asciiTheme="minorEastAsia" w:hAnsiTheme="minorEastAsia" w:eastAsiaTheme="minorEastAsia"/>
                <w:sz w:val="21"/>
                <w:szCs w:val="21"/>
              </w:rPr>
            </w:pPr>
          </w:p>
          <w:p>
            <w:pPr>
              <w:kinsoku w:val="0"/>
              <w:overflowPunct w:val="0"/>
              <w:jc w:val="center"/>
              <w:rPr>
                <w:rFonts w:asciiTheme="minorEastAsia" w:hAnsiTheme="minorEastAsia" w:eastAsiaTheme="minorEastAsia"/>
                <w:sz w:val="21"/>
                <w:szCs w:val="21"/>
              </w:rPr>
            </w:pPr>
            <w:r>
              <w:rPr>
                <w:rFonts w:hint="eastAsia" w:cs="宋体" w:asciiTheme="minorEastAsia" w:hAnsiTheme="minorEastAsia" w:eastAsiaTheme="minorEastAsia"/>
                <w:w w:val="110"/>
                <w:sz w:val="21"/>
                <w:szCs w:val="21"/>
              </w:rPr>
              <w:t>现有控制措施</w:t>
            </w:r>
          </w:p>
        </w:tc>
        <w:tc>
          <w:tcPr>
            <w:tcW w:w="171" w:type="pct"/>
            <w:vAlign w:val="center"/>
          </w:tcPr>
          <w:p>
            <w:pPr>
              <w:kinsoku w:val="0"/>
              <w:overflowPunct w:val="0"/>
              <w:spacing w:line="180" w:lineRule="exact"/>
              <w:jc w:val="center"/>
              <w:rPr>
                <w:rFonts w:asciiTheme="minorEastAsia" w:hAnsiTheme="minorEastAsia" w:eastAsiaTheme="minorEastAsia"/>
                <w:sz w:val="21"/>
                <w:szCs w:val="21"/>
              </w:rPr>
            </w:pPr>
          </w:p>
          <w:p>
            <w:pPr>
              <w:kinsoku w:val="0"/>
              <w:overflowPunct w:val="0"/>
              <w:jc w:val="center"/>
              <w:rPr>
                <w:rFonts w:asciiTheme="minorEastAsia" w:hAnsiTheme="minorEastAsia" w:eastAsiaTheme="minorEastAsia"/>
                <w:sz w:val="21"/>
                <w:szCs w:val="21"/>
              </w:rPr>
            </w:pPr>
            <w:r>
              <w:rPr>
                <w:rFonts w:cs="Arial" w:asciiTheme="minorEastAsia" w:hAnsiTheme="minorEastAsia" w:eastAsiaTheme="minorEastAsia"/>
                <w:w w:val="120"/>
                <w:sz w:val="21"/>
                <w:szCs w:val="21"/>
              </w:rPr>
              <w:t>L</w:t>
            </w:r>
          </w:p>
        </w:tc>
        <w:tc>
          <w:tcPr>
            <w:tcW w:w="185" w:type="pct"/>
            <w:vAlign w:val="center"/>
          </w:tcPr>
          <w:p>
            <w:pPr>
              <w:kinsoku w:val="0"/>
              <w:overflowPunct w:val="0"/>
              <w:spacing w:line="190" w:lineRule="exact"/>
              <w:jc w:val="center"/>
              <w:rPr>
                <w:rFonts w:asciiTheme="minorEastAsia" w:hAnsiTheme="minorEastAsia" w:eastAsiaTheme="minorEastAsia"/>
                <w:sz w:val="21"/>
                <w:szCs w:val="21"/>
              </w:rPr>
            </w:pPr>
          </w:p>
          <w:p>
            <w:pPr>
              <w:kinsoku w:val="0"/>
              <w:overflowPunct w:val="0"/>
              <w:jc w:val="center"/>
              <w:rPr>
                <w:rFonts w:asciiTheme="minorEastAsia" w:hAnsiTheme="minorEastAsia" w:eastAsiaTheme="minorEastAsia"/>
                <w:sz w:val="21"/>
                <w:szCs w:val="21"/>
              </w:rPr>
            </w:pPr>
            <w:r>
              <w:rPr>
                <w:rFonts w:cs="Arial" w:asciiTheme="minorEastAsia" w:hAnsiTheme="minorEastAsia" w:eastAsiaTheme="minorEastAsia"/>
                <w:w w:val="105"/>
                <w:sz w:val="21"/>
                <w:szCs w:val="21"/>
              </w:rPr>
              <w:t>E</w:t>
            </w:r>
          </w:p>
        </w:tc>
        <w:tc>
          <w:tcPr>
            <w:tcW w:w="207" w:type="pct"/>
            <w:vAlign w:val="center"/>
          </w:tcPr>
          <w:p>
            <w:pPr>
              <w:kinsoku w:val="0"/>
              <w:overflowPunct w:val="0"/>
              <w:spacing w:line="190" w:lineRule="exact"/>
              <w:jc w:val="center"/>
              <w:rPr>
                <w:rFonts w:asciiTheme="minorEastAsia" w:hAnsiTheme="minorEastAsia" w:eastAsiaTheme="minorEastAsia"/>
                <w:sz w:val="21"/>
                <w:szCs w:val="21"/>
              </w:rPr>
            </w:pPr>
          </w:p>
          <w:p>
            <w:pPr>
              <w:kinsoku w:val="0"/>
              <w:overflowPunct w:val="0"/>
              <w:jc w:val="center"/>
              <w:rPr>
                <w:rFonts w:asciiTheme="minorEastAsia" w:hAnsiTheme="minorEastAsia" w:eastAsiaTheme="minorEastAsia"/>
                <w:sz w:val="21"/>
                <w:szCs w:val="21"/>
              </w:rPr>
            </w:pPr>
            <w:r>
              <w:rPr>
                <w:rFonts w:cs="Arial" w:asciiTheme="minorEastAsia" w:hAnsiTheme="minorEastAsia" w:eastAsiaTheme="minorEastAsia"/>
                <w:w w:val="90"/>
                <w:sz w:val="21"/>
                <w:szCs w:val="21"/>
              </w:rPr>
              <w:t>C</w:t>
            </w:r>
          </w:p>
        </w:tc>
        <w:tc>
          <w:tcPr>
            <w:tcW w:w="149" w:type="pct"/>
            <w:vAlign w:val="center"/>
          </w:tcPr>
          <w:p>
            <w:pPr>
              <w:kinsoku w:val="0"/>
              <w:overflowPunct w:val="0"/>
              <w:spacing w:line="190" w:lineRule="exact"/>
              <w:jc w:val="center"/>
              <w:rPr>
                <w:rFonts w:asciiTheme="minorEastAsia" w:hAnsiTheme="minorEastAsia" w:eastAsiaTheme="minorEastAsia"/>
                <w:sz w:val="21"/>
                <w:szCs w:val="21"/>
              </w:rPr>
            </w:pPr>
          </w:p>
          <w:p>
            <w:pPr>
              <w:kinsoku w:val="0"/>
              <w:overflowPunct w:val="0"/>
              <w:jc w:val="center"/>
              <w:rPr>
                <w:rFonts w:asciiTheme="minorEastAsia" w:hAnsiTheme="minorEastAsia" w:eastAsiaTheme="minorEastAsia"/>
                <w:sz w:val="21"/>
                <w:szCs w:val="21"/>
              </w:rPr>
            </w:pPr>
            <w:r>
              <w:rPr>
                <w:rFonts w:cs="Arial" w:asciiTheme="minorEastAsia" w:hAnsiTheme="minorEastAsia" w:eastAsiaTheme="minorEastAsia"/>
                <w:w w:val="105"/>
                <w:sz w:val="21"/>
                <w:szCs w:val="21"/>
              </w:rPr>
              <w:t>D</w:t>
            </w:r>
          </w:p>
        </w:tc>
        <w:tc>
          <w:tcPr>
            <w:tcW w:w="345" w:type="pct"/>
            <w:vAlign w:val="center"/>
          </w:tcPr>
          <w:p>
            <w:pPr>
              <w:kinsoku w:val="0"/>
              <w:overflowPunct w:val="0"/>
              <w:spacing w:line="230" w:lineRule="exact"/>
              <w:jc w:val="center"/>
              <w:rPr>
                <w:rFonts w:asciiTheme="minorEastAsia" w:hAnsiTheme="minorEastAsia" w:eastAsiaTheme="minorEastAsia"/>
                <w:sz w:val="21"/>
                <w:szCs w:val="21"/>
              </w:rPr>
            </w:pPr>
            <w:r>
              <w:rPr>
                <w:rFonts w:hint="eastAsia" w:cs="宋体" w:asciiTheme="minorEastAsia" w:hAnsiTheme="minorEastAsia" w:eastAsiaTheme="minorEastAsia"/>
                <w:w w:val="105"/>
                <w:sz w:val="21"/>
                <w:szCs w:val="21"/>
              </w:rPr>
              <w:t>风险等级</w:t>
            </w:r>
          </w:p>
        </w:tc>
        <w:tc>
          <w:tcPr>
            <w:tcW w:w="577" w:type="pct"/>
            <w:vAlign w:val="center"/>
          </w:tcPr>
          <w:p>
            <w:pPr>
              <w:kinsoku w:val="0"/>
              <w:overflowPunct w:val="0"/>
              <w:spacing w:line="230" w:lineRule="exact"/>
              <w:ind w:firstLine="7"/>
              <w:jc w:val="center"/>
              <w:rPr>
                <w:rFonts w:cs="宋体" w:asciiTheme="minorEastAsia" w:hAnsiTheme="minorEastAsia" w:eastAsiaTheme="minorEastAsia"/>
                <w:w w:val="109"/>
                <w:sz w:val="21"/>
                <w:szCs w:val="21"/>
              </w:rPr>
            </w:pPr>
            <w:r>
              <w:rPr>
                <w:rFonts w:hint="eastAsia" w:cs="宋体" w:asciiTheme="minorEastAsia" w:hAnsiTheme="minorEastAsia" w:eastAsiaTheme="minorEastAsia"/>
                <w:w w:val="105"/>
                <w:sz w:val="21"/>
                <w:szCs w:val="21"/>
              </w:rPr>
              <w:t>建议新增</w:t>
            </w:r>
          </w:p>
          <w:p>
            <w:pPr>
              <w:kinsoku w:val="0"/>
              <w:overflowPunct w:val="0"/>
              <w:spacing w:line="230" w:lineRule="exact"/>
              <w:ind w:firstLine="7"/>
              <w:jc w:val="center"/>
              <w:rPr>
                <w:rFonts w:asciiTheme="minorEastAsia" w:hAnsiTheme="minorEastAsia" w:eastAsiaTheme="minorEastAsia"/>
                <w:sz w:val="21"/>
                <w:szCs w:val="21"/>
              </w:rPr>
            </w:pPr>
            <w:r>
              <w:rPr>
                <w:rFonts w:hint="eastAsia" w:cs="宋体" w:asciiTheme="minorEastAsia" w:hAnsiTheme="minorEastAsia" w:eastAsiaTheme="minorEastAsia"/>
                <w:w w:val="105"/>
                <w:sz w:val="21"/>
                <w:szCs w:val="21"/>
              </w:rPr>
              <w:t>控制措施</w:t>
            </w:r>
          </w:p>
        </w:tc>
        <w:tc>
          <w:tcPr>
            <w:tcW w:w="350" w:type="pct"/>
            <w:vAlign w:val="center"/>
          </w:tcPr>
          <w:p>
            <w:pPr>
              <w:kinsoku w:val="0"/>
              <w:overflowPunct w:val="0"/>
              <w:spacing w:line="110" w:lineRule="exact"/>
              <w:jc w:val="center"/>
              <w:rPr>
                <w:rFonts w:asciiTheme="minorEastAsia" w:hAnsiTheme="minorEastAsia" w:eastAsiaTheme="minorEastAsia"/>
                <w:sz w:val="21"/>
                <w:szCs w:val="21"/>
              </w:rPr>
            </w:pPr>
          </w:p>
          <w:p>
            <w:pPr>
              <w:kinsoku w:val="0"/>
              <w:overflowPunct w:val="0"/>
              <w:jc w:val="center"/>
              <w:rPr>
                <w:rFonts w:asciiTheme="minorEastAsia" w:hAnsiTheme="minorEastAsia" w:eastAsiaTheme="minorEastAsia"/>
                <w:sz w:val="21"/>
                <w:szCs w:val="21"/>
              </w:rPr>
            </w:pPr>
            <w:r>
              <w:rPr>
                <w:rFonts w:hint="eastAsia" w:cs="宋体" w:asciiTheme="minorEastAsia" w:hAnsiTheme="minorEastAsia" w:eastAsiaTheme="minorEastAsia"/>
                <w:w w:val="110"/>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7" w:hRule="exact"/>
        </w:trPr>
        <w:tc>
          <w:tcPr>
            <w:tcW w:w="353" w:type="pct"/>
          </w:tcPr>
          <w:p>
            <w:pPr>
              <w:rPr>
                <w:rFonts w:asciiTheme="minorEastAsia" w:hAnsiTheme="minorEastAsia" w:eastAsiaTheme="minorEastAsia"/>
                <w:sz w:val="21"/>
                <w:szCs w:val="21"/>
              </w:rPr>
            </w:pPr>
          </w:p>
        </w:tc>
        <w:tc>
          <w:tcPr>
            <w:tcW w:w="631" w:type="pct"/>
          </w:tcPr>
          <w:p>
            <w:pPr>
              <w:rPr>
                <w:rFonts w:asciiTheme="minorEastAsia" w:hAnsiTheme="minorEastAsia" w:eastAsiaTheme="minorEastAsia"/>
                <w:sz w:val="21"/>
                <w:szCs w:val="21"/>
              </w:rPr>
            </w:pPr>
          </w:p>
        </w:tc>
        <w:tc>
          <w:tcPr>
            <w:tcW w:w="844" w:type="pct"/>
          </w:tcPr>
          <w:p>
            <w:pPr>
              <w:rPr>
                <w:rFonts w:asciiTheme="minorEastAsia" w:hAnsiTheme="minorEastAsia" w:eastAsiaTheme="minorEastAsia"/>
                <w:sz w:val="21"/>
                <w:szCs w:val="21"/>
              </w:rPr>
            </w:pPr>
          </w:p>
        </w:tc>
        <w:tc>
          <w:tcPr>
            <w:tcW w:w="457" w:type="pct"/>
          </w:tcPr>
          <w:p>
            <w:pPr>
              <w:rPr>
                <w:rFonts w:asciiTheme="minorEastAsia" w:hAnsiTheme="minorEastAsia" w:eastAsiaTheme="minorEastAsia"/>
                <w:sz w:val="21"/>
                <w:szCs w:val="21"/>
              </w:rPr>
            </w:pPr>
          </w:p>
        </w:tc>
        <w:tc>
          <w:tcPr>
            <w:tcW w:w="731" w:type="pct"/>
          </w:tcPr>
          <w:p>
            <w:pPr>
              <w:rPr>
                <w:rFonts w:asciiTheme="minorEastAsia" w:hAnsiTheme="minorEastAsia" w:eastAsiaTheme="minorEastAsia"/>
                <w:sz w:val="21"/>
                <w:szCs w:val="21"/>
              </w:rPr>
            </w:pPr>
          </w:p>
        </w:tc>
        <w:tc>
          <w:tcPr>
            <w:tcW w:w="171" w:type="pct"/>
          </w:tcPr>
          <w:p>
            <w:pPr>
              <w:rPr>
                <w:rFonts w:asciiTheme="minorEastAsia" w:hAnsiTheme="minorEastAsia" w:eastAsiaTheme="minorEastAsia"/>
                <w:sz w:val="21"/>
                <w:szCs w:val="21"/>
              </w:rPr>
            </w:pPr>
          </w:p>
        </w:tc>
        <w:tc>
          <w:tcPr>
            <w:tcW w:w="185" w:type="pct"/>
          </w:tcPr>
          <w:p>
            <w:pPr>
              <w:rPr>
                <w:rFonts w:asciiTheme="minorEastAsia" w:hAnsiTheme="minorEastAsia" w:eastAsiaTheme="minorEastAsia"/>
                <w:sz w:val="21"/>
                <w:szCs w:val="21"/>
              </w:rPr>
            </w:pPr>
          </w:p>
        </w:tc>
        <w:tc>
          <w:tcPr>
            <w:tcW w:w="207" w:type="pct"/>
          </w:tcPr>
          <w:p>
            <w:pPr>
              <w:rPr>
                <w:rFonts w:asciiTheme="minorEastAsia" w:hAnsiTheme="minorEastAsia" w:eastAsiaTheme="minorEastAsia"/>
                <w:sz w:val="21"/>
                <w:szCs w:val="21"/>
              </w:rPr>
            </w:pPr>
          </w:p>
        </w:tc>
        <w:tc>
          <w:tcPr>
            <w:tcW w:w="149" w:type="pct"/>
          </w:tcPr>
          <w:p>
            <w:pPr>
              <w:rPr>
                <w:rFonts w:asciiTheme="minorEastAsia" w:hAnsiTheme="minorEastAsia" w:eastAsiaTheme="minorEastAsia"/>
                <w:sz w:val="21"/>
                <w:szCs w:val="21"/>
              </w:rPr>
            </w:pPr>
          </w:p>
        </w:tc>
        <w:tc>
          <w:tcPr>
            <w:tcW w:w="345" w:type="pct"/>
          </w:tcPr>
          <w:p>
            <w:pPr>
              <w:rPr>
                <w:rFonts w:asciiTheme="minorEastAsia" w:hAnsiTheme="minorEastAsia" w:eastAsiaTheme="minorEastAsia"/>
                <w:sz w:val="21"/>
                <w:szCs w:val="21"/>
              </w:rPr>
            </w:pPr>
          </w:p>
        </w:tc>
        <w:tc>
          <w:tcPr>
            <w:tcW w:w="577" w:type="pct"/>
          </w:tcPr>
          <w:p>
            <w:pPr>
              <w:rPr>
                <w:rFonts w:asciiTheme="minorEastAsia" w:hAnsiTheme="minorEastAsia" w:eastAsiaTheme="minorEastAsia"/>
                <w:sz w:val="21"/>
                <w:szCs w:val="21"/>
              </w:rPr>
            </w:pPr>
          </w:p>
        </w:tc>
        <w:tc>
          <w:tcPr>
            <w:tcW w:w="350" w:type="pct"/>
          </w:tcPr>
          <w:p>
            <w:pPr>
              <w:rPr>
                <w:rFonts w:asciiTheme="minorEastAsia" w:hAnsiTheme="minorEastAsia"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7" w:hRule="exact"/>
        </w:trPr>
        <w:tc>
          <w:tcPr>
            <w:tcW w:w="353" w:type="pct"/>
          </w:tcPr>
          <w:p>
            <w:pPr>
              <w:rPr>
                <w:rFonts w:asciiTheme="minorEastAsia" w:hAnsiTheme="minorEastAsia" w:eastAsiaTheme="minorEastAsia"/>
                <w:sz w:val="21"/>
                <w:szCs w:val="21"/>
              </w:rPr>
            </w:pPr>
          </w:p>
        </w:tc>
        <w:tc>
          <w:tcPr>
            <w:tcW w:w="631" w:type="pct"/>
          </w:tcPr>
          <w:p>
            <w:pPr>
              <w:rPr>
                <w:rFonts w:asciiTheme="minorEastAsia" w:hAnsiTheme="minorEastAsia" w:eastAsiaTheme="minorEastAsia"/>
                <w:sz w:val="21"/>
                <w:szCs w:val="21"/>
              </w:rPr>
            </w:pPr>
          </w:p>
        </w:tc>
        <w:tc>
          <w:tcPr>
            <w:tcW w:w="844" w:type="pct"/>
          </w:tcPr>
          <w:p>
            <w:pPr>
              <w:rPr>
                <w:rFonts w:asciiTheme="minorEastAsia" w:hAnsiTheme="minorEastAsia" w:eastAsiaTheme="minorEastAsia"/>
                <w:sz w:val="21"/>
                <w:szCs w:val="21"/>
              </w:rPr>
            </w:pPr>
          </w:p>
        </w:tc>
        <w:tc>
          <w:tcPr>
            <w:tcW w:w="457" w:type="pct"/>
          </w:tcPr>
          <w:p>
            <w:pPr>
              <w:rPr>
                <w:rFonts w:asciiTheme="minorEastAsia" w:hAnsiTheme="minorEastAsia" w:eastAsiaTheme="minorEastAsia"/>
                <w:sz w:val="21"/>
                <w:szCs w:val="21"/>
              </w:rPr>
            </w:pPr>
          </w:p>
        </w:tc>
        <w:tc>
          <w:tcPr>
            <w:tcW w:w="731" w:type="pct"/>
          </w:tcPr>
          <w:p>
            <w:pPr>
              <w:rPr>
                <w:rFonts w:asciiTheme="minorEastAsia" w:hAnsiTheme="minorEastAsia" w:eastAsiaTheme="minorEastAsia"/>
                <w:sz w:val="21"/>
                <w:szCs w:val="21"/>
              </w:rPr>
            </w:pPr>
          </w:p>
        </w:tc>
        <w:tc>
          <w:tcPr>
            <w:tcW w:w="171" w:type="pct"/>
          </w:tcPr>
          <w:p>
            <w:pPr>
              <w:rPr>
                <w:rFonts w:asciiTheme="minorEastAsia" w:hAnsiTheme="minorEastAsia" w:eastAsiaTheme="minorEastAsia"/>
                <w:sz w:val="21"/>
                <w:szCs w:val="21"/>
              </w:rPr>
            </w:pPr>
          </w:p>
        </w:tc>
        <w:tc>
          <w:tcPr>
            <w:tcW w:w="185" w:type="pct"/>
          </w:tcPr>
          <w:p>
            <w:pPr>
              <w:rPr>
                <w:rFonts w:asciiTheme="minorEastAsia" w:hAnsiTheme="minorEastAsia" w:eastAsiaTheme="minorEastAsia"/>
                <w:sz w:val="21"/>
                <w:szCs w:val="21"/>
              </w:rPr>
            </w:pPr>
          </w:p>
        </w:tc>
        <w:tc>
          <w:tcPr>
            <w:tcW w:w="207" w:type="pct"/>
          </w:tcPr>
          <w:p>
            <w:pPr>
              <w:rPr>
                <w:rFonts w:asciiTheme="minorEastAsia" w:hAnsiTheme="minorEastAsia" w:eastAsiaTheme="minorEastAsia"/>
                <w:sz w:val="21"/>
                <w:szCs w:val="21"/>
              </w:rPr>
            </w:pPr>
          </w:p>
        </w:tc>
        <w:tc>
          <w:tcPr>
            <w:tcW w:w="149" w:type="pct"/>
          </w:tcPr>
          <w:p>
            <w:pPr>
              <w:rPr>
                <w:rFonts w:asciiTheme="minorEastAsia" w:hAnsiTheme="minorEastAsia" w:eastAsiaTheme="minorEastAsia"/>
                <w:sz w:val="21"/>
                <w:szCs w:val="21"/>
              </w:rPr>
            </w:pPr>
          </w:p>
        </w:tc>
        <w:tc>
          <w:tcPr>
            <w:tcW w:w="345" w:type="pct"/>
          </w:tcPr>
          <w:p>
            <w:pPr>
              <w:rPr>
                <w:rFonts w:asciiTheme="minorEastAsia" w:hAnsiTheme="minorEastAsia" w:eastAsiaTheme="minorEastAsia"/>
                <w:sz w:val="21"/>
                <w:szCs w:val="21"/>
              </w:rPr>
            </w:pPr>
          </w:p>
        </w:tc>
        <w:tc>
          <w:tcPr>
            <w:tcW w:w="577" w:type="pct"/>
          </w:tcPr>
          <w:p>
            <w:pPr>
              <w:rPr>
                <w:rFonts w:asciiTheme="minorEastAsia" w:hAnsiTheme="minorEastAsia" w:eastAsiaTheme="minorEastAsia"/>
                <w:sz w:val="21"/>
                <w:szCs w:val="21"/>
              </w:rPr>
            </w:pPr>
          </w:p>
        </w:tc>
        <w:tc>
          <w:tcPr>
            <w:tcW w:w="350" w:type="pct"/>
          </w:tcPr>
          <w:p>
            <w:pPr>
              <w:rPr>
                <w:rFonts w:asciiTheme="minorEastAsia" w:hAnsiTheme="minorEastAsia"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2" w:hRule="exact"/>
        </w:trPr>
        <w:tc>
          <w:tcPr>
            <w:tcW w:w="984" w:type="pct"/>
            <w:gridSpan w:val="2"/>
          </w:tcPr>
          <w:p>
            <w:pPr>
              <w:kinsoku w:val="0"/>
              <w:overflowPunct w:val="0"/>
              <w:spacing w:line="248" w:lineRule="exact"/>
              <w:rPr>
                <w:rFonts w:asciiTheme="minorEastAsia" w:hAnsiTheme="minorEastAsia" w:eastAsiaTheme="minorEastAsia"/>
                <w:sz w:val="21"/>
                <w:szCs w:val="21"/>
              </w:rPr>
            </w:pPr>
            <w:r>
              <w:rPr>
                <w:rFonts w:hint="eastAsia" w:cs="宋体" w:asciiTheme="minorEastAsia" w:hAnsiTheme="minorEastAsia" w:eastAsiaTheme="minorEastAsia"/>
                <w:sz w:val="21"/>
                <w:szCs w:val="21"/>
              </w:rPr>
              <w:t>填表说明</w:t>
            </w:r>
          </w:p>
        </w:tc>
        <w:tc>
          <w:tcPr>
            <w:tcW w:w="3666" w:type="pct"/>
            <w:gridSpan w:val="9"/>
          </w:tcPr>
          <w:p>
            <w:pPr>
              <w:kinsoku w:val="0"/>
              <w:overflowPunct w:val="0"/>
              <w:spacing w:line="248" w:lineRule="exact"/>
              <w:rPr>
                <w:rFonts w:asciiTheme="minorEastAsia" w:hAnsiTheme="minorEastAsia" w:eastAsiaTheme="minorEastAsia"/>
                <w:sz w:val="21"/>
                <w:szCs w:val="21"/>
              </w:rPr>
            </w:pPr>
            <w:r>
              <w:rPr>
                <w:rFonts w:hint="eastAsia" w:cs="宋体" w:asciiTheme="minorEastAsia" w:hAnsiTheme="minorEastAsia" w:eastAsiaTheme="minorEastAsia"/>
                <w:sz w:val="21"/>
                <w:szCs w:val="21"/>
              </w:rPr>
              <w:t>审核人为所在岗位</w:t>
            </w:r>
            <w:r>
              <w:rPr>
                <w:rFonts w:cs="宋体" w:asciiTheme="minorEastAsia" w:hAnsiTheme="minorEastAsia" w:eastAsiaTheme="minorEastAsia"/>
                <w:sz w:val="21"/>
                <w:szCs w:val="21"/>
              </w:rPr>
              <w:t>/</w:t>
            </w:r>
            <w:r>
              <w:rPr>
                <w:rFonts w:hint="eastAsia" w:cs="宋体" w:asciiTheme="minorEastAsia" w:hAnsiTheme="minorEastAsia" w:eastAsiaTheme="minorEastAsia"/>
                <w:sz w:val="21"/>
                <w:szCs w:val="21"/>
              </w:rPr>
              <w:t>工序负责人，审定人为上级负责人</w:t>
            </w:r>
          </w:p>
        </w:tc>
        <w:tc>
          <w:tcPr>
            <w:tcW w:w="350" w:type="pct"/>
          </w:tcPr>
          <w:p>
            <w:pPr>
              <w:rPr>
                <w:rFonts w:asciiTheme="minorEastAsia" w:hAnsiTheme="minorEastAsia" w:eastAsiaTheme="minorEastAsia"/>
                <w:sz w:val="21"/>
                <w:szCs w:val="21"/>
              </w:rPr>
            </w:pPr>
          </w:p>
        </w:tc>
      </w:tr>
    </w:tbl>
    <w:p>
      <w:pPr>
        <w:tabs>
          <w:tab w:val="left" w:pos="1792"/>
          <w:tab w:val="left" w:pos="2922"/>
          <w:tab w:val="left" w:pos="4405"/>
          <w:tab w:val="left" w:pos="5643"/>
          <w:tab w:val="left" w:pos="6766"/>
        </w:tabs>
        <w:kinsoku w:val="0"/>
        <w:overflowPunct w:val="0"/>
        <w:spacing w:line="252" w:lineRule="exact"/>
        <w:ind w:firstLine="597" w:firstLineChars="300"/>
        <w:jc w:val="left"/>
        <w:rPr>
          <w:rFonts w:asciiTheme="minorEastAsia" w:hAnsiTheme="minorEastAsia" w:eastAsiaTheme="minorEastAsia"/>
          <w:sz w:val="21"/>
          <w:szCs w:val="21"/>
        </w:rPr>
      </w:pPr>
      <w:r>
        <w:rPr>
          <w:rFonts w:hint="eastAsia" w:cs="宋体" w:asciiTheme="minorEastAsia" w:hAnsiTheme="minorEastAsia" w:eastAsiaTheme="minorEastAsia"/>
          <w:w w:val="95"/>
          <w:sz w:val="21"/>
          <w:szCs w:val="21"/>
        </w:rPr>
        <w:t>分析人员</w:t>
      </w:r>
      <w:r>
        <w:rPr>
          <w:rFonts w:hint="eastAsia" w:asciiTheme="minorEastAsia" w:hAnsiTheme="minorEastAsia" w:eastAsiaTheme="minorEastAsia"/>
          <w:w w:val="95"/>
          <w:sz w:val="21"/>
          <w:szCs w:val="21"/>
        </w:rPr>
        <w:t xml:space="preserve">： </w:t>
      </w:r>
      <w:r>
        <w:rPr>
          <w:rFonts w:asciiTheme="minorEastAsia" w:hAnsiTheme="minorEastAsia" w:eastAsiaTheme="minorEastAsia"/>
          <w:w w:val="95"/>
          <w:sz w:val="21"/>
          <w:szCs w:val="21"/>
        </w:rPr>
        <w:t xml:space="preserve">             </w:t>
      </w:r>
      <w:r>
        <w:rPr>
          <w:rFonts w:hint="eastAsia" w:cs="宋体" w:asciiTheme="minorEastAsia" w:hAnsiTheme="minorEastAsia" w:eastAsiaTheme="minorEastAsia"/>
          <w:w w:val="95"/>
          <w:sz w:val="21"/>
          <w:szCs w:val="21"/>
        </w:rPr>
        <w:t>日</w:t>
      </w:r>
      <w:r>
        <w:rPr>
          <w:rFonts w:hint="eastAsia" w:cs="宋体" w:asciiTheme="minorEastAsia" w:hAnsiTheme="minorEastAsia" w:eastAsiaTheme="minorEastAsia"/>
          <w:spacing w:val="-4"/>
          <w:w w:val="95"/>
          <w:sz w:val="21"/>
          <w:szCs w:val="21"/>
        </w:rPr>
        <w:t>期</w:t>
      </w:r>
      <w:r>
        <w:rPr>
          <w:rFonts w:hint="eastAsia" w:asciiTheme="minorEastAsia" w:hAnsiTheme="minorEastAsia" w:eastAsiaTheme="minorEastAsia"/>
          <w:w w:val="95"/>
          <w:sz w:val="21"/>
          <w:szCs w:val="21"/>
        </w:rPr>
        <w:t xml:space="preserve">： </w:t>
      </w:r>
      <w:r>
        <w:rPr>
          <w:rFonts w:asciiTheme="minorEastAsia" w:hAnsiTheme="minorEastAsia" w:eastAsiaTheme="minorEastAsia"/>
          <w:w w:val="95"/>
          <w:sz w:val="21"/>
          <w:szCs w:val="21"/>
        </w:rPr>
        <w:t xml:space="preserve">           </w:t>
      </w:r>
      <w:r>
        <w:rPr>
          <w:rFonts w:hint="eastAsia" w:cs="宋体" w:asciiTheme="minorEastAsia" w:hAnsiTheme="minorEastAsia" w:eastAsiaTheme="minorEastAsia"/>
          <w:w w:val="95"/>
          <w:sz w:val="21"/>
          <w:szCs w:val="21"/>
        </w:rPr>
        <w:t xml:space="preserve">审核人： </w:t>
      </w:r>
      <w:r>
        <w:rPr>
          <w:rFonts w:cs="宋体" w:asciiTheme="minorEastAsia" w:hAnsiTheme="minorEastAsia" w:eastAsiaTheme="minorEastAsia"/>
          <w:w w:val="95"/>
          <w:sz w:val="21"/>
          <w:szCs w:val="21"/>
        </w:rPr>
        <w:t xml:space="preserve">            </w:t>
      </w:r>
      <w:r>
        <w:rPr>
          <w:rFonts w:hint="eastAsia" w:cs="宋体" w:asciiTheme="minorEastAsia" w:hAnsiTheme="minorEastAsia" w:eastAsiaTheme="minorEastAsia"/>
          <w:w w:val="95"/>
          <w:sz w:val="21"/>
          <w:szCs w:val="21"/>
        </w:rPr>
        <w:t>日</w:t>
      </w:r>
      <w:r>
        <w:rPr>
          <w:rFonts w:hint="eastAsia" w:cs="宋体" w:asciiTheme="minorEastAsia" w:hAnsiTheme="minorEastAsia" w:eastAsiaTheme="minorEastAsia"/>
          <w:spacing w:val="-10"/>
          <w:w w:val="95"/>
          <w:sz w:val="21"/>
          <w:szCs w:val="21"/>
        </w:rPr>
        <w:t xml:space="preserve">期： </w:t>
      </w:r>
      <w:r>
        <w:rPr>
          <w:rFonts w:cs="宋体" w:asciiTheme="minorEastAsia" w:hAnsiTheme="minorEastAsia" w:eastAsiaTheme="minorEastAsia"/>
          <w:spacing w:val="-10"/>
          <w:w w:val="95"/>
          <w:sz w:val="21"/>
          <w:szCs w:val="21"/>
        </w:rPr>
        <w:t xml:space="preserve">          </w:t>
      </w:r>
      <w:r>
        <w:rPr>
          <w:rFonts w:hint="eastAsia" w:cs="宋体" w:asciiTheme="minorEastAsia" w:hAnsiTheme="minorEastAsia" w:eastAsiaTheme="minorEastAsia"/>
          <w:w w:val="95"/>
          <w:sz w:val="21"/>
          <w:szCs w:val="21"/>
        </w:rPr>
        <w:t>审定人</w:t>
      </w:r>
      <w:r>
        <w:rPr>
          <w:rFonts w:hint="eastAsia" w:asciiTheme="minorEastAsia" w:hAnsiTheme="minorEastAsia" w:eastAsiaTheme="minorEastAsia"/>
          <w:w w:val="95"/>
          <w:sz w:val="21"/>
          <w:szCs w:val="21"/>
        </w:rPr>
        <w:t xml:space="preserve">： </w:t>
      </w:r>
      <w:r>
        <w:rPr>
          <w:rFonts w:asciiTheme="minorEastAsia" w:hAnsiTheme="minorEastAsia" w:eastAsiaTheme="minorEastAsia"/>
          <w:w w:val="95"/>
          <w:sz w:val="21"/>
          <w:szCs w:val="21"/>
        </w:rPr>
        <w:t xml:space="preserve">            </w:t>
      </w:r>
      <w:r>
        <w:rPr>
          <w:rFonts w:hint="eastAsia" w:cs="宋体" w:asciiTheme="minorEastAsia" w:hAnsiTheme="minorEastAsia" w:eastAsiaTheme="minorEastAsia"/>
          <w:w w:val="95"/>
          <w:sz w:val="21"/>
          <w:szCs w:val="21"/>
        </w:rPr>
        <w:t>审定日期</w:t>
      </w:r>
      <w:r>
        <w:rPr>
          <w:rFonts w:hint="eastAsia" w:asciiTheme="minorEastAsia" w:hAnsiTheme="minorEastAsia" w:eastAsiaTheme="minorEastAsia"/>
          <w:w w:val="95"/>
          <w:sz w:val="21"/>
          <w:szCs w:val="21"/>
        </w:rPr>
        <w:t>：</w:t>
      </w:r>
    </w:p>
    <w:p>
      <w:pPr>
        <w:rPr>
          <w:rFonts w:asciiTheme="minorEastAsia" w:hAnsiTheme="minorEastAsia" w:eastAsiaTheme="minorEastAsia"/>
          <w:sz w:val="21"/>
          <w:szCs w:val="21"/>
        </w:rPr>
        <w:sectPr>
          <w:pgSz w:w="16838" w:h="11906" w:orient="landscape"/>
          <w:pgMar w:top="1797" w:right="1440" w:bottom="1797" w:left="1440" w:header="851" w:footer="992" w:gutter="0"/>
          <w:cols w:space="425" w:num="1"/>
          <w:docGrid w:type="lines" w:linePitch="435" w:charSpace="0"/>
        </w:sectPr>
      </w:pPr>
    </w:p>
    <w:p>
      <w:pPr>
        <w:jc w:val="center"/>
        <w:outlineLvl w:val="0"/>
        <w:rPr>
          <w:rFonts w:ascii="方正小标宋_GBK" w:hAnsi="黑体" w:eastAsia="方正小标宋_GBK"/>
          <w:b/>
          <w:bCs/>
          <w:sz w:val="28"/>
          <w:szCs w:val="28"/>
        </w:rPr>
      </w:pPr>
      <w:bookmarkStart w:id="181" w:name="_Toc119336619"/>
      <w:bookmarkStart w:id="182" w:name="_Toc117541337"/>
      <w:r>
        <w:rPr>
          <w:rFonts w:hint="eastAsia" w:ascii="方正小标宋_GBK" w:hAnsi="黑体" w:eastAsia="方正小标宋_GBK"/>
          <w:b/>
          <w:bCs/>
          <w:sz w:val="28"/>
          <w:szCs w:val="28"/>
        </w:rPr>
        <w:t>附录F.1</w:t>
      </w:r>
      <w:bookmarkEnd w:id="181"/>
      <w:bookmarkEnd w:id="182"/>
    </w:p>
    <w:p>
      <w:pPr>
        <w:jc w:val="center"/>
        <w:rPr>
          <w:rFonts w:ascii="方正小标宋_GBK" w:hAnsi="黑体" w:eastAsia="方正小标宋_GBK"/>
          <w:b/>
          <w:bCs/>
          <w:sz w:val="28"/>
          <w:szCs w:val="28"/>
        </w:rPr>
      </w:pPr>
      <w:r>
        <w:rPr>
          <w:rFonts w:hint="eastAsia" w:ascii="方正小标宋_GBK" w:hAnsi="黑体" w:eastAsia="方正小标宋_GBK"/>
          <w:b/>
          <w:bCs/>
          <w:sz w:val="28"/>
          <w:szCs w:val="28"/>
        </w:rPr>
        <w:t>（资料性附录）</w:t>
      </w:r>
    </w:p>
    <w:p>
      <w:pPr>
        <w:jc w:val="center"/>
        <w:rPr>
          <w:rFonts w:ascii="方正小标宋_GBK" w:hAnsi="黑体" w:eastAsia="方正小标宋_GBK"/>
          <w:b/>
          <w:bCs/>
          <w:sz w:val="28"/>
          <w:szCs w:val="28"/>
        </w:rPr>
      </w:pPr>
    </w:p>
    <w:p>
      <w:pPr>
        <w:jc w:val="center"/>
        <w:outlineLvl w:val="1"/>
        <w:rPr>
          <w:rFonts w:ascii="方正小标宋_GBK" w:hAnsi="黑体" w:eastAsia="方正小标宋_GBK"/>
          <w:b/>
          <w:bCs/>
          <w:sz w:val="28"/>
          <w:szCs w:val="28"/>
        </w:rPr>
      </w:pPr>
      <w:bookmarkStart w:id="183" w:name="_Toc117541338"/>
      <w:bookmarkStart w:id="184" w:name="_Toc119336620"/>
      <w:r>
        <w:rPr>
          <w:rFonts w:hint="eastAsia" w:ascii="方正小标宋_GBK" w:hAnsi="黑体" w:eastAsia="方正小标宋_GBK"/>
          <w:b/>
          <w:bCs/>
          <w:sz w:val="28"/>
          <w:szCs w:val="28"/>
        </w:rPr>
        <w:t>作业条件危险性评价法（LEC法）</w:t>
      </w:r>
      <w:bookmarkEnd w:id="183"/>
      <w:bookmarkEnd w:id="184"/>
    </w:p>
    <w:p>
      <w:pPr>
        <w:jc w:val="center"/>
        <w:rPr>
          <w:rFonts w:ascii="方正小标宋_GBK" w:hAnsi="黑体" w:eastAsia="方正小标宋_GBK"/>
          <w:b/>
          <w:bCs/>
          <w:sz w:val="28"/>
          <w:szCs w:val="28"/>
        </w:rPr>
      </w:pPr>
    </w:p>
    <w:p>
      <w:pPr>
        <w:adjustRightInd w:val="0"/>
        <w:snapToGrid w:val="0"/>
        <w:spacing w:line="360" w:lineRule="auto"/>
        <w:ind w:firstLine="560" w:firstLineChars="200"/>
        <w:jc w:val="left"/>
        <w:rPr>
          <w:rFonts w:ascii="Times New Roman"/>
          <w:sz w:val="28"/>
          <w:szCs w:val="28"/>
        </w:rPr>
      </w:pPr>
      <w:r>
        <w:rPr>
          <w:rFonts w:ascii="Times New Roman"/>
          <w:sz w:val="28"/>
          <w:szCs w:val="28"/>
        </w:rPr>
        <w:t>1作业条件危险性评价法中危险性大小值D按下式计算：</w:t>
      </w:r>
    </w:p>
    <w:p>
      <w:pPr>
        <w:adjustRightInd w:val="0"/>
        <w:snapToGrid w:val="0"/>
        <w:spacing w:line="360" w:lineRule="auto"/>
        <w:ind w:firstLine="560" w:firstLineChars="200"/>
        <w:jc w:val="center"/>
        <w:rPr>
          <w:rFonts w:ascii="Times New Roman"/>
          <w:sz w:val="28"/>
          <w:szCs w:val="28"/>
        </w:rPr>
      </w:pPr>
      <w:r>
        <w:rPr>
          <w:rFonts w:ascii="Times New Roman"/>
          <w:sz w:val="28"/>
          <w:szCs w:val="28"/>
        </w:rPr>
        <w:t>D=LEC</w:t>
      </w:r>
    </w:p>
    <w:p>
      <w:pPr>
        <w:adjustRightInd w:val="0"/>
        <w:snapToGrid w:val="0"/>
        <w:spacing w:line="360" w:lineRule="auto"/>
        <w:ind w:firstLine="560" w:firstLineChars="200"/>
        <w:jc w:val="left"/>
        <w:rPr>
          <w:rFonts w:ascii="Times New Roman"/>
          <w:sz w:val="28"/>
          <w:szCs w:val="28"/>
        </w:rPr>
      </w:pPr>
      <w:r>
        <w:rPr>
          <w:rFonts w:ascii="Times New Roman"/>
          <w:sz w:val="28"/>
          <w:szCs w:val="28"/>
        </w:rPr>
        <w:t>式中：D—危险性大小值；</w:t>
      </w:r>
    </w:p>
    <w:p>
      <w:pPr>
        <w:adjustRightInd w:val="0"/>
        <w:snapToGrid w:val="0"/>
        <w:spacing w:line="360" w:lineRule="auto"/>
        <w:ind w:firstLine="1400" w:firstLineChars="500"/>
        <w:jc w:val="left"/>
        <w:rPr>
          <w:rFonts w:ascii="Times New Roman"/>
          <w:sz w:val="28"/>
          <w:szCs w:val="28"/>
        </w:rPr>
      </w:pPr>
      <w:r>
        <w:rPr>
          <w:rFonts w:ascii="Times New Roman"/>
          <w:sz w:val="28"/>
          <w:szCs w:val="28"/>
        </w:rPr>
        <w:t>L—发生事故或危险事件的可能性大小；</w:t>
      </w:r>
    </w:p>
    <w:p>
      <w:pPr>
        <w:adjustRightInd w:val="0"/>
        <w:snapToGrid w:val="0"/>
        <w:spacing w:line="360" w:lineRule="auto"/>
        <w:ind w:firstLine="1400" w:firstLineChars="500"/>
        <w:jc w:val="left"/>
        <w:rPr>
          <w:rFonts w:ascii="Times New Roman"/>
          <w:sz w:val="28"/>
          <w:szCs w:val="28"/>
        </w:rPr>
      </w:pPr>
      <w:r>
        <w:rPr>
          <w:rFonts w:ascii="Times New Roman"/>
          <w:sz w:val="28"/>
          <w:szCs w:val="28"/>
        </w:rPr>
        <w:t>E—人体暴露于危险环境的频率；</w:t>
      </w:r>
    </w:p>
    <w:p>
      <w:pPr>
        <w:adjustRightInd w:val="0"/>
        <w:snapToGrid w:val="0"/>
        <w:spacing w:line="360" w:lineRule="auto"/>
        <w:ind w:firstLine="1400" w:firstLineChars="500"/>
        <w:jc w:val="left"/>
        <w:rPr>
          <w:rFonts w:ascii="Times New Roman"/>
          <w:sz w:val="28"/>
          <w:szCs w:val="28"/>
        </w:rPr>
      </w:pPr>
      <w:r>
        <w:rPr>
          <w:rFonts w:ascii="Times New Roman"/>
          <w:sz w:val="28"/>
          <w:szCs w:val="28"/>
        </w:rPr>
        <w:t>C—危险严重程度。</w:t>
      </w:r>
    </w:p>
    <w:p>
      <w:pPr>
        <w:autoSpaceDE w:val="0"/>
        <w:autoSpaceDN w:val="0"/>
        <w:adjustRightInd w:val="0"/>
        <w:snapToGrid w:val="0"/>
        <w:spacing w:line="360" w:lineRule="auto"/>
        <w:ind w:firstLine="560" w:firstLineChars="200"/>
        <w:rPr>
          <w:rFonts w:ascii="Times New Roman"/>
          <w:b/>
          <w:kern w:val="21"/>
          <w:sz w:val="28"/>
          <w:szCs w:val="28"/>
        </w:rPr>
      </w:pPr>
      <w:r>
        <w:rPr>
          <w:rFonts w:ascii="Times New Roman"/>
          <w:sz w:val="28"/>
          <w:szCs w:val="28"/>
        </w:rPr>
        <w:t>2 事故或危险性事件发生的可能性L值与作业类型有关，可根据施工工期制定出相应的L值判定指标，L值可按表1的规定确定。</w:t>
      </w:r>
    </w:p>
    <w:p>
      <w:pPr>
        <w:spacing w:line="360" w:lineRule="auto"/>
        <w:ind w:firstLine="482" w:firstLineChars="200"/>
        <w:jc w:val="center"/>
        <w:rPr>
          <w:rFonts w:ascii="Times New Roman" w:eastAsia="黑体"/>
          <w:b/>
          <w:kern w:val="21"/>
          <w:sz w:val="24"/>
          <w:szCs w:val="24"/>
        </w:rPr>
      </w:pPr>
      <w:r>
        <w:rPr>
          <w:rFonts w:ascii="Times New Roman" w:eastAsia="黑体"/>
          <w:b/>
          <w:kern w:val="21"/>
          <w:sz w:val="24"/>
          <w:szCs w:val="24"/>
        </w:rPr>
        <w:t>表1 事故或危险性事件发生的可能性L值对照表</w:t>
      </w:r>
    </w:p>
    <w:tbl>
      <w:tblPr>
        <w:tblStyle w:val="3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84"/>
        <w:gridCol w:w="45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336" w:type="pct"/>
            <w:vAlign w:val="center"/>
          </w:tcPr>
          <w:p>
            <w:pPr>
              <w:spacing w:line="360" w:lineRule="auto"/>
              <w:jc w:val="center"/>
              <w:rPr>
                <w:rFonts w:ascii="Times New Roman" w:eastAsia="宋体"/>
                <w:b/>
                <w:sz w:val="21"/>
                <w:szCs w:val="21"/>
              </w:rPr>
            </w:pPr>
            <w:r>
              <w:rPr>
                <w:rFonts w:ascii="Times New Roman" w:eastAsia="宋体"/>
                <w:b/>
                <w:sz w:val="21"/>
                <w:szCs w:val="21"/>
              </w:rPr>
              <w:t>L值</w:t>
            </w:r>
          </w:p>
        </w:tc>
        <w:tc>
          <w:tcPr>
            <w:tcW w:w="2664" w:type="pct"/>
            <w:vAlign w:val="center"/>
          </w:tcPr>
          <w:p>
            <w:pPr>
              <w:spacing w:line="360" w:lineRule="auto"/>
              <w:jc w:val="center"/>
              <w:rPr>
                <w:rFonts w:ascii="Times New Roman" w:eastAsia="宋体"/>
                <w:b/>
                <w:sz w:val="21"/>
                <w:szCs w:val="21"/>
              </w:rPr>
            </w:pPr>
            <w:r>
              <w:rPr>
                <w:rFonts w:ascii="Times New Roman" w:eastAsia="宋体"/>
                <w:b/>
                <w:sz w:val="21"/>
                <w:szCs w:val="21"/>
              </w:rPr>
              <w:t>事故发生的可能性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336" w:type="pct"/>
            <w:vAlign w:val="center"/>
          </w:tcPr>
          <w:p>
            <w:pPr>
              <w:spacing w:line="360" w:lineRule="auto"/>
              <w:jc w:val="center"/>
              <w:rPr>
                <w:rFonts w:ascii="Times New Roman" w:eastAsia="宋体"/>
                <w:sz w:val="21"/>
                <w:szCs w:val="21"/>
              </w:rPr>
            </w:pPr>
            <w:r>
              <w:rPr>
                <w:rFonts w:ascii="Times New Roman" w:eastAsia="宋体"/>
                <w:sz w:val="21"/>
                <w:szCs w:val="21"/>
              </w:rPr>
              <w:t>10</w:t>
            </w:r>
          </w:p>
        </w:tc>
        <w:tc>
          <w:tcPr>
            <w:tcW w:w="2664" w:type="pct"/>
            <w:vAlign w:val="center"/>
          </w:tcPr>
          <w:p>
            <w:pPr>
              <w:spacing w:line="360" w:lineRule="auto"/>
              <w:jc w:val="center"/>
              <w:rPr>
                <w:rFonts w:ascii="Times New Roman" w:eastAsia="宋体"/>
                <w:sz w:val="21"/>
                <w:szCs w:val="21"/>
              </w:rPr>
            </w:pPr>
            <w:r>
              <w:rPr>
                <w:rFonts w:ascii="Times New Roman" w:eastAsia="宋体"/>
                <w:sz w:val="21"/>
                <w:szCs w:val="21"/>
              </w:rPr>
              <w:t>完全可以预料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336" w:type="pct"/>
            <w:vAlign w:val="center"/>
          </w:tcPr>
          <w:p>
            <w:pPr>
              <w:spacing w:line="360" w:lineRule="auto"/>
              <w:jc w:val="center"/>
              <w:rPr>
                <w:rFonts w:ascii="Times New Roman" w:eastAsia="宋体"/>
                <w:sz w:val="21"/>
                <w:szCs w:val="21"/>
              </w:rPr>
            </w:pPr>
            <w:r>
              <w:rPr>
                <w:rFonts w:ascii="Times New Roman" w:eastAsia="宋体"/>
                <w:sz w:val="21"/>
                <w:szCs w:val="21"/>
              </w:rPr>
              <w:t>6</w:t>
            </w:r>
          </w:p>
        </w:tc>
        <w:tc>
          <w:tcPr>
            <w:tcW w:w="2664" w:type="pct"/>
            <w:vAlign w:val="center"/>
          </w:tcPr>
          <w:p>
            <w:pPr>
              <w:spacing w:line="360" w:lineRule="auto"/>
              <w:jc w:val="center"/>
              <w:rPr>
                <w:rFonts w:ascii="Times New Roman" w:eastAsia="宋体"/>
                <w:sz w:val="21"/>
                <w:szCs w:val="21"/>
              </w:rPr>
            </w:pPr>
            <w:r>
              <w:rPr>
                <w:rFonts w:ascii="Times New Roman" w:eastAsia="宋体"/>
                <w:sz w:val="21"/>
                <w:szCs w:val="21"/>
              </w:rPr>
              <w:t>相当可能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336" w:type="pct"/>
            <w:vAlign w:val="center"/>
          </w:tcPr>
          <w:p>
            <w:pPr>
              <w:spacing w:line="360" w:lineRule="auto"/>
              <w:jc w:val="center"/>
              <w:rPr>
                <w:rFonts w:ascii="Times New Roman" w:eastAsia="宋体"/>
                <w:sz w:val="21"/>
                <w:szCs w:val="21"/>
              </w:rPr>
            </w:pPr>
            <w:r>
              <w:rPr>
                <w:rFonts w:ascii="Times New Roman" w:eastAsia="宋体"/>
                <w:sz w:val="21"/>
                <w:szCs w:val="21"/>
              </w:rPr>
              <w:t>3</w:t>
            </w:r>
          </w:p>
        </w:tc>
        <w:tc>
          <w:tcPr>
            <w:tcW w:w="2664" w:type="pct"/>
            <w:vAlign w:val="center"/>
          </w:tcPr>
          <w:p>
            <w:pPr>
              <w:spacing w:line="360" w:lineRule="auto"/>
              <w:jc w:val="center"/>
              <w:rPr>
                <w:rFonts w:ascii="Times New Roman" w:eastAsia="宋体"/>
                <w:sz w:val="21"/>
                <w:szCs w:val="21"/>
              </w:rPr>
            </w:pPr>
            <w:r>
              <w:rPr>
                <w:rFonts w:ascii="Times New Roman" w:eastAsia="宋体"/>
                <w:sz w:val="21"/>
                <w:szCs w:val="21"/>
              </w:rPr>
              <w:t>可能，但不经常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336" w:type="pct"/>
            <w:vAlign w:val="center"/>
          </w:tcPr>
          <w:p>
            <w:pPr>
              <w:spacing w:line="360" w:lineRule="auto"/>
              <w:jc w:val="center"/>
              <w:rPr>
                <w:rFonts w:ascii="Times New Roman" w:eastAsia="宋体"/>
                <w:sz w:val="21"/>
                <w:szCs w:val="21"/>
              </w:rPr>
            </w:pPr>
            <w:r>
              <w:rPr>
                <w:rFonts w:ascii="Times New Roman" w:eastAsia="宋体"/>
                <w:sz w:val="21"/>
                <w:szCs w:val="21"/>
              </w:rPr>
              <w:t>1</w:t>
            </w:r>
          </w:p>
        </w:tc>
        <w:tc>
          <w:tcPr>
            <w:tcW w:w="2664" w:type="pct"/>
            <w:vAlign w:val="center"/>
          </w:tcPr>
          <w:p>
            <w:pPr>
              <w:spacing w:line="360" w:lineRule="auto"/>
              <w:jc w:val="center"/>
              <w:rPr>
                <w:rFonts w:ascii="Times New Roman" w:eastAsia="宋体"/>
                <w:sz w:val="21"/>
                <w:szCs w:val="21"/>
              </w:rPr>
            </w:pPr>
            <w:r>
              <w:rPr>
                <w:rFonts w:ascii="Times New Roman" w:eastAsia="宋体"/>
                <w:sz w:val="21"/>
                <w:szCs w:val="21"/>
              </w:rPr>
              <w:t>可能性小，完全意外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336" w:type="pct"/>
            <w:vAlign w:val="center"/>
          </w:tcPr>
          <w:p>
            <w:pPr>
              <w:spacing w:line="360" w:lineRule="auto"/>
              <w:jc w:val="center"/>
              <w:rPr>
                <w:rFonts w:ascii="Times New Roman" w:eastAsia="宋体"/>
                <w:sz w:val="21"/>
                <w:szCs w:val="21"/>
              </w:rPr>
            </w:pPr>
            <w:r>
              <w:rPr>
                <w:rFonts w:ascii="Times New Roman" w:eastAsia="宋体"/>
                <w:sz w:val="21"/>
                <w:szCs w:val="21"/>
              </w:rPr>
              <w:t>0.5</w:t>
            </w:r>
          </w:p>
        </w:tc>
        <w:tc>
          <w:tcPr>
            <w:tcW w:w="2664" w:type="pct"/>
            <w:vAlign w:val="center"/>
          </w:tcPr>
          <w:p>
            <w:pPr>
              <w:spacing w:line="360" w:lineRule="auto"/>
              <w:jc w:val="center"/>
              <w:rPr>
                <w:rFonts w:ascii="Times New Roman" w:eastAsia="宋体"/>
                <w:sz w:val="21"/>
                <w:szCs w:val="21"/>
              </w:rPr>
            </w:pPr>
            <w:r>
              <w:rPr>
                <w:rFonts w:ascii="Times New Roman" w:eastAsia="宋体"/>
                <w:sz w:val="21"/>
                <w:szCs w:val="21"/>
              </w:rPr>
              <w:t>很不可能，可以设想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336" w:type="pct"/>
            <w:vAlign w:val="center"/>
          </w:tcPr>
          <w:p>
            <w:pPr>
              <w:spacing w:line="360" w:lineRule="auto"/>
              <w:jc w:val="center"/>
              <w:rPr>
                <w:rFonts w:ascii="Times New Roman" w:eastAsia="宋体"/>
                <w:sz w:val="21"/>
                <w:szCs w:val="21"/>
              </w:rPr>
            </w:pPr>
            <w:r>
              <w:rPr>
                <w:rFonts w:ascii="Times New Roman" w:eastAsia="宋体"/>
                <w:sz w:val="21"/>
                <w:szCs w:val="21"/>
              </w:rPr>
              <w:t>0.2</w:t>
            </w:r>
          </w:p>
        </w:tc>
        <w:tc>
          <w:tcPr>
            <w:tcW w:w="2664" w:type="pct"/>
            <w:vAlign w:val="center"/>
          </w:tcPr>
          <w:p>
            <w:pPr>
              <w:spacing w:line="360" w:lineRule="auto"/>
              <w:jc w:val="center"/>
              <w:rPr>
                <w:rFonts w:ascii="Times New Roman" w:eastAsia="宋体"/>
                <w:sz w:val="21"/>
                <w:szCs w:val="21"/>
              </w:rPr>
            </w:pPr>
            <w:r>
              <w:rPr>
                <w:rFonts w:ascii="Times New Roman" w:eastAsia="宋体"/>
                <w:sz w:val="21"/>
                <w:szCs w:val="21"/>
              </w:rPr>
              <w:t>极不可能</w:t>
            </w:r>
          </w:p>
        </w:tc>
      </w:tr>
    </w:tbl>
    <w:p>
      <w:pPr>
        <w:spacing w:line="360" w:lineRule="auto"/>
        <w:ind w:firstLine="560" w:firstLineChars="200"/>
        <w:rPr>
          <w:rFonts w:ascii="Times New Roman" w:eastAsia="黑体"/>
          <w:b/>
          <w:sz w:val="24"/>
          <w:szCs w:val="21"/>
        </w:rPr>
      </w:pPr>
      <w:r>
        <w:rPr>
          <w:rFonts w:ascii="Times New Roman" w:eastAsia="仿宋"/>
          <w:sz w:val="28"/>
          <w:szCs w:val="28"/>
        </w:rPr>
        <w:t>3  人体暴露于危险环境的频率E值与工程类型无关，仅与施工作业时间长短有关，可从人体暴露于危险环境的频率，或危险环境人员的分布及人员出入的多少，或设备及装置的影响因素，分析、</w:t>
      </w:r>
      <w:r>
        <w:rPr>
          <w:rFonts w:ascii="Times New Roman" w:eastAsia="仿宋"/>
        </w:rPr>
        <w:t>确定E值的大小，可按</w:t>
      </w:r>
      <w:r>
        <w:rPr>
          <w:rFonts w:ascii="Times New Roman" w:eastAsia="仿宋"/>
          <w:sz w:val="28"/>
          <w:szCs w:val="28"/>
        </w:rPr>
        <w:t>表2的规定确定。</w:t>
      </w:r>
    </w:p>
    <w:p>
      <w:pPr>
        <w:spacing w:line="360" w:lineRule="auto"/>
        <w:ind w:firstLine="482" w:firstLineChars="200"/>
        <w:jc w:val="center"/>
        <w:rPr>
          <w:rFonts w:ascii="Times New Roman" w:eastAsia="黑体"/>
          <w:b/>
          <w:sz w:val="24"/>
          <w:szCs w:val="21"/>
        </w:rPr>
      </w:pPr>
      <w:r>
        <w:rPr>
          <w:rFonts w:ascii="Times New Roman" w:eastAsia="黑体"/>
          <w:b/>
          <w:kern w:val="21"/>
          <w:sz w:val="24"/>
          <w:szCs w:val="24"/>
        </w:rPr>
        <w:t>表2</w:t>
      </w:r>
      <w:r>
        <w:rPr>
          <w:rFonts w:ascii="Times New Roman" w:eastAsia="黑体"/>
          <w:b/>
          <w:sz w:val="24"/>
          <w:szCs w:val="21"/>
        </w:rPr>
        <w:t xml:space="preserve"> 暴露于危险环境的频率因素E值对照表</w:t>
      </w:r>
    </w:p>
    <w:tbl>
      <w:tblPr>
        <w:tblStyle w:val="3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37"/>
        <w:gridCol w:w="45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308" w:type="pct"/>
            <w:vAlign w:val="center"/>
          </w:tcPr>
          <w:p>
            <w:pPr>
              <w:spacing w:line="360" w:lineRule="auto"/>
              <w:jc w:val="center"/>
              <w:rPr>
                <w:rFonts w:ascii="Times New Roman" w:eastAsia="宋体"/>
                <w:b/>
                <w:sz w:val="21"/>
                <w:szCs w:val="21"/>
              </w:rPr>
            </w:pPr>
            <w:r>
              <w:rPr>
                <w:rFonts w:ascii="Times New Roman" w:eastAsia="宋体"/>
                <w:b/>
                <w:sz w:val="21"/>
                <w:szCs w:val="21"/>
              </w:rPr>
              <w:t>E值</w:t>
            </w:r>
          </w:p>
        </w:tc>
        <w:tc>
          <w:tcPr>
            <w:tcW w:w="2692" w:type="pct"/>
            <w:vAlign w:val="center"/>
          </w:tcPr>
          <w:p>
            <w:pPr>
              <w:spacing w:line="360" w:lineRule="auto"/>
              <w:jc w:val="center"/>
              <w:rPr>
                <w:rFonts w:ascii="Times New Roman" w:eastAsia="宋体"/>
                <w:b/>
                <w:sz w:val="21"/>
                <w:szCs w:val="21"/>
              </w:rPr>
            </w:pPr>
            <w:r>
              <w:rPr>
                <w:rFonts w:ascii="Times New Roman" w:eastAsia="宋体"/>
                <w:b/>
                <w:sz w:val="21"/>
                <w:szCs w:val="21"/>
              </w:rPr>
              <w:t>暴露于危险环境的频繁程度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308" w:type="pct"/>
            <w:vAlign w:val="center"/>
          </w:tcPr>
          <w:p>
            <w:pPr>
              <w:spacing w:line="360" w:lineRule="auto"/>
              <w:jc w:val="center"/>
              <w:rPr>
                <w:rFonts w:ascii="Times New Roman" w:eastAsia="宋体"/>
                <w:sz w:val="21"/>
                <w:szCs w:val="21"/>
              </w:rPr>
            </w:pPr>
            <w:r>
              <w:rPr>
                <w:rFonts w:ascii="Times New Roman" w:eastAsia="宋体"/>
                <w:sz w:val="21"/>
                <w:szCs w:val="21"/>
              </w:rPr>
              <w:t>10</w:t>
            </w:r>
          </w:p>
        </w:tc>
        <w:tc>
          <w:tcPr>
            <w:tcW w:w="2692" w:type="pct"/>
            <w:vAlign w:val="center"/>
          </w:tcPr>
          <w:p>
            <w:pPr>
              <w:spacing w:line="360" w:lineRule="auto"/>
              <w:jc w:val="center"/>
              <w:rPr>
                <w:rFonts w:ascii="Times New Roman" w:eastAsia="宋体"/>
                <w:sz w:val="21"/>
                <w:szCs w:val="21"/>
              </w:rPr>
            </w:pPr>
            <w:r>
              <w:rPr>
                <w:rFonts w:ascii="Times New Roman" w:eastAsia="宋体"/>
                <w:sz w:val="21"/>
                <w:szCs w:val="21"/>
              </w:rPr>
              <w:t>连续暴露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308" w:type="pct"/>
            <w:vAlign w:val="center"/>
          </w:tcPr>
          <w:p>
            <w:pPr>
              <w:spacing w:line="360" w:lineRule="auto"/>
              <w:jc w:val="center"/>
              <w:rPr>
                <w:rFonts w:ascii="Times New Roman" w:eastAsia="宋体"/>
                <w:sz w:val="21"/>
                <w:szCs w:val="21"/>
              </w:rPr>
            </w:pPr>
            <w:r>
              <w:rPr>
                <w:rFonts w:ascii="Times New Roman" w:eastAsia="宋体"/>
                <w:sz w:val="21"/>
                <w:szCs w:val="21"/>
              </w:rPr>
              <w:t>6</w:t>
            </w:r>
          </w:p>
        </w:tc>
        <w:tc>
          <w:tcPr>
            <w:tcW w:w="2692" w:type="pct"/>
            <w:vAlign w:val="center"/>
          </w:tcPr>
          <w:p>
            <w:pPr>
              <w:spacing w:line="360" w:lineRule="auto"/>
              <w:jc w:val="center"/>
              <w:rPr>
                <w:rFonts w:ascii="Times New Roman" w:eastAsia="宋体"/>
                <w:sz w:val="21"/>
                <w:szCs w:val="21"/>
              </w:rPr>
            </w:pPr>
            <w:r>
              <w:rPr>
                <w:rFonts w:ascii="Times New Roman" w:eastAsia="宋体"/>
                <w:sz w:val="21"/>
                <w:szCs w:val="21"/>
              </w:rPr>
              <w:t>每天工作时间内暴露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308" w:type="pct"/>
            <w:vAlign w:val="center"/>
          </w:tcPr>
          <w:p>
            <w:pPr>
              <w:spacing w:line="360" w:lineRule="auto"/>
              <w:jc w:val="center"/>
              <w:rPr>
                <w:rFonts w:ascii="Times New Roman" w:eastAsia="宋体"/>
                <w:sz w:val="21"/>
                <w:szCs w:val="21"/>
              </w:rPr>
            </w:pPr>
            <w:r>
              <w:rPr>
                <w:rFonts w:ascii="Times New Roman" w:eastAsia="宋体"/>
                <w:sz w:val="21"/>
                <w:szCs w:val="21"/>
              </w:rPr>
              <w:t>3</w:t>
            </w:r>
          </w:p>
        </w:tc>
        <w:tc>
          <w:tcPr>
            <w:tcW w:w="2692" w:type="pct"/>
            <w:vAlign w:val="center"/>
          </w:tcPr>
          <w:p>
            <w:pPr>
              <w:spacing w:line="360" w:lineRule="auto"/>
              <w:jc w:val="center"/>
              <w:rPr>
                <w:rFonts w:ascii="Times New Roman" w:eastAsia="宋体"/>
                <w:sz w:val="21"/>
                <w:szCs w:val="21"/>
              </w:rPr>
            </w:pPr>
            <w:r>
              <w:rPr>
                <w:rFonts w:ascii="Times New Roman" w:eastAsia="宋体"/>
                <w:sz w:val="21"/>
                <w:szCs w:val="21"/>
              </w:rPr>
              <w:t>每周1次，或偶然暴露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308" w:type="pct"/>
            <w:vAlign w:val="center"/>
          </w:tcPr>
          <w:p>
            <w:pPr>
              <w:spacing w:line="360" w:lineRule="auto"/>
              <w:jc w:val="center"/>
              <w:rPr>
                <w:rFonts w:ascii="Times New Roman" w:eastAsia="宋体"/>
                <w:sz w:val="21"/>
                <w:szCs w:val="21"/>
              </w:rPr>
            </w:pPr>
            <w:r>
              <w:rPr>
                <w:rFonts w:ascii="Times New Roman" w:eastAsia="宋体"/>
                <w:sz w:val="21"/>
                <w:szCs w:val="21"/>
              </w:rPr>
              <w:t>2</w:t>
            </w:r>
          </w:p>
        </w:tc>
        <w:tc>
          <w:tcPr>
            <w:tcW w:w="2692" w:type="pct"/>
            <w:vAlign w:val="center"/>
          </w:tcPr>
          <w:p>
            <w:pPr>
              <w:spacing w:line="360" w:lineRule="auto"/>
              <w:jc w:val="center"/>
              <w:rPr>
                <w:rFonts w:ascii="Times New Roman" w:eastAsia="宋体"/>
                <w:sz w:val="21"/>
                <w:szCs w:val="21"/>
              </w:rPr>
            </w:pPr>
            <w:r>
              <w:rPr>
                <w:rFonts w:ascii="Times New Roman" w:eastAsia="宋体"/>
                <w:sz w:val="21"/>
                <w:szCs w:val="21"/>
              </w:rPr>
              <w:t>每月1次暴露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308" w:type="pct"/>
            <w:vAlign w:val="center"/>
          </w:tcPr>
          <w:p>
            <w:pPr>
              <w:spacing w:line="360" w:lineRule="auto"/>
              <w:jc w:val="center"/>
              <w:rPr>
                <w:rFonts w:ascii="Times New Roman" w:eastAsia="宋体"/>
                <w:sz w:val="21"/>
                <w:szCs w:val="21"/>
              </w:rPr>
            </w:pPr>
            <w:r>
              <w:rPr>
                <w:rFonts w:ascii="Times New Roman" w:eastAsia="宋体"/>
                <w:sz w:val="21"/>
                <w:szCs w:val="21"/>
              </w:rPr>
              <w:t>1</w:t>
            </w:r>
          </w:p>
        </w:tc>
        <w:tc>
          <w:tcPr>
            <w:tcW w:w="2692" w:type="pct"/>
            <w:vAlign w:val="center"/>
          </w:tcPr>
          <w:p>
            <w:pPr>
              <w:spacing w:line="360" w:lineRule="auto"/>
              <w:jc w:val="center"/>
              <w:rPr>
                <w:rFonts w:ascii="Times New Roman" w:eastAsia="宋体"/>
                <w:sz w:val="21"/>
                <w:szCs w:val="21"/>
              </w:rPr>
            </w:pPr>
            <w:r>
              <w:rPr>
                <w:rFonts w:ascii="Times New Roman" w:eastAsia="宋体"/>
                <w:sz w:val="21"/>
                <w:szCs w:val="21"/>
              </w:rPr>
              <w:t>每年几次暴露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308" w:type="pct"/>
            <w:vAlign w:val="center"/>
          </w:tcPr>
          <w:p>
            <w:pPr>
              <w:spacing w:line="360" w:lineRule="auto"/>
              <w:jc w:val="center"/>
              <w:rPr>
                <w:rFonts w:ascii="Times New Roman" w:eastAsia="宋体"/>
                <w:sz w:val="21"/>
                <w:szCs w:val="21"/>
              </w:rPr>
            </w:pPr>
            <w:r>
              <w:rPr>
                <w:rFonts w:ascii="Times New Roman" w:eastAsia="宋体"/>
                <w:sz w:val="21"/>
                <w:szCs w:val="21"/>
              </w:rPr>
              <w:t>0.5</w:t>
            </w:r>
          </w:p>
        </w:tc>
        <w:tc>
          <w:tcPr>
            <w:tcW w:w="2692" w:type="pct"/>
            <w:vAlign w:val="center"/>
          </w:tcPr>
          <w:p>
            <w:pPr>
              <w:spacing w:line="360" w:lineRule="auto"/>
              <w:jc w:val="center"/>
              <w:rPr>
                <w:rFonts w:ascii="Times New Roman" w:eastAsia="宋体"/>
                <w:sz w:val="21"/>
                <w:szCs w:val="21"/>
              </w:rPr>
            </w:pPr>
            <w:r>
              <w:rPr>
                <w:rFonts w:ascii="Times New Roman" w:eastAsia="宋体"/>
                <w:sz w:val="21"/>
                <w:szCs w:val="21"/>
              </w:rPr>
              <w:t>非常罕见暴露</w:t>
            </w:r>
          </w:p>
        </w:tc>
      </w:tr>
    </w:tbl>
    <w:p>
      <w:pPr>
        <w:spacing w:line="360" w:lineRule="auto"/>
        <w:ind w:firstLine="560" w:firstLineChars="200"/>
        <w:rPr>
          <w:rFonts w:ascii="Times New Roman" w:eastAsia="宋体"/>
          <w:b/>
          <w:sz w:val="28"/>
          <w:szCs w:val="28"/>
        </w:rPr>
      </w:pPr>
      <w:r>
        <w:rPr>
          <w:rFonts w:ascii="Times New Roman" w:eastAsia="仿宋"/>
          <w:sz w:val="28"/>
          <w:szCs w:val="28"/>
        </w:rPr>
        <w:t>4  发生事故可能造成的后果，即危险严重度因素C值与危险源在触发因素作用下发生事故时产生后果的严重程度有关，可从人身安全、财产及经济损失、社会影响等因素，分析危险源发生事故可能产生的后果确定C值，可按表3的规定确定。</w:t>
      </w:r>
    </w:p>
    <w:p>
      <w:pPr>
        <w:spacing w:line="360" w:lineRule="auto"/>
        <w:ind w:firstLine="482" w:firstLineChars="200"/>
        <w:jc w:val="center"/>
        <w:rPr>
          <w:rFonts w:ascii="Times New Roman" w:eastAsia="黑体"/>
          <w:b/>
          <w:sz w:val="24"/>
          <w:szCs w:val="21"/>
        </w:rPr>
      </w:pPr>
      <w:r>
        <w:rPr>
          <w:rFonts w:ascii="Times New Roman" w:eastAsia="黑体"/>
          <w:b/>
          <w:kern w:val="21"/>
          <w:sz w:val="24"/>
          <w:szCs w:val="24"/>
        </w:rPr>
        <w:t>表3</w:t>
      </w:r>
      <w:r>
        <w:rPr>
          <w:rFonts w:ascii="Times New Roman" w:eastAsia="黑体"/>
          <w:b/>
          <w:sz w:val="24"/>
          <w:szCs w:val="21"/>
        </w:rPr>
        <w:t xml:space="preserve">  危险严重度因素C值对照表</w:t>
      </w:r>
    </w:p>
    <w:tbl>
      <w:tblPr>
        <w:tblStyle w:val="3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4"/>
        <w:gridCol w:w="64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28" w:type="pct"/>
          </w:tcPr>
          <w:p>
            <w:pPr>
              <w:jc w:val="center"/>
              <w:rPr>
                <w:rFonts w:ascii="Times New Roman" w:eastAsia="宋体"/>
                <w:b/>
                <w:bCs/>
                <w:sz w:val="21"/>
                <w:szCs w:val="24"/>
              </w:rPr>
            </w:pPr>
            <w:r>
              <w:rPr>
                <w:rFonts w:ascii="Times New Roman" w:eastAsia="宋体"/>
                <w:b/>
                <w:bCs/>
                <w:sz w:val="21"/>
                <w:szCs w:val="24"/>
              </w:rPr>
              <w:t>C值</w:t>
            </w:r>
          </w:p>
        </w:tc>
        <w:tc>
          <w:tcPr>
            <w:tcW w:w="3772" w:type="pct"/>
          </w:tcPr>
          <w:p>
            <w:pPr>
              <w:jc w:val="center"/>
              <w:rPr>
                <w:rFonts w:ascii="Times New Roman" w:eastAsia="宋体"/>
                <w:b/>
                <w:bCs/>
                <w:sz w:val="21"/>
                <w:szCs w:val="24"/>
              </w:rPr>
            </w:pPr>
            <w:r>
              <w:rPr>
                <w:rFonts w:ascii="Times New Roman" w:eastAsia="宋体"/>
                <w:b/>
                <w:bCs/>
                <w:sz w:val="21"/>
                <w:szCs w:val="24"/>
              </w:rPr>
              <w:t>危险严重度因素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28" w:type="pct"/>
            <w:vAlign w:val="center"/>
          </w:tcPr>
          <w:p>
            <w:pPr>
              <w:spacing w:line="360" w:lineRule="auto"/>
              <w:jc w:val="center"/>
              <w:rPr>
                <w:rFonts w:ascii="Times New Roman" w:eastAsia="宋体"/>
                <w:sz w:val="21"/>
                <w:szCs w:val="21"/>
              </w:rPr>
            </w:pPr>
            <w:r>
              <w:rPr>
                <w:rFonts w:ascii="Times New Roman" w:eastAsia="宋体"/>
                <w:sz w:val="21"/>
                <w:szCs w:val="21"/>
              </w:rPr>
              <w:t>100</w:t>
            </w:r>
          </w:p>
        </w:tc>
        <w:tc>
          <w:tcPr>
            <w:tcW w:w="3772" w:type="pct"/>
          </w:tcPr>
          <w:p>
            <w:pPr>
              <w:rPr>
                <w:rFonts w:ascii="Times New Roman" w:eastAsia="宋体"/>
                <w:sz w:val="21"/>
                <w:szCs w:val="24"/>
              </w:rPr>
            </w:pPr>
            <w:r>
              <w:rPr>
                <w:rFonts w:ascii="Times New Roman" w:eastAsia="宋体"/>
                <w:sz w:val="21"/>
                <w:szCs w:val="24"/>
              </w:rPr>
              <w:t>造成30人以上（含30人）死亡，或者100人以上重伤（包括急性工业中毒，下同），或者1亿元以上直接经济损失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28" w:type="pct"/>
            <w:vAlign w:val="center"/>
          </w:tcPr>
          <w:p>
            <w:pPr>
              <w:spacing w:line="360" w:lineRule="auto"/>
              <w:jc w:val="center"/>
              <w:rPr>
                <w:rFonts w:ascii="Times New Roman" w:eastAsia="宋体"/>
                <w:sz w:val="21"/>
                <w:szCs w:val="21"/>
              </w:rPr>
            </w:pPr>
            <w:r>
              <w:rPr>
                <w:rFonts w:ascii="Times New Roman" w:eastAsia="宋体"/>
                <w:sz w:val="21"/>
                <w:szCs w:val="21"/>
              </w:rPr>
              <w:t>40</w:t>
            </w:r>
          </w:p>
        </w:tc>
        <w:tc>
          <w:tcPr>
            <w:tcW w:w="3772" w:type="pct"/>
          </w:tcPr>
          <w:p>
            <w:pPr>
              <w:rPr>
                <w:rFonts w:ascii="Times New Roman" w:eastAsia="宋体"/>
                <w:sz w:val="21"/>
                <w:szCs w:val="24"/>
              </w:rPr>
            </w:pPr>
            <w:r>
              <w:rPr>
                <w:rFonts w:ascii="Times New Roman" w:eastAsia="宋体"/>
                <w:sz w:val="21"/>
                <w:szCs w:val="24"/>
              </w:rPr>
              <w:t>造成10人～29人死亡，或者50人～99人重伤，或者5000万元以上1亿元以下直接经济损失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28" w:type="pct"/>
            <w:vAlign w:val="center"/>
          </w:tcPr>
          <w:p>
            <w:pPr>
              <w:spacing w:line="360" w:lineRule="auto"/>
              <w:jc w:val="center"/>
              <w:rPr>
                <w:rFonts w:ascii="Times New Roman" w:eastAsia="宋体"/>
                <w:sz w:val="21"/>
                <w:szCs w:val="21"/>
              </w:rPr>
            </w:pPr>
            <w:r>
              <w:rPr>
                <w:rFonts w:ascii="Times New Roman" w:eastAsia="宋体"/>
                <w:sz w:val="21"/>
                <w:szCs w:val="21"/>
              </w:rPr>
              <w:t>15</w:t>
            </w:r>
          </w:p>
        </w:tc>
        <w:tc>
          <w:tcPr>
            <w:tcW w:w="3772" w:type="pct"/>
          </w:tcPr>
          <w:p>
            <w:pPr>
              <w:rPr>
                <w:rFonts w:ascii="Times New Roman" w:eastAsia="宋体"/>
                <w:sz w:val="21"/>
                <w:szCs w:val="24"/>
              </w:rPr>
            </w:pPr>
            <w:r>
              <w:rPr>
                <w:rFonts w:ascii="Times New Roman" w:eastAsia="宋体"/>
                <w:sz w:val="21"/>
                <w:szCs w:val="24"/>
              </w:rPr>
              <w:t>造成3人～9人死亡，或者10人～49人重伤，或者1000万元以上5000万元以下直接经济损失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28" w:type="pct"/>
            <w:vAlign w:val="center"/>
          </w:tcPr>
          <w:p>
            <w:pPr>
              <w:spacing w:line="360" w:lineRule="auto"/>
              <w:jc w:val="center"/>
              <w:rPr>
                <w:rFonts w:ascii="Times New Roman" w:eastAsia="宋体"/>
                <w:sz w:val="21"/>
                <w:szCs w:val="21"/>
              </w:rPr>
            </w:pPr>
            <w:r>
              <w:rPr>
                <w:rFonts w:ascii="Times New Roman" w:eastAsia="宋体"/>
                <w:sz w:val="21"/>
                <w:szCs w:val="21"/>
              </w:rPr>
              <w:t>7</w:t>
            </w:r>
          </w:p>
        </w:tc>
        <w:tc>
          <w:tcPr>
            <w:tcW w:w="3772" w:type="pct"/>
          </w:tcPr>
          <w:p>
            <w:pPr>
              <w:rPr>
                <w:rFonts w:ascii="Times New Roman" w:eastAsia="宋体"/>
                <w:sz w:val="21"/>
                <w:szCs w:val="24"/>
              </w:rPr>
            </w:pPr>
            <w:r>
              <w:rPr>
                <w:rFonts w:ascii="Times New Roman" w:eastAsia="宋体"/>
                <w:sz w:val="21"/>
                <w:szCs w:val="24"/>
              </w:rPr>
              <w:t>造成3人以下死亡，或者10人以下重伤，或者1000万元以下直接经济损失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28" w:type="pct"/>
            <w:vAlign w:val="center"/>
          </w:tcPr>
          <w:p>
            <w:pPr>
              <w:spacing w:line="360" w:lineRule="auto"/>
              <w:jc w:val="center"/>
              <w:rPr>
                <w:rFonts w:ascii="Times New Roman" w:eastAsia="宋体"/>
                <w:sz w:val="21"/>
                <w:szCs w:val="21"/>
              </w:rPr>
            </w:pPr>
            <w:r>
              <w:rPr>
                <w:rFonts w:ascii="Times New Roman" w:eastAsia="宋体"/>
                <w:sz w:val="21"/>
                <w:szCs w:val="21"/>
              </w:rPr>
              <w:t>3</w:t>
            </w:r>
          </w:p>
        </w:tc>
        <w:tc>
          <w:tcPr>
            <w:tcW w:w="3772" w:type="pct"/>
          </w:tcPr>
          <w:p>
            <w:pPr>
              <w:rPr>
                <w:rFonts w:ascii="Times New Roman" w:eastAsia="宋体"/>
                <w:sz w:val="21"/>
                <w:szCs w:val="24"/>
              </w:rPr>
            </w:pPr>
            <w:r>
              <w:rPr>
                <w:rFonts w:ascii="Times New Roman" w:eastAsia="宋体"/>
                <w:sz w:val="21"/>
                <w:szCs w:val="24"/>
              </w:rPr>
              <w:t>无人员死亡，致残或重伤，或很小的财产损失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28" w:type="pct"/>
            <w:vAlign w:val="center"/>
          </w:tcPr>
          <w:p>
            <w:pPr>
              <w:spacing w:line="360" w:lineRule="auto"/>
              <w:jc w:val="center"/>
              <w:rPr>
                <w:rFonts w:ascii="Times New Roman" w:eastAsia="宋体"/>
                <w:sz w:val="21"/>
                <w:szCs w:val="21"/>
              </w:rPr>
            </w:pPr>
            <w:r>
              <w:rPr>
                <w:rFonts w:ascii="Times New Roman" w:eastAsia="宋体"/>
                <w:sz w:val="21"/>
                <w:szCs w:val="21"/>
              </w:rPr>
              <w:t>1</w:t>
            </w:r>
          </w:p>
        </w:tc>
        <w:tc>
          <w:tcPr>
            <w:tcW w:w="3772" w:type="pct"/>
          </w:tcPr>
          <w:p>
            <w:pPr>
              <w:rPr>
                <w:rFonts w:ascii="Times New Roman" w:eastAsia="宋体"/>
                <w:sz w:val="21"/>
                <w:szCs w:val="24"/>
              </w:rPr>
            </w:pPr>
            <w:r>
              <w:rPr>
                <w:rFonts w:ascii="Times New Roman" w:eastAsia="宋体"/>
                <w:sz w:val="21"/>
                <w:szCs w:val="24"/>
              </w:rPr>
              <w:t>引人注目，不利于基本的安全卫生要求</w:t>
            </w:r>
          </w:p>
        </w:tc>
      </w:tr>
    </w:tbl>
    <w:p>
      <w:pPr>
        <w:spacing w:line="360" w:lineRule="auto"/>
        <w:ind w:firstLine="560" w:firstLineChars="200"/>
        <w:rPr>
          <w:rFonts w:ascii="Times New Roman" w:eastAsia="仿宋"/>
        </w:rPr>
      </w:pPr>
      <w:r>
        <w:rPr>
          <w:rFonts w:ascii="Times New Roman" w:eastAsia="仿宋"/>
          <w:sz w:val="28"/>
          <w:szCs w:val="28"/>
        </w:rPr>
        <w:t>5</w:t>
      </w:r>
      <w:r>
        <w:rPr>
          <w:rFonts w:ascii="Times New Roman" w:eastAsia="仿宋"/>
        </w:rPr>
        <w:t xml:space="preserve"> 危险源风险等级划分以作业条件危险性大小D值作为标准，按表4的规定确定。</w:t>
      </w:r>
    </w:p>
    <w:p>
      <w:pPr>
        <w:spacing w:line="360" w:lineRule="auto"/>
        <w:jc w:val="center"/>
        <w:rPr>
          <w:rFonts w:ascii="Times New Roman" w:eastAsia="黑体"/>
          <w:b/>
          <w:sz w:val="24"/>
          <w:szCs w:val="21"/>
        </w:rPr>
      </w:pPr>
      <w:r>
        <w:rPr>
          <w:rFonts w:ascii="Times New Roman" w:eastAsia="黑体"/>
          <w:b/>
          <w:kern w:val="21"/>
          <w:sz w:val="24"/>
          <w:szCs w:val="24"/>
        </w:rPr>
        <w:t>表4</w:t>
      </w:r>
      <w:r>
        <w:rPr>
          <w:rFonts w:ascii="Times New Roman" w:eastAsia="黑体"/>
          <w:b/>
          <w:sz w:val="24"/>
          <w:szCs w:val="21"/>
        </w:rPr>
        <w:t xml:space="preserve">  作业条件危险性评价法危险性等级划分标准</w:t>
      </w:r>
    </w:p>
    <w:tbl>
      <w:tblPr>
        <w:tblStyle w:val="34"/>
        <w:tblW w:w="0" w:type="auto"/>
        <w:jc w:val="center"/>
        <w:tblLayout w:type="fixed"/>
        <w:tblCellMar>
          <w:top w:w="0" w:type="dxa"/>
          <w:left w:w="108" w:type="dxa"/>
          <w:bottom w:w="0" w:type="dxa"/>
          <w:right w:w="108" w:type="dxa"/>
        </w:tblCellMar>
      </w:tblPr>
      <w:tblGrid>
        <w:gridCol w:w="2222"/>
        <w:gridCol w:w="4023"/>
        <w:gridCol w:w="1931"/>
      </w:tblGrid>
      <w:tr>
        <w:tblPrEx>
          <w:tblCellMar>
            <w:top w:w="0" w:type="dxa"/>
            <w:left w:w="108" w:type="dxa"/>
            <w:bottom w:w="0" w:type="dxa"/>
            <w:right w:w="108" w:type="dxa"/>
          </w:tblCellMar>
        </w:tblPrEx>
        <w:trPr>
          <w:trHeight w:val="499" w:hRule="atLeast"/>
          <w:jc w:val="center"/>
        </w:trPr>
        <w:tc>
          <w:tcPr>
            <w:tcW w:w="222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eastAsia="宋体"/>
                <w:b/>
                <w:bCs/>
                <w:sz w:val="21"/>
                <w:szCs w:val="24"/>
              </w:rPr>
            </w:pPr>
            <w:r>
              <w:rPr>
                <w:rFonts w:ascii="Times New Roman" w:eastAsia="宋体"/>
                <w:b/>
                <w:bCs/>
                <w:sz w:val="21"/>
                <w:szCs w:val="24"/>
              </w:rPr>
              <w:t>D值区间</w:t>
            </w:r>
          </w:p>
        </w:tc>
        <w:tc>
          <w:tcPr>
            <w:tcW w:w="4023" w:type="dxa"/>
            <w:tcBorders>
              <w:top w:val="single" w:color="auto" w:sz="4" w:space="0"/>
              <w:left w:val="nil"/>
              <w:bottom w:val="single" w:color="auto" w:sz="4" w:space="0"/>
              <w:right w:val="single" w:color="auto" w:sz="4" w:space="0"/>
            </w:tcBorders>
            <w:vAlign w:val="center"/>
          </w:tcPr>
          <w:p>
            <w:pPr>
              <w:jc w:val="center"/>
              <w:rPr>
                <w:rFonts w:ascii="Times New Roman" w:eastAsia="宋体"/>
                <w:b/>
                <w:bCs/>
                <w:sz w:val="21"/>
                <w:szCs w:val="24"/>
              </w:rPr>
            </w:pPr>
            <w:r>
              <w:rPr>
                <w:rFonts w:ascii="Times New Roman" w:eastAsia="宋体"/>
                <w:b/>
                <w:bCs/>
                <w:sz w:val="21"/>
                <w:szCs w:val="24"/>
              </w:rPr>
              <w:t>危险程度</w:t>
            </w:r>
          </w:p>
        </w:tc>
        <w:tc>
          <w:tcPr>
            <w:tcW w:w="1931" w:type="dxa"/>
            <w:tcBorders>
              <w:top w:val="single" w:color="auto" w:sz="4" w:space="0"/>
              <w:left w:val="nil"/>
              <w:bottom w:val="single" w:color="auto" w:sz="4" w:space="0"/>
              <w:right w:val="single" w:color="auto" w:sz="4" w:space="0"/>
            </w:tcBorders>
            <w:vAlign w:val="center"/>
          </w:tcPr>
          <w:p>
            <w:pPr>
              <w:jc w:val="center"/>
              <w:rPr>
                <w:rFonts w:ascii="Times New Roman" w:eastAsia="宋体"/>
                <w:b/>
                <w:bCs/>
                <w:sz w:val="21"/>
                <w:szCs w:val="24"/>
              </w:rPr>
            </w:pPr>
            <w:r>
              <w:rPr>
                <w:rFonts w:ascii="Times New Roman" w:eastAsia="宋体"/>
                <w:b/>
                <w:bCs/>
                <w:sz w:val="21"/>
                <w:szCs w:val="24"/>
              </w:rPr>
              <w:t>风险等级</w:t>
            </w:r>
          </w:p>
        </w:tc>
      </w:tr>
      <w:tr>
        <w:tblPrEx>
          <w:tblCellMar>
            <w:top w:w="0" w:type="dxa"/>
            <w:left w:w="108" w:type="dxa"/>
            <w:bottom w:w="0" w:type="dxa"/>
            <w:right w:w="108" w:type="dxa"/>
          </w:tblCellMar>
        </w:tblPrEx>
        <w:trPr>
          <w:trHeight w:val="499" w:hRule="atLeast"/>
          <w:jc w:val="center"/>
        </w:trPr>
        <w:tc>
          <w:tcPr>
            <w:tcW w:w="2222" w:type="dxa"/>
            <w:tcBorders>
              <w:top w:val="nil"/>
              <w:left w:val="single" w:color="auto" w:sz="4" w:space="0"/>
              <w:bottom w:val="single" w:color="auto" w:sz="4" w:space="0"/>
              <w:right w:val="single" w:color="auto" w:sz="4" w:space="0"/>
            </w:tcBorders>
            <w:vAlign w:val="center"/>
          </w:tcPr>
          <w:p>
            <w:pPr>
              <w:jc w:val="center"/>
              <w:rPr>
                <w:rFonts w:ascii="Times New Roman" w:eastAsia="宋体"/>
                <w:sz w:val="21"/>
                <w:szCs w:val="24"/>
              </w:rPr>
            </w:pPr>
            <w:r>
              <w:rPr>
                <w:rFonts w:ascii="Times New Roman" w:eastAsia="宋体"/>
                <w:sz w:val="21"/>
                <w:szCs w:val="24"/>
              </w:rPr>
              <w:t>D＞320</w:t>
            </w:r>
          </w:p>
        </w:tc>
        <w:tc>
          <w:tcPr>
            <w:tcW w:w="4023" w:type="dxa"/>
            <w:tcBorders>
              <w:top w:val="nil"/>
              <w:left w:val="nil"/>
              <w:bottom w:val="single" w:color="auto" w:sz="4" w:space="0"/>
              <w:right w:val="single" w:color="auto" w:sz="4" w:space="0"/>
            </w:tcBorders>
            <w:vAlign w:val="center"/>
          </w:tcPr>
          <w:p>
            <w:pPr>
              <w:jc w:val="center"/>
              <w:rPr>
                <w:rFonts w:ascii="Times New Roman" w:eastAsia="宋体"/>
                <w:sz w:val="21"/>
                <w:szCs w:val="24"/>
              </w:rPr>
            </w:pPr>
            <w:r>
              <w:rPr>
                <w:rFonts w:ascii="Times New Roman" w:eastAsia="宋体"/>
                <w:sz w:val="21"/>
                <w:szCs w:val="24"/>
              </w:rPr>
              <w:t>极其危险，不能继续作业</w:t>
            </w:r>
          </w:p>
        </w:tc>
        <w:tc>
          <w:tcPr>
            <w:tcW w:w="193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eastAsia="宋体"/>
                <w:sz w:val="21"/>
                <w:szCs w:val="24"/>
              </w:rPr>
            </w:pPr>
            <w:r>
              <w:rPr>
                <w:rFonts w:ascii="Times New Roman" w:eastAsia="宋体"/>
                <w:sz w:val="21"/>
                <w:szCs w:val="24"/>
              </w:rPr>
              <w:t>重大风险</w:t>
            </w:r>
          </w:p>
        </w:tc>
      </w:tr>
      <w:tr>
        <w:tblPrEx>
          <w:tblCellMar>
            <w:top w:w="0" w:type="dxa"/>
            <w:left w:w="108" w:type="dxa"/>
            <w:bottom w:w="0" w:type="dxa"/>
            <w:right w:w="108" w:type="dxa"/>
          </w:tblCellMar>
        </w:tblPrEx>
        <w:trPr>
          <w:trHeight w:val="499" w:hRule="atLeast"/>
          <w:jc w:val="center"/>
        </w:trPr>
        <w:tc>
          <w:tcPr>
            <w:tcW w:w="2222" w:type="dxa"/>
            <w:tcBorders>
              <w:top w:val="nil"/>
              <w:left w:val="single" w:color="auto" w:sz="4" w:space="0"/>
              <w:bottom w:val="single" w:color="auto" w:sz="4" w:space="0"/>
              <w:right w:val="single" w:color="auto" w:sz="4" w:space="0"/>
            </w:tcBorders>
            <w:vAlign w:val="center"/>
          </w:tcPr>
          <w:p>
            <w:pPr>
              <w:jc w:val="center"/>
              <w:rPr>
                <w:rFonts w:ascii="Times New Roman" w:eastAsia="宋体"/>
                <w:sz w:val="21"/>
                <w:szCs w:val="24"/>
              </w:rPr>
            </w:pPr>
            <w:r>
              <w:rPr>
                <w:rFonts w:ascii="Times New Roman" w:eastAsia="宋体"/>
                <w:sz w:val="21"/>
                <w:szCs w:val="24"/>
              </w:rPr>
              <w:t>320≥D＞160</w:t>
            </w:r>
          </w:p>
        </w:tc>
        <w:tc>
          <w:tcPr>
            <w:tcW w:w="4023" w:type="dxa"/>
            <w:tcBorders>
              <w:top w:val="nil"/>
              <w:left w:val="nil"/>
              <w:bottom w:val="single" w:color="auto" w:sz="4" w:space="0"/>
              <w:right w:val="single" w:color="auto" w:sz="4" w:space="0"/>
            </w:tcBorders>
            <w:vAlign w:val="center"/>
          </w:tcPr>
          <w:p>
            <w:pPr>
              <w:jc w:val="center"/>
              <w:rPr>
                <w:rFonts w:ascii="Times New Roman" w:eastAsia="宋体"/>
                <w:sz w:val="21"/>
                <w:szCs w:val="24"/>
              </w:rPr>
            </w:pPr>
            <w:r>
              <w:rPr>
                <w:rFonts w:ascii="Times New Roman" w:eastAsia="宋体"/>
                <w:sz w:val="21"/>
                <w:szCs w:val="24"/>
              </w:rPr>
              <w:t>高度危险，需立即整改</w:t>
            </w:r>
          </w:p>
        </w:tc>
        <w:tc>
          <w:tcPr>
            <w:tcW w:w="193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eastAsia="宋体"/>
                <w:sz w:val="21"/>
                <w:szCs w:val="24"/>
              </w:rPr>
            </w:pPr>
            <w:r>
              <w:rPr>
                <w:rFonts w:ascii="Times New Roman" w:eastAsia="宋体"/>
                <w:sz w:val="21"/>
                <w:szCs w:val="24"/>
              </w:rPr>
              <w:t>较大风险</w:t>
            </w:r>
          </w:p>
        </w:tc>
      </w:tr>
      <w:tr>
        <w:tblPrEx>
          <w:tblCellMar>
            <w:top w:w="0" w:type="dxa"/>
            <w:left w:w="108" w:type="dxa"/>
            <w:bottom w:w="0" w:type="dxa"/>
            <w:right w:w="108" w:type="dxa"/>
          </w:tblCellMar>
        </w:tblPrEx>
        <w:trPr>
          <w:trHeight w:val="499" w:hRule="atLeast"/>
          <w:jc w:val="center"/>
        </w:trPr>
        <w:tc>
          <w:tcPr>
            <w:tcW w:w="2222" w:type="dxa"/>
            <w:tcBorders>
              <w:top w:val="nil"/>
              <w:left w:val="single" w:color="auto" w:sz="4" w:space="0"/>
              <w:bottom w:val="single" w:color="auto" w:sz="4" w:space="0"/>
              <w:right w:val="single" w:color="auto" w:sz="4" w:space="0"/>
            </w:tcBorders>
            <w:vAlign w:val="center"/>
          </w:tcPr>
          <w:p>
            <w:pPr>
              <w:spacing w:line="360" w:lineRule="auto"/>
              <w:jc w:val="center"/>
              <w:rPr>
                <w:rFonts w:ascii="Times New Roman" w:eastAsia="宋体"/>
                <w:sz w:val="21"/>
                <w:szCs w:val="21"/>
              </w:rPr>
            </w:pPr>
            <w:r>
              <w:rPr>
                <w:rFonts w:ascii="Times New Roman" w:eastAsia="宋体"/>
                <w:sz w:val="21"/>
                <w:szCs w:val="21"/>
              </w:rPr>
              <w:t>160≥D＞70</w:t>
            </w:r>
          </w:p>
        </w:tc>
        <w:tc>
          <w:tcPr>
            <w:tcW w:w="4023" w:type="dxa"/>
            <w:tcBorders>
              <w:top w:val="nil"/>
              <w:left w:val="nil"/>
              <w:bottom w:val="single" w:color="auto" w:sz="4" w:space="0"/>
              <w:right w:val="single" w:color="auto" w:sz="4" w:space="0"/>
            </w:tcBorders>
            <w:vAlign w:val="center"/>
          </w:tcPr>
          <w:p>
            <w:pPr>
              <w:jc w:val="center"/>
              <w:rPr>
                <w:rFonts w:ascii="Times New Roman" w:eastAsia="宋体"/>
                <w:sz w:val="21"/>
                <w:szCs w:val="24"/>
              </w:rPr>
            </w:pPr>
            <w:r>
              <w:rPr>
                <w:rFonts w:ascii="Times New Roman" w:eastAsia="宋体"/>
                <w:sz w:val="21"/>
                <w:szCs w:val="24"/>
              </w:rPr>
              <w:t>一般危险（或显著危险），需要整改</w:t>
            </w:r>
          </w:p>
        </w:tc>
        <w:tc>
          <w:tcPr>
            <w:tcW w:w="193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eastAsia="宋体"/>
                <w:sz w:val="21"/>
                <w:szCs w:val="24"/>
              </w:rPr>
            </w:pPr>
            <w:r>
              <w:rPr>
                <w:rFonts w:ascii="Times New Roman" w:eastAsia="宋体"/>
                <w:sz w:val="21"/>
                <w:szCs w:val="24"/>
              </w:rPr>
              <w:t>一般风险</w:t>
            </w:r>
          </w:p>
        </w:tc>
      </w:tr>
      <w:tr>
        <w:tblPrEx>
          <w:tblCellMar>
            <w:top w:w="0" w:type="dxa"/>
            <w:left w:w="108" w:type="dxa"/>
            <w:bottom w:w="0" w:type="dxa"/>
            <w:right w:w="108" w:type="dxa"/>
          </w:tblCellMar>
        </w:tblPrEx>
        <w:trPr>
          <w:trHeight w:val="499" w:hRule="atLeast"/>
          <w:jc w:val="center"/>
        </w:trPr>
        <w:tc>
          <w:tcPr>
            <w:tcW w:w="222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imes New Roman" w:eastAsia="宋体"/>
                <w:sz w:val="21"/>
                <w:szCs w:val="21"/>
              </w:rPr>
            </w:pPr>
            <w:r>
              <w:rPr>
                <w:rFonts w:ascii="Times New Roman" w:eastAsia="宋体"/>
                <w:sz w:val="21"/>
                <w:szCs w:val="21"/>
              </w:rPr>
              <w:t>D≤70</w:t>
            </w:r>
          </w:p>
        </w:tc>
        <w:tc>
          <w:tcPr>
            <w:tcW w:w="4023" w:type="dxa"/>
            <w:tcBorders>
              <w:top w:val="single" w:color="auto" w:sz="4" w:space="0"/>
              <w:left w:val="nil"/>
              <w:bottom w:val="single" w:color="auto" w:sz="4" w:space="0"/>
              <w:right w:val="single" w:color="auto" w:sz="4" w:space="0"/>
            </w:tcBorders>
            <w:vAlign w:val="center"/>
          </w:tcPr>
          <w:p>
            <w:pPr>
              <w:jc w:val="center"/>
              <w:rPr>
                <w:rFonts w:ascii="Times New Roman" w:eastAsia="宋体"/>
                <w:sz w:val="21"/>
                <w:szCs w:val="24"/>
              </w:rPr>
            </w:pPr>
            <w:r>
              <w:rPr>
                <w:rFonts w:ascii="Times New Roman" w:eastAsia="宋体"/>
                <w:sz w:val="21"/>
                <w:szCs w:val="24"/>
              </w:rPr>
              <w:t>稍有危险，需要注意（或可以接受）</w:t>
            </w:r>
          </w:p>
        </w:tc>
        <w:tc>
          <w:tcPr>
            <w:tcW w:w="193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eastAsia="宋体"/>
                <w:sz w:val="21"/>
                <w:szCs w:val="24"/>
              </w:rPr>
            </w:pPr>
            <w:r>
              <w:rPr>
                <w:rFonts w:ascii="Times New Roman" w:eastAsia="宋体"/>
                <w:sz w:val="21"/>
                <w:szCs w:val="24"/>
              </w:rPr>
              <w:t>低风险</w:t>
            </w:r>
          </w:p>
        </w:tc>
      </w:tr>
    </w:tbl>
    <w:p>
      <w:pPr>
        <w:spacing w:line="360" w:lineRule="auto"/>
        <w:ind w:firstLine="560" w:firstLineChars="200"/>
        <w:rPr>
          <w:rFonts w:ascii="Times New Roman"/>
          <w:sz w:val="28"/>
          <w:szCs w:val="28"/>
        </w:rPr>
      </w:pPr>
    </w:p>
    <w:p>
      <w:pPr>
        <w:rPr>
          <w:rFonts w:cs="仿宋" w:asciiTheme="minorEastAsia" w:hAnsiTheme="minorEastAsia" w:eastAsiaTheme="minorEastAsia"/>
          <w:sz w:val="21"/>
          <w:szCs w:val="21"/>
        </w:rPr>
        <w:sectPr>
          <w:pgSz w:w="11906" w:h="16838"/>
          <w:pgMar w:top="1440" w:right="1797" w:bottom="1440" w:left="1797" w:header="851" w:footer="992" w:gutter="0"/>
          <w:cols w:space="425" w:num="1"/>
          <w:docGrid w:type="lines" w:linePitch="435" w:charSpace="0"/>
        </w:sectPr>
      </w:pPr>
    </w:p>
    <w:p>
      <w:pPr>
        <w:jc w:val="center"/>
        <w:outlineLvl w:val="0"/>
        <w:rPr>
          <w:rFonts w:ascii="方正小标宋_GBK" w:hAnsi="黑体" w:eastAsia="方正小标宋_GBK"/>
          <w:b/>
          <w:bCs/>
          <w:sz w:val="28"/>
          <w:szCs w:val="28"/>
        </w:rPr>
      </w:pPr>
      <w:bookmarkStart w:id="185" w:name="_Toc117541339"/>
      <w:bookmarkStart w:id="186" w:name="_Toc119336621"/>
      <w:r>
        <w:rPr>
          <w:rFonts w:hint="eastAsia" w:ascii="方正小标宋_GBK" w:hAnsi="黑体" w:eastAsia="方正小标宋_GBK"/>
          <w:b/>
          <w:bCs/>
          <w:sz w:val="28"/>
          <w:szCs w:val="28"/>
        </w:rPr>
        <w:t>附录F.2</w:t>
      </w:r>
      <w:bookmarkEnd w:id="185"/>
      <w:bookmarkEnd w:id="186"/>
    </w:p>
    <w:p>
      <w:pPr>
        <w:jc w:val="center"/>
        <w:rPr>
          <w:rFonts w:ascii="方正小标宋_GBK" w:hAnsi="黑体" w:eastAsia="方正小标宋_GBK"/>
          <w:b/>
          <w:bCs/>
          <w:sz w:val="28"/>
          <w:szCs w:val="28"/>
        </w:rPr>
      </w:pPr>
      <w:r>
        <w:rPr>
          <w:rFonts w:hint="eastAsia" w:ascii="方正小标宋_GBK" w:hAnsi="黑体" w:eastAsia="方正小标宋_GBK"/>
          <w:b/>
          <w:bCs/>
          <w:sz w:val="28"/>
          <w:szCs w:val="28"/>
        </w:rPr>
        <w:t>（资料性附录）</w:t>
      </w:r>
    </w:p>
    <w:p>
      <w:pPr>
        <w:jc w:val="center"/>
        <w:rPr>
          <w:rFonts w:ascii="方正小标宋_GBK" w:hAnsi="黑体" w:eastAsia="方正小标宋_GBK"/>
          <w:b/>
          <w:bCs/>
          <w:sz w:val="28"/>
          <w:szCs w:val="28"/>
        </w:rPr>
      </w:pPr>
    </w:p>
    <w:p>
      <w:pPr>
        <w:jc w:val="center"/>
        <w:outlineLvl w:val="1"/>
        <w:rPr>
          <w:rFonts w:ascii="方正小标宋_GBK" w:hAnsi="黑体" w:eastAsia="方正小标宋_GBK"/>
          <w:b/>
          <w:bCs/>
          <w:sz w:val="28"/>
          <w:szCs w:val="28"/>
        </w:rPr>
      </w:pPr>
      <w:bookmarkStart w:id="187" w:name="_Toc117541340"/>
      <w:bookmarkStart w:id="188" w:name="_Toc119336622"/>
      <w:r>
        <w:rPr>
          <w:rFonts w:hint="eastAsia" w:ascii="方正小标宋_GBK" w:hAnsi="黑体" w:eastAsia="方正小标宋_GBK"/>
          <w:b/>
          <w:bCs/>
          <w:sz w:val="28"/>
          <w:szCs w:val="28"/>
        </w:rPr>
        <w:t>水库、水闸运行一般危险源风险评价方法—风险矩阵法（LS法）</w:t>
      </w:r>
      <w:bookmarkEnd w:id="187"/>
      <w:bookmarkEnd w:id="188"/>
    </w:p>
    <w:p>
      <w:pPr>
        <w:jc w:val="center"/>
        <w:rPr>
          <w:rFonts w:ascii="方正小标宋_GBK" w:hAnsi="黑体" w:eastAsia="方正小标宋_GBK"/>
          <w:b/>
          <w:bCs/>
          <w:sz w:val="28"/>
          <w:szCs w:val="28"/>
        </w:rPr>
      </w:pPr>
    </w:p>
    <w:p>
      <w:pPr>
        <w:ind w:firstLine="641" w:firstLineChars="228"/>
        <w:rPr>
          <w:rFonts w:eastAsia="仿宋"/>
          <w:b/>
          <w:sz w:val="28"/>
          <w:szCs w:val="28"/>
        </w:rPr>
      </w:pPr>
      <w:r>
        <w:rPr>
          <w:rFonts w:eastAsia="仿宋"/>
          <w:b/>
          <w:sz w:val="28"/>
          <w:szCs w:val="28"/>
        </w:rPr>
        <w:t>一、风险矩阵法（LS法）的数学表达式为：</w:t>
      </w:r>
    </w:p>
    <w:p>
      <w:pPr>
        <w:ind w:firstLine="840" w:firstLineChars="300"/>
        <w:rPr>
          <w:rFonts w:eastAsia="仿宋"/>
          <w:sz w:val="28"/>
          <w:szCs w:val="28"/>
        </w:rPr>
      </w:pPr>
      <w:r>
        <w:rPr>
          <w:rFonts w:eastAsia="仿宋"/>
          <w:sz w:val="28"/>
          <w:szCs w:val="28"/>
        </w:rPr>
        <w:t>R = L×S                           （公式1）</w:t>
      </w:r>
    </w:p>
    <w:p>
      <w:pPr>
        <w:ind w:firstLine="560" w:firstLineChars="200"/>
        <w:rPr>
          <w:rFonts w:eastAsia="仿宋"/>
          <w:bCs/>
          <w:sz w:val="28"/>
          <w:szCs w:val="28"/>
        </w:rPr>
      </w:pPr>
      <w:r>
        <w:rPr>
          <w:rFonts w:eastAsia="仿宋"/>
          <w:sz w:val="28"/>
          <w:szCs w:val="28"/>
        </w:rPr>
        <w:t>式中：</w:t>
      </w:r>
      <w:r>
        <w:rPr>
          <w:rFonts w:eastAsia="仿宋"/>
          <w:bCs/>
          <w:sz w:val="28"/>
          <w:szCs w:val="28"/>
        </w:rPr>
        <w:t>R—风险值；</w:t>
      </w:r>
    </w:p>
    <w:p>
      <w:pPr>
        <w:ind w:firstLine="1400" w:firstLineChars="500"/>
        <w:rPr>
          <w:rFonts w:eastAsia="仿宋"/>
          <w:bCs/>
          <w:sz w:val="28"/>
          <w:szCs w:val="28"/>
        </w:rPr>
      </w:pPr>
      <w:r>
        <w:rPr>
          <w:rFonts w:eastAsia="仿宋"/>
          <w:bCs/>
          <w:sz w:val="28"/>
          <w:szCs w:val="28"/>
        </w:rPr>
        <w:t>L—事故发生的可能性；</w:t>
      </w:r>
    </w:p>
    <w:p>
      <w:pPr>
        <w:ind w:firstLine="1400" w:firstLineChars="500"/>
        <w:rPr>
          <w:rFonts w:eastAsia="仿宋"/>
          <w:bCs/>
          <w:sz w:val="28"/>
          <w:szCs w:val="28"/>
        </w:rPr>
      </w:pPr>
      <w:r>
        <w:rPr>
          <w:rFonts w:eastAsia="仿宋"/>
          <w:bCs/>
          <w:sz w:val="28"/>
          <w:szCs w:val="28"/>
        </w:rPr>
        <w:t>S—事故造成危害的严重程度。</w:t>
      </w:r>
    </w:p>
    <w:p>
      <w:pPr>
        <w:ind w:firstLine="643"/>
        <w:rPr>
          <w:rFonts w:ascii="仿宋" w:hAnsi="仿宋" w:eastAsia="仿宋"/>
          <w:b/>
          <w:sz w:val="28"/>
          <w:szCs w:val="28"/>
        </w:rPr>
      </w:pPr>
      <w:r>
        <w:rPr>
          <w:rFonts w:hint="eastAsia" w:ascii="仿宋" w:hAnsi="仿宋" w:eastAsia="仿宋"/>
          <w:b/>
          <w:sz w:val="28"/>
          <w:szCs w:val="28"/>
        </w:rPr>
        <w:t>二、L值的取值过程与标准</w:t>
      </w:r>
    </w:p>
    <w:p>
      <w:pPr>
        <w:ind w:firstLine="560" w:firstLineChars="200"/>
        <w:rPr>
          <w:rFonts w:ascii="仿宋" w:hAnsi="仿宋" w:eastAsia="仿宋" w:cs="仿宋"/>
          <w:sz w:val="28"/>
          <w:szCs w:val="28"/>
          <w:lang w:bidi="ar"/>
        </w:rPr>
      </w:pPr>
      <w:r>
        <w:rPr>
          <w:rFonts w:hint="eastAsia" w:ascii="仿宋" w:hAnsi="仿宋" w:eastAsia="仿宋"/>
          <w:sz w:val="28"/>
          <w:szCs w:val="28"/>
        </w:rPr>
        <w:t>L值应由管理单位</w:t>
      </w:r>
      <w:r>
        <w:rPr>
          <w:rFonts w:hint="eastAsia" w:ascii="仿宋" w:hAnsi="仿宋" w:eastAsia="仿宋" w:cs="仿宋"/>
          <w:sz w:val="28"/>
          <w:szCs w:val="28"/>
          <w:lang w:bidi="ar"/>
        </w:rPr>
        <w:t>三个管理层级（分管负责人、部门负责人、运行管理人员）、多个相关部门（运管、安全或有关部门）人员按照以下过程和标准共同确定：</w:t>
      </w:r>
    </w:p>
    <w:p>
      <w:pPr>
        <w:ind w:firstLine="562" w:firstLineChars="200"/>
        <w:rPr>
          <w:rFonts w:eastAsia="仿宋"/>
          <w:sz w:val="28"/>
          <w:szCs w:val="28"/>
          <w:lang w:bidi="ar"/>
        </w:rPr>
      </w:pPr>
      <w:r>
        <w:rPr>
          <w:rFonts w:eastAsia="仿宋"/>
          <w:b/>
          <w:bCs/>
          <w:sz w:val="28"/>
          <w:szCs w:val="28"/>
          <w:lang w:bidi="ar"/>
        </w:rPr>
        <w:t>第一步</w:t>
      </w:r>
      <w:r>
        <w:rPr>
          <w:rFonts w:eastAsia="仿宋"/>
          <w:sz w:val="28"/>
          <w:szCs w:val="28"/>
          <w:lang w:bidi="ar"/>
        </w:rPr>
        <w:t>：由每位评价人员</w:t>
      </w:r>
      <w:r>
        <w:rPr>
          <w:rFonts w:eastAsia="仿宋"/>
          <w:sz w:val="28"/>
          <w:szCs w:val="28"/>
        </w:rPr>
        <w:t>根据实际情况</w:t>
      </w:r>
      <w:r>
        <w:rPr>
          <w:rFonts w:hint="eastAsia" w:eastAsia="仿宋"/>
          <w:sz w:val="28"/>
          <w:szCs w:val="28"/>
        </w:rPr>
        <w:t>和表</w:t>
      </w:r>
      <w:r>
        <w:rPr>
          <w:rFonts w:eastAsia="仿宋"/>
          <w:sz w:val="28"/>
          <w:szCs w:val="28"/>
        </w:rPr>
        <w:t>1，参照附件5、附件6初步</w:t>
      </w:r>
      <w:r>
        <w:rPr>
          <w:rFonts w:eastAsia="仿宋"/>
          <w:sz w:val="28"/>
          <w:szCs w:val="28"/>
          <w:lang w:bidi="ar"/>
        </w:rPr>
        <w:t>选取</w:t>
      </w:r>
      <w:r>
        <w:rPr>
          <w:rFonts w:eastAsia="仿宋"/>
          <w:bCs/>
          <w:sz w:val="28"/>
          <w:szCs w:val="28"/>
        </w:rPr>
        <w:t>事故发生的可能性</w:t>
      </w:r>
      <w:r>
        <w:rPr>
          <w:rFonts w:hint="eastAsia" w:eastAsia="仿宋"/>
          <w:bCs/>
          <w:sz w:val="28"/>
          <w:szCs w:val="28"/>
        </w:rPr>
        <w:t>数值</w:t>
      </w:r>
      <w:r>
        <w:rPr>
          <w:rFonts w:eastAsia="仿宋"/>
          <w:sz w:val="28"/>
          <w:szCs w:val="28"/>
          <w:lang w:bidi="ar"/>
        </w:rPr>
        <w:t>（以下用L</w:t>
      </w:r>
      <w:r>
        <w:rPr>
          <w:rFonts w:eastAsia="仿宋"/>
          <w:sz w:val="28"/>
          <w:szCs w:val="28"/>
          <w:vertAlign w:val="subscript"/>
          <w:lang w:bidi="ar"/>
        </w:rPr>
        <w:t>c</w:t>
      </w:r>
      <w:r>
        <w:rPr>
          <w:rFonts w:eastAsia="仿宋"/>
          <w:sz w:val="28"/>
          <w:szCs w:val="28"/>
          <w:lang w:bidi="ar"/>
        </w:rPr>
        <w:t>表示）；</w:t>
      </w:r>
    </w:p>
    <w:p>
      <w:pPr>
        <w:ind w:firstLine="562" w:firstLineChars="200"/>
        <w:rPr>
          <w:rFonts w:ascii="宋体" w:hAnsi="宋体" w:cs="宋体"/>
          <w:b/>
          <w:sz w:val="28"/>
          <w:szCs w:val="28"/>
        </w:rPr>
      </w:pPr>
      <w:r>
        <w:rPr>
          <w:rFonts w:hint="eastAsia" w:ascii="宋体" w:hAnsi="宋体" w:cs="宋体"/>
          <w:b/>
          <w:sz w:val="28"/>
          <w:szCs w:val="28"/>
          <w:lang w:bidi="ar"/>
        </w:rPr>
        <w:t xml:space="preserve">表1       </w:t>
      </w:r>
      <w:r>
        <w:rPr>
          <w:rFonts w:ascii="宋体" w:hAnsi="宋体" w:cs="宋体"/>
          <w:b/>
          <w:sz w:val="28"/>
          <w:szCs w:val="28"/>
          <w:lang w:bidi="ar"/>
        </w:rPr>
        <w:t xml:space="preserve">  </w:t>
      </w:r>
      <w:r>
        <w:rPr>
          <w:rFonts w:hint="eastAsia" w:ascii="宋体" w:hAnsi="宋体" w:cs="宋体"/>
          <w:b/>
          <w:sz w:val="28"/>
          <w:szCs w:val="28"/>
          <w:lang w:bidi="ar"/>
        </w:rPr>
        <w:t xml:space="preserve">       L值取值标准表</w:t>
      </w:r>
    </w:p>
    <w:tbl>
      <w:tblPr>
        <w:tblStyle w:val="3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0"/>
        <w:gridCol w:w="1418"/>
        <w:gridCol w:w="1417"/>
        <w:gridCol w:w="1418"/>
        <w:gridCol w:w="1417"/>
        <w:gridCol w:w="13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20" w:type="dxa"/>
            <w:vAlign w:val="center"/>
          </w:tcPr>
          <w:p>
            <w:pPr>
              <w:jc w:val="center"/>
              <w:rPr>
                <w:rFonts w:ascii="Times New Roman" w:eastAsia="宋体"/>
                <w:bCs/>
                <w:sz w:val="28"/>
                <w:szCs w:val="28"/>
              </w:rPr>
            </w:pPr>
          </w:p>
        </w:tc>
        <w:tc>
          <w:tcPr>
            <w:tcW w:w="1418" w:type="dxa"/>
            <w:vAlign w:val="center"/>
          </w:tcPr>
          <w:p>
            <w:pPr>
              <w:jc w:val="center"/>
              <w:rPr>
                <w:rFonts w:ascii="Times New Roman" w:eastAsia="宋体"/>
                <w:bCs/>
                <w:sz w:val="28"/>
                <w:szCs w:val="28"/>
              </w:rPr>
            </w:pPr>
            <w:r>
              <w:rPr>
                <w:rFonts w:hint="eastAsia" w:ascii="Times New Roman" w:eastAsia="宋体" w:cs="宋体"/>
                <w:bCs/>
                <w:sz w:val="28"/>
                <w:szCs w:val="28"/>
              </w:rPr>
              <w:t>一般情况下不会发生</w:t>
            </w:r>
          </w:p>
        </w:tc>
        <w:tc>
          <w:tcPr>
            <w:tcW w:w="1417" w:type="dxa"/>
            <w:vAlign w:val="center"/>
          </w:tcPr>
          <w:p>
            <w:pPr>
              <w:jc w:val="center"/>
              <w:rPr>
                <w:rFonts w:ascii="Times New Roman" w:eastAsia="宋体"/>
                <w:bCs/>
                <w:sz w:val="28"/>
                <w:szCs w:val="28"/>
              </w:rPr>
            </w:pPr>
            <w:r>
              <w:rPr>
                <w:rFonts w:hint="eastAsia" w:ascii="Times New Roman" w:eastAsia="宋体" w:cs="宋体"/>
                <w:bCs/>
                <w:sz w:val="28"/>
                <w:szCs w:val="28"/>
              </w:rPr>
              <w:t>极少情况下才发生</w:t>
            </w:r>
          </w:p>
        </w:tc>
        <w:tc>
          <w:tcPr>
            <w:tcW w:w="1418" w:type="dxa"/>
            <w:vAlign w:val="center"/>
          </w:tcPr>
          <w:p>
            <w:pPr>
              <w:jc w:val="center"/>
              <w:rPr>
                <w:rFonts w:ascii="Times New Roman" w:eastAsia="宋体"/>
                <w:bCs/>
                <w:sz w:val="28"/>
                <w:szCs w:val="28"/>
              </w:rPr>
            </w:pPr>
            <w:r>
              <w:rPr>
                <w:rFonts w:hint="eastAsia" w:ascii="Times New Roman" w:eastAsia="宋体" w:cs="宋体"/>
                <w:bCs/>
                <w:sz w:val="28"/>
                <w:szCs w:val="28"/>
              </w:rPr>
              <w:t>某些情况下发生</w:t>
            </w:r>
          </w:p>
        </w:tc>
        <w:tc>
          <w:tcPr>
            <w:tcW w:w="1417" w:type="dxa"/>
            <w:vAlign w:val="center"/>
          </w:tcPr>
          <w:p>
            <w:pPr>
              <w:jc w:val="center"/>
              <w:rPr>
                <w:rFonts w:ascii="Times New Roman" w:eastAsia="宋体"/>
                <w:bCs/>
                <w:sz w:val="28"/>
                <w:szCs w:val="28"/>
              </w:rPr>
            </w:pPr>
            <w:r>
              <w:rPr>
                <w:rFonts w:hint="eastAsia" w:ascii="Times New Roman" w:eastAsia="宋体" w:cs="宋体"/>
                <w:bCs/>
                <w:sz w:val="28"/>
                <w:szCs w:val="28"/>
              </w:rPr>
              <w:t>较多情况下发生</w:t>
            </w:r>
          </w:p>
        </w:tc>
        <w:tc>
          <w:tcPr>
            <w:tcW w:w="1303" w:type="dxa"/>
            <w:vAlign w:val="center"/>
          </w:tcPr>
          <w:p>
            <w:pPr>
              <w:jc w:val="center"/>
              <w:rPr>
                <w:rFonts w:ascii="Times New Roman" w:eastAsia="宋体"/>
                <w:bCs/>
                <w:sz w:val="28"/>
                <w:szCs w:val="28"/>
              </w:rPr>
            </w:pPr>
            <w:r>
              <w:rPr>
                <w:rFonts w:hint="eastAsia" w:ascii="Times New Roman" w:eastAsia="宋体" w:cs="宋体"/>
                <w:bCs/>
                <w:sz w:val="28"/>
                <w:szCs w:val="28"/>
              </w:rPr>
              <w:t>常常会发生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20" w:type="dxa"/>
            <w:vAlign w:val="center"/>
          </w:tcPr>
          <w:p>
            <w:pPr>
              <w:jc w:val="center"/>
              <w:rPr>
                <w:rFonts w:ascii="Times New Roman" w:eastAsia="宋体"/>
                <w:b/>
                <w:sz w:val="28"/>
                <w:szCs w:val="28"/>
              </w:rPr>
            </w:pPr>
            <w:r>
              <w:rPr>
                <w:rFonts w:ascii="Times New Roman" w:eastAsia="宋体"/>
                <w:b/>
                <w:sz w:val="28"/>
                <w:szCs w:val="28"/>
              </w:rPr>
              <w:t>L</w:t>
            </w:r>
            <w:r>
              <w:rPr>
                <w:rFonts w:hint="eastAsia" w:ascii="Times New Roman" w:eastAsia="宋体" w:cs="宋体"/>
                <w:b/>
                <w:sz w:val="28"/>
                <w:szCs w:val="28"/>
              </w:rPr>
              <w:t>值</w:t>
            </w:r>
          </w:p>
        </w:tc>
        <w:tc>
          <w:tcPr>
            <w:tcW w:w="1418" w:type="dxa"/>
            <w:vAlign w:val="center"/>
          </w:tcPr>
          <w:p>
            <w:pPr>
              <w:jc w:val="center"/>
              <w:rPr>
                <w:rFonts w:ascii="Times New Roman" w:eastAsia="宋体"/>
                <w:bCs/>
                <w:sz w:val="28"/>
                <w:szCs w:val="28"/>
              </w:rPr>
            </w:pPr>
            <w:r>
              <w:rPr>
                <w:rFonts w:ascii="Times New Roman" w:eastAsia="宋体"/>
                <w:bCs/>
                <w:sz w:val="28"/>
                <w:szCs w:val="28"/>
              </w:rPr>
              <w:t>3</w:t>
            </w:r>
          </w:p>
        </w:tc>
        <w:tc>
          <w:tcPr>
            <w:tcW w:w="1417" w:type="dxa"/>
            <w:vAlign w:val="center"/>
          </w:tcPr>
          <w:p>
            <w:pPr>
              <w:jc w:val="center"/>
              <w:rPr>
                <w:rFonts w:ascii="Times New Roman" w:eastAsia="宋体"/>
                <w:bCs/>
                <w:sz w:val="28"/>
                <w:szCs w:val="28"/>
              </w:rPr>
            </w:pPr>
            <w:r>
              <w:rPr>
                <w:rFonts w:ascii="Times New Roman" w:eastAsia="宋体"/>
                <w:bCs/>
                <w:sz w:val="28"/>
                <w:szCs w:val="28"/>
              </w:rPr>
              <w:t>6</w:t>
            </w:r>
          </w:p>
        </w:tc>
        <w:tc>
          <w:tcPr>
            <w:tcW w:w="1418" w:type="dxa"/>
            <w:vAlign w:val="center"/>
          </w:tcPr>
          <w:p>
            <w:pPr>
              <w:jc w:val="center"/>
              <w:rPr>
                <w:rFonts w:ascii="Times New Roman" w:eastAsia="宋体"/>
                <w:bCs/>
                <w:sz w:val="28"/>
                <w:szCs w:val="28"/>
              </w:rPr>
            </w:pPr>
            <w:r>
              <w:rPr>
                <w:rFonts w:ascii="Times New Roman" w:eastAsia="宋体"/>
                <w:bCs/>
                <w:sz w:val="28"/>
                <w:szCs w:val="28"/>
              </w:rPr>
              <w:t>18</w:t>
            </w:r>
          </w:p>
        </w:tc>
        <w:tc>
          <w:tcPr>
            <w:tcW w:w="1417" w:type="dxa"/>
            <w:vAlign w:val="center"/>
          </w:tcPr>
          <w:p>
            <w:pPr>
              <w:jc w:val="center"/>
              <w:rPr>
                <w:rFonts w:ascii="Times New Roman" w:eastAsia="宋体"/>
                <w:bCs/>
                <w:sz w:val="28"/>
                <w:szCs w:val="28"/>
              </w:rPr>
            </w:pPr>
            <w:r>
              <w:rPr>
                <w:rFonts w:ascii="Times New Roman" w:eastAsia="宋体"/>
                <w:bCs/>
                <w:sz w:val="28"/>
                <w:szCs w:val="28"/>
              </w:rPr>
              <w:t>36</w:t>
            </w:r>
          </w:p>
        </w:tc>
        <w:tc>
          <w:tcPr>
            <w:tcW w:w="1303" w:type="dxa"/>
            <w:vAlign w:val="center"/>
          </w:tcPr>
          <w:p>
            <w:pPr>
              <w:jc w:val="center"/>
              <w:rPr>
                <w:rFonts w:ascii="Times New Roman" w:eastAsia="宋体"/>
                <w:bCs/>
                <w:sz w:val="28"/>
                <w:szCs w:val="28"/>
              </w:rPr>
            </w:pPr>
            <w:r>
              <w:rPr>
                <w:rFonts w:ascii="Times New Roman" w:eastAsia="宋体"/>
                <w:bCs/>
                <w:sz w:val="28"/>
                <w:szCs w:val="28"/>
              </w:rPr>
              <w:t>60</w:t>
            </w:r>
          </w:p>
        </w:tc>
      </w:tr>
    </w:tbl>
    <w:p>
      <w:pPr>
        <w:widowControl w:val="0"/>
        <w:ind w:firstLine="560" w:firstLineChars="200"/>
        <w:rPr>
          <w:rFonts w:ascii="Times New Roman" w:eastAsia="宋体"/>
          <w:sz w:val="28"/>
          <w:szCs w:val="28"/>
        </w:rPr>
      </w:pPr>
    </w:p>
    <w:p>
      <w:pPr>
        <w:ind w:firstLine="562" w:firstLineChars="200"/>
        <w:rPr>
          <w:rFonts w:eastAsia="仿宋"/>
          <w:sz w:val="28"/>
          <w:szCs w:val="28"/>
          <w:lang w:bidi="ar"/>
        </w:rPr>
      </w:pPr>
      <w:r>
        <w:rPr>
          <w:rFonts w:eastAsia="仿宋"/>
          <w:b/>
          <w:bCs/>
          <w:sz w:val="28"/>
          <w:szCs w:val="28"/>
          <w:lang w:bidi="ar"/>
        </w:rPr>
        <w:t>第二步</w:t>
      </w:r>
      <w:r>
        <w:rPr>
          <w:rFonts w:eastAsia="仿宋"/>
          <w:sz w:val="28"/>
          <w:szCs w:val="28"/>
          <w:lang w:bidi="ar"/>
        </w:rPr>
        <w:t>：分别计算出三个管理层级中，每一层级内所有人员所取L</w:t>
      </w:r>
      <w:r>
        <w:rPr>
          <w:rFonts w:eastAsia="仿宋"/>
          <w:sz w:val="28"/>
          <w:szCs w:val="28"/>
          <w:vertAlign w:val="subscript"/>
          <w:lang w:bidi="ar"/>
        </w:rPr>
        <w:t>c</w:t>
      </w:r>
      <w:r>
        <w:rPr>
          <w:rFonts w:hint="eastAsia" w:eastAsia="仿宋"/>
          <w:sz w:val="28"/>
          <w:szCs w:val="28"/>
          <w:lang w:bidi="ar"/>
        </w:rPr>
        <w:t>值</w:t>
      </w:r>
      <w:r>
        <w:rPr>
          <w:rFonts w:eastAsia="仿宋"/>
          <w:sz w:val="28"/>
          <w:szCs w:val="28"/>
          <w:lang w:bidi="ar"/>
        </w:rPr>
        <w:t>的算术平均数L</w:t>
      </w:r>
      <w:r>
        <w:rPr>
          <w:rFonts w:hint="eastAsia" w:eastAsia="仿宋"/>
          <w:sz w:val="28"/>
          <w:szCs w:val="28"/>
          <w:vertAlign w:val="subscript"/>
          <w:lang w:bidi="ar"/>
        </w:rPr>
        <w:t>j</w:t>
      </w:r>
      <w:r>
        <w:rPr>
          <w:rFonts w:eastAsia="仿宋"/>
          <w:sz w:val="28"/>
          <w:szCs w:val="28"/>
          <w:vertAlign w:val="subscript"/>
          <w:lang w:bidi="ar"/>
        </w:rPr>
        <w:t>1</w:t>
      </w:r>
      <w:r>
        <w:rPr>
          <w:rFonts w:hint="eastAsia" w:eastAsia="仿宋"/>
          <w:sz w:val="28"/>
          <w:szCs w:val="28"/>
          <w:lang w:bidi="ar"/>
        </w:rPr>
        <w:t>、</w:t>
      </w:r>
      <w:r>
        <w:rPr>
          <w:rFonts w:eastAsia="仿宋"/>
          <w:sz w:val="28"/>
          <w:szCs w:val="28"/>
          <w:lang w:bidi="ar"/>
        </w:rPr>
        <w:t>L</w:t>
      </w:r>
      <w:r>
        <w:rPr>
          <w:rFonts w:hint="eastAsia" w:eastAsia="仿宋"/>
          <w:sz w:val="28"/>
          <w:szCs w:val="28"/>
          <w:vertAlign w:val="subscript"/>
          <w:lang w:bidi="ar"/>
        </w:rPr>
        <w:t>j</w:t>
      </w:r>
      <w:r>
        <w:rPr>
          <w:rFonts w:eastAsia="仿宋"/>
          <w:sz w:val="28"/>
          <w:szCs w:val="28"/>
          <w:vertAlign w:val="subscript"/>
          <w:lang w:bidi="ar"/>
        </w:rPr>
        <w:t>2</w:t>
      </w:r>
      <w:r>
        <w:rPr>
          <w:rFonts w:hint="eastAsia" w:eastAsia="仿宋"/>
          <w:sz w:val="28"/>
          <w:szCs w:val="28"/>
          <w:lang w:bidi="ar"/>
        </w:rPr>
        <w:t>、</w:t>
      </w:r>
      <w:r>
        <w:rPr>
          <w:rFonts w:eastAsia="仿宋"/>
          <w:sz w:val="28"/>
          <w:szCs w:val="28"/>
          <w:lang w:bidi="ar"/>
        </w:rPr>
        <w:t>L</w:t>
      </w:r>
      <w:r>
        <w:rPr>
          <w:rFonts w:hint="eastAsia" w:eastAsia="仿宋"/>
          <w:sz w:val="28"/>
          <w:szCs w:val="28"/>
          <w:vertAlign w:val="subscript"/>
          <w:lang w:bidi="ar"/>
        </w:rPr>
        <w:t>j</w:t>
      </w:r>
      <w:r>
        <w:rPr>
          <w:rFonts w:eastAsia="仿宋"/>
          <w:sz w:val="28"/>
          <w:szCs w:val="28"/>
          <w:vertAlign w:val="subscript"/>
          <w:lang w:bidi="ar"/>
        </w:rPr>
        <w:t>3</w:t>
      </w:r>
      <w:r>
        <w:rPr>
          <w:rFonts w:hint="eastAsia" w:eastAsia="仿宋"/>
          <w:sz w:val="28"/>
          <w:szCs w:val="28"/>
          <w:lang w:bidi="ar"/>
        </w:rPr>
        <w:t>。</w:t>
      </w:r>
    </w:p>
    <w:p>
      <w:pPr>
        <w:ind w:firstLine="560" w:firstLineChars="200"/>
        <w:rPr>
          <w:rFonts w:eastAsia="仿宋"/>
          <w:sz w:val="28"/>
          <w:szCs w:val="28"/>
          <w:lang w:bidi="ar"/>
        </w:rPr>
      </w:pPr>
      <w:r>
        <w:rPr>
          <w:rFonts w:hint="eastAsia" w:eastAsia="仿宋"/>
          <w:sz w:val="28"/>
          <w:szCs w:val="28"/>
          <w:lang w:bidi="ar"/>
        </w:rPr>
        <w:t>其中：j</w:t>
      </w:r>
      <w:r>
        <w:rPr>
          <w:rFonts w:eastAsia="仿宋"/>
          <w:sz w:val="28"/>
          <w:szCs w:val="28"/>
          <w:lang w:bidi="ar"/>
        </w:rPr>
        <w:t>1</w:t>
      </w:r>
      <w:r>
        <w:rPr>
          <w:rFonts w:hint="eastAsia" w:eastAsia="仿宋"/>
          <w:sz w:val="28"/>
          <w:szCs w:val="28"/>
          <w:lang w:bidi="ar"/>
        </w:rPr>
        <w:t>代表</w:t>
      </w:r>
      <w:r>
        <w:rPr>
          <w:rFonts w:eastAsia="仿宋"/>
          <w:sz w:val="28"/>
          <w:szCs w:val="28"/>
          <w:lang w:bidi="ar"/>
        </w:rPr>
        <w:t>分管负责人层级</w:t>
      </w:r>
      <w:r>
        <w:rPr>
          <w:rFonts w:hint="eastAsia" w:eastAsia="仿宋"/>
          <w:sz w:val="28"/>
          <w:szCs w:val="28"/>
          <w:lang w:bidi="ar"/>
        </w:rPr>
        <w:t>；</w:t>
      </w:r>
    </w:p>
    <w:p>
      <w:pPr>
        <w:ind w:firstLine="1400" w:firstLineChars="500"/>
        <w:rPr>
          <w:rFonts w:eastAsia="仿宋"/>
          <w:sz w:val="28"/>
          <w:szCs w:val="28"/>
          <w:lang w:bidi="ar"/>
        </w:rPr>
      </w:pPr>
      <w:r>
        <w:rPr>
          <w:rFonts w:hint="eastAsia" w:eastAsia="仿宋"/>
          <w:sz w:val="28"/>
          <w:szCs w:val="28"/>
          <w:lang w:bidi="ar"/>
        </w:rPr>
        <w:t>j</w:t>
      </w:r>
      <w:r>
        <w:rPr>
          <w:rFonts w:eastAsia="仿宋"/>
          <w:sz w:val="28"/>
          <w:szCs w:val="28"/>
          <w:lang w:bidi="ar"/>
        </w:rPr>
        <w:t>2</w:t>
      </w:r>
      <w:r>
        <w:rPr>
          <w:rFonts w:hint="eastAsia" w:eastAsia="仿宋"/>
          <w:sz w:val="28"/>
          <w:szCs w:val="28"/>
          <w:lang w:bidi="ar"/>
        </w:rPr>
        <w:t>代表</w:t>
      </w:r>
      <w:r>
        <w:rPr>
          <w:rFonts w:eastAsia="仿宋"/>
          <w:sz w:val="28"/>
          <w:szCs w:val="28"/>
          <w:lang w:bidi="ar"/>
        </w:rPr>
        <w:t>部门负责人层级</w:t>
      </w:r>
      <w:r>
        <w:rPr>
          <w:rFonts w:hint="eastAsia" w:eastAsia="仿宋"/>
          <w:sz w:val="28"/>
          <w:szCs w:val="28"/>
          <w:lang w:bidi="ar"/>
        </w:rPr>
        <w:t>；</w:t>
      </w:r>
    </w:p>
    <w:p>
      <w:pPr>
        <w:ind w:firstLine="1400" w:firstLineChars="500"/>
        <w:rPr>
          <w:rFonts w:eastAsia="仿宋"/>
          <w:sz w:val="28"/>
          <w:szCs w:val="28"/>
          <w:lang w:bidi="ar"/>
        </w:rPr>
      </w:pPr>
      <w:r>
        <w:rPr>
          <w:rFonts w:hint="eastAsia" w:eastAsia="仿宋"/>
          <w:sz w:val="28"/>
          <w:szCs w:val="28"/>
          <w:lang w:bidi="ar"/>
        </w:rPr>
        <w:t>j</w:t>
      </w:r>
      <w:r>
        <w:rPr>
          <w:rFonts w:eastAsia="仿宋"/>
          <w:sz w:val="28"/>
          <w:szCs w:val="28"/>
          <w:lang w:bidi="ar"/>
        </w:rPr>
        <w:t>3</w:t>
      </w:r>
      <w:r>
        <w:rPr>
          <w:rFonts w:hint="eastAsia" w:eastAsia="仿宋"/>
          <w:sz w:val="28"/>
          <w:szCs w:val="28"/>
          <w:lang w:bidi="ar"/>
        </w:rPr>
        <w:t>代表</w:t>
      </w:r>
      <w:r>
        <w:rPr>
          <w:rFonts w:eastAsia="仿宋"/>
          <w:sz w:val="28"/>
          <w:szCs w:val="28"/>
          <w:lang w:bidi="ar"/>
        </w:rPr>
        <w:t>管理人员层级；</w:t>
      </w:r>
    </w:p>
    <w:p>
      <w:pPr>
        <w:ind w:firstLine="562" w:firstLineChars="200"/>
        <w:rPr>
          <w:rFonts w:eastAsia="仿宋"/>
          <w:sz w:val="28"/>
          <w:szCs w:val="28"/>
          <w:lang w:bidi="ar"/>
        </w:rPr>
      </w:pPr>
      <w:r>
        <w:rPr>
          <w:rFonts w:hint="eastAsia" w:eastAsia="仿宋"/>
          <w:b/>
          <w:bCs/>
          <w:sz w:val="28"/>
          <w:szCs w:val="28"/>
          <w:lang w:bidi="ar"/>
        </w:rPr>
        <w:t>第三步</w:t>
      </w:r>
      <w:r>
        <w:rPr>
          <w:rFonts w:eastAsia="仿宋"/>
          <w:sz w:val="28"/>
          <w:szCs w:val="28"/>
          <w:lang w:bidi="ar"/>
        </w:rPr>
        <w:t>：按照下式计算</w:t>
      </w:r>
      <w:r>
        <w:rPr>
          <w:rFonts w:hint="eastAsia" w:eastAsia="仿宋"/>
          <w:sz w:val="28"/>
          <w:szCs w:val="28"/>
          <w:lang w:bidi="ar"/>
        </w:rPr>
        <w:t>得出L的最终值</w:t>
      </w:r>
      <w:r>
        <w:rPr>
          <w:rFonts w:eastAsia="仿宋"/>
          <w:sz w:val="28"/>
          <w:szCs w:val="28"/>
          <w:lang w:bidi="ar"/>
        </w:rPr>
        <w:t>。</w:t>
      </w:r>
    </w:p>
    <w:p>
      <w:pPr>
        <w:ind w:firstLine="1400" w:firstLineChars="500"/>
        <w:rPr>
          <w:rFonts w:eastAsia="仿宋"/>
          <w:sz w:val="28"/>
          <w:szCs w:val="28"/>
          <w:lang w:bidi="ar"/>
        </w:rPr>
      </w:pPr>
      <w:r>
        <w:rPr>
          <w:rFonts w:eastAsia="仿宋"/>
          <w:sz w:val="28"/>
          <w:szCs w:val="28"/>
        </w:rPr>
        <w:t>L=0.3×</w:t>
      </w:r>
      <w:r>
        <w:rPr>
          <w:rFonts w:eastAsia="仿宋"/>
          <w:sz w:val="28"/>
          <w:szCs w:val="28"/>
          <w:lang w:bidi="ar"/>
        </w:rPr>
        <w:t>L</w:t>
      </w:r>
      <w:r>
        <w:rPr>
          <w:rFonts w:hint="eastAsia" w:eastAsia="仿宋"/>
          <w:sz w:val="28"/>
          <w:szCs w:val="28"/>
          <w:vertAlign w:val="subscript"/>
          <w:lang w:bidi="ar"/>
        </w:rPr>
        <w:t>j</w:t>
      </w:r>
      <w:r>
        <w:rPr>
          <w:rFonts w:eastAsia="仿宋"/>
          <w:sz w:val="28"/>
          <w:szCs w:val="28"/>
          <w:vertAlign w:val="subscript"/>
          <w:lang w:bidi="ar"/>
        </w:rPr>
        <w:t>1</w:t>
      </w:r>
      <w:r>
        <w:rPr>
          <w:rFonts w:eastAsia="仿宋"/>
          <w:sz w:val="28"/>
          <w:szCs w:val="28"/>
        </w:rPr>
        <w:t>+0.5×</w:t>
      </w:r>
      <w:r>
        <w:rPr>
          <w:rFonts w:eastAsia="仿宋"/>
          <w:sz w:val="28"/>
          <w:szCs w:val="28"/>
          <w:lang w:bidi="ar"/>
        </w:rPr>
        <w:t>L</w:t>
      </w:r>
      <w:r>
        <w:rPr>
          <w:rFonts w:hint="eastAsia" w:eastAsia="仿宋"/>
          <w:sz w:val="28"/>
          <w:szCs w:val="28"/>
          <w:vertAlign w:val="subscript"/>
          <w:lang w:bidi="ar"/>
        </w:rPr>
        <w:t>j</w:t>
      </w:r>
      <w:r>
        <w:rPr>
          <w:rFonts w:eastAsia="仿宋"/>
          <w:sz w:val="28"/>
          <w:szCs w:val="28"/>
          <w:vertAlign w:val="subscript"/>
          <w:lang w:bidi="ar"/>
        </w:rPr>
        <w:t>2</w:t>
      </w:r>
      <w:r>
        <w:rPr>
          <w:rFonts w:eastAsia="仿宋"/>
          <w:sz w:val="28"/>
          <w:szCs w:val="28"/>
        </w:rPr>
        <w:t>+0.2×</w:t>
      </w:r>
      <w:r>
        <w:rPr>
          <w:rFonts w:eastAsia="仿宋"/>
          <w:sz w:val="28"/>
          <w:szCs w:val="28"/>
          <w:lang w:bidi="ar"/>
        </w:rPr>
        <w:t>L</w:t>
      </w:r>
      <w:r>
        <w:rPr>
          <w:rFonts w:hint="eastAsia" w:eastAsia="仿宋"/>
          <w:sz w:val="28"/>
          <w:szCs w:val="28"/>
          <w:vertAlign w:val="subscript"/>
          <w:lang w:bidi="ar"/>
        </w:rPr>
        <w:t>j</w:t>
      </w:r>
      <w:r>
        <w:rPr>
          <w:rFonts w:eastAsia="仿宋"/>
          <w:sz w:val="28"/>
          <w:szCs w:val="28"/>
          <w:vertAlign w:val="subscript"/>
          <w:lang w:bidi="ar"/>
        </w:rPr>
        <w:t>3</w:t>
      </w:r>
      <w:r>
        <w:rPr>
          <w:rFonts w:eastAsia="仿宋"/>
          <w:sz w:val="28"/>
          <w:szCs w:val="28"/>
          <w:lang w:bidi="ar"/>
        </w:rPr>
        <w:t xml:space="preserve">          （公式2）</w:t>
      </w:r>
    </w:p>
    <w:p>
      <w:pPr>
        <w:ind w:firstLine="643"/>
        <w:rPr>
          <w:rFonts w:ascii="仿宋" w:hAnsi="仿宋" w:eastAsia="仿宋"/>
          <w:b/>
          <w:sz w:val="28"/>
          <w:szCs w:val="28"/>
        </w:rPr>
      </w:pPr>
      <w:r>
        <w:rPr>
          <w:rFonts w:hint="eastAsia" w:ascii="仿宋" w:hAnsi="仿宋" w:eastAsia="仿宋"/>
          <w:b/>
          <w:sz w:val="28"/>
          <w:szCs w:val="28"/>
        </w:rPr>
        <w:t>三、S值取值标准</w:t>
      </w:r>
    </w:p>
    <w:p>
      <w:pPr>
        <w:ind w:firstLine="640"/>
        <w:rPr>
          <w:rFonts w:ascii="仿宋" w:hAnsi="仿宋" w:eastAsia="仿宋" w:cs="仿宋"/>
          <w:bCs/>
          <w:sz w:val="28"/>
          <w:szCs w:val="28"/>
          <w:lang w:bidi="ar"/>
        </w:rPr>
      </w:pPr>
      <w:r>
        <w:rPr>
          <w:rFonts w:hint="eastAsia" w:ascii="仿宋" w:hAnsi="仿宋" w:eastAsia="仿宋"/>
          <w:bCs/>
          <w:sz w:val="28"/>
          <w:szCs w:val="28"/>
        </w:rPr>
        <w:t>S值</w:t>
      </w:r>
      <w:r>
        <w:rPr>
          <w:rFonts w:hint="eastAsia" w:ascii="仿宋" w:hAnsi="仿宋" w:eastAsia="仿宋"/>
          <w:sz w:val="28"/>
          <w:szCs w:val="28"/>
        </w:rPr>
        <w:t>应按标准计算或选取确定</w:t>
      </w:r>
      <w:r>
        <w:rPr>
          <w:rFonts w:hint="eastAsia" w:ascii="仿宋" w:hAnsi="仿宋" w:eastAsia="仿宋"/>
          <w:bCs/>
          <w:sz w:val="28"/>
          <w:szCs w:val="28"/>
        </w:rPr>
        <w:t>，具体</w:t>
      </w:r>
      <w:r>
        <w:rPr>
          <w:rFonts w:hint="eastAsia" w:ascii="仿宋" w:hAnsi="仿宋" w:eastAsia="仿宋" w:cs="仿宋"/>
          <w:bCs/>
          <w:sz w:val="28"/>
          <w:szCs w:val="28"/>
          <w:lang w:bidi="ar"/>
        </w:rPr>
        <w:t>分为以下两种情况：</w:t>
      </w:r>
    </w:p>
    <w:p>
      <w:pPr>
        <w:ind w:firstLine="560" w:firstLineChars="200"/>
        <w:rPr>
          <w:rFonts w:ascii="仿宋" w:hAnsi="仿宋" w:eastAsia="仿宋" w:cs="仿宋"/>
          <w:sz w:val="28"/>
          <w:szCs w:val="28"/>
          <w:lang w:bidi="ar"/>
        </w:rPr>
      </w:pPr>
      <w:r>
        <w:rPr>
          <w:rFonts w:hint="eastAsia" w:ascii="仿宋" w:hAnsi="仿宋" w:eastAsia="仿宋" w:cs="仿宋"/>
          <w:sz w:val="28"/>
          <w:szCs w:val="28"/>
          <w:lang w:bidi="ar"/>
        </w:rPr>
        <w:t>在分析水库工程运行事故所造成危害的严重程度时，应综合考虑水库水位H和工程规模M两个因素，用两者的乘积值V所在区间作为S取值的依据。V值应按照表2计算，S值应按照表</w:t>
      </w:r>
      <w:r>
        <w:rPr>
          <w:rFonts w:ascii="仿宋" w:hAnsi="仿宋" w:eastAsia="仿宋" w:cs="仿宋"/>
          <w:sz w:val="28"/>
          <w:szCs w:val="28"/>
          <w:lang w:bidi="ar"/>
        </w:rPr>
        <w:t>3</w:t>
      </w:r>
      <w:r>
        <w:rPr>
          <w:rFonts w:hint="eastAsia" w:ascii="仿宋" w:hAnsi="仿宋" w:eastAsia="仿宋" w:cs="仿宋"/>
          <w:sz w:val="28"/>
          <w:szCs w:val="28"/>
          <w:lang w:bidi="ar"/>
        </w:rPr>
        <w:t>取值。</w:t>
      </w:r>
    </w:p>
    <w:p>
      <w:pPr>
        <w:ind w:firstLine="562" w:firstLineChars="200"/>
        <w:rPr>
          <w:rFonts w:ascii="宋体" w:hAnsi="宋体" w:cs="宋体"/>
          <w:b/>
          <w:sz w:val="28"/>
          <w:szCs w:val="28"/>
        </w:rPr>
      </w:pPr>
      <w:r>
        <w:rPr>
          <w:rFonts w:hint="eastAsia" w:ascii="宋体" w:hAnsi="宋体" w:cs="宋体"/>
          <w:b/>
          <w:sz w:val="28"/>
          <w:szCs w:val="28"/>
          <w:lang w:bidi="ar"/>
        </w:rPr>
        <w:t xml:space="preserve">表2      </w:t>
      </w:r>
      <w:r>
        <w:rPr>
          <w:rFonts w:ascii="宋体" w:hAnsi="宋体" w:cs="宋体"/>
          <w:b/>
          <w:sz w:val="28"/>
          <w:szCs w:val="28"/>
          <w:lang w:bidi="ar"/>
        </w:rPr>
        <w:t xml:space="preserve">  </w:t>
      </w:r>
      <w:r>
        <w:rPr>
          <w:rFonts w:hint="eastAsia" w:ascii="宋体" w:hAnsi="宋体" w:cs="宋体"/>
          <w:b/>
          <w:sz w:val="28"/>
          <w:szCs w:val="28"/>
          <w:lang w:bidi="ar"/>
        </w:rPr>
        <w:t xml:space="preserve">          V值计算表</w:t>
      </w:r>
    </w:p>
    <w:tbl>
      <w:tblPr>
        <w:tblStyle w:val="34"/>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302"/>
        <w:gridCol w:w="911"/>
        <w:gridCol w:w="851"/>
        <w:gridCol w:w="850"/>
        <w:gridCol w:w="851"/>
        <w:gridCol w:w="850"/>
        <w:gridCol w:w="85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4213" w:type="dxa"/>
            <w:gridSpan w:val="2"/>
            <w:vMerge w:val="restart"/>
            <w:tcBorders>
              <w:top w:val="single" w:color="auto" w:sz="4" w:space="0"/>
              <w:left w:val="single" w:color="auto" w:sz="4" w:space="0"/>
              <w:bottom w:val="single" w:color="auto" w:sz="4" w:space="0"/>
              <w:right w:val="single" w:color="auto" w:sz="4" w:space="0"/>
              <w:tl2br w:val="single" w:color="auto" w:sz="4" w:space="0"/>
            </w:tcBorders>
            <w:vAlign w:val="center"/>
          </w:tcPr>
          <w:p>
            <w:pPr>
              <w:rPr>
                <w:rFonts w:asciiTheme="minorEastAsia" w:hAnsiTheme="minorEastAsia" w:eastAsiaTheme="minorEastAsia"/>
                <w:sz w:val="21"/>
                <w:szCs w:val="21"/>
              </w:rPr>
            </w:pPr>
            <w:r>
              <w:rPr>
                <w:rFonts w:asciiTheme="minorEastAsia" w:hAnsiTheme="minorEastAsia" w:eastAsiaTheme="minorEastAsia"/>
                <w:sz w:val="21"/>
                <w:szCs w:val="21"/>
              </w:rPr>
              <w:t xml:space="preserve">                  </w:t>
            </w:r>
            <w:r>
              <w:rPr>
                <w:rFonts w:hint="eastAsia" w:cs="宋体" w:asciiTheme="minorEastAsia" w:hAnsiTheme="minorEastAsia" w:eastAsiaTheme="minorEastAsia"/>
                <w:sz w:val="21"/>
                <w:szCs w:val="21"/>
              </w:rPr>
              <w:t>工程规模</w:t>
            </w:r>
            <w:r>
              <w:rPr>
                <w:rFonts w:asciiTheme="minorEastAsia" w:hAnsiTheme="minorEastAsia" w:eastAsiaTheme="minorEastAsia"/>
                <w:sz w:val="21"/>
                <w:szCs w:val="21"/>
              </w:rPr>
              <w:t>M</w:t>
            </w:r>
          </w:p>
          <w:p>
            <w:pPr>
              <w:rPr>
                <w:rFonts w:asciiTheme="minorEastAsia" w:hAnsiTheme="minorEastAsia" w:eastAsiaTheme="minorEastAsia"/>
                <w:sz w:val="21"/>
                <w:szCs w:val="21"/>
              </w:rPr>
            </w:pPr>
            <w:r>
              <w:rPr>
                <w:rFonts w:hint="eastAsia" w:cs="宋体" w:asciiTheme="minorEastAsia" w:hAnsiTheme="minorEastAsia" w:eastAsiaTheme="minorEastAsia"/>
                <w:sz w:val="21"/>
                <w:szCs w:val="21"/>
              </w:rPr>
              <w:t>水库水位</w:t>
            </w:r>
            <w:r>
              <w:rPr>
                <w:rFonts w:asciiTheme="minorEastAsia" w:hAnsiTheme="minorEastAsia" w:eastAsiaTheme="minorEastAsia"/>
                <w:sz w:val="21"/>
                <w:szCs w:val="21"/>
              </w:rPr>
              <w:t>H</w:t>
            </w:r>
          </w:p>
        </w:tc>
        <w:tc>
          <w:tcPr>
            <w:tcW w:w="851"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sz w:val="21"/>
                <w:szCs w:val="21"/>
              </w:rPr>
            </w:pPr>
            <w:r>
              <w:rPr>
                <w:rFonts w:hint="eastAsia" w:cs="宋体" w:asciiTheme="minorEastAsia" w:hAnsiTheme="minorEastAsia" w:eastAsiaTheme="minorEastAsia"/>
                <w:sz w:val="21"/>
                <w:szCs w:val="21"/>
                <w:lang w:bidi="ar"/>
              </w:rPr>
              <w:t>小（</w:t>
            </w:r>
            <w:r>
              <w:rPr>
                <w:rFonts w:asciiTheme="minorEastAsia" w:hAnsiTheme="minorEastAsia" w:eastAsiaTheme="minorEastAsia"/>
                <w:sz w:val="21"/>
                <w:szCs w:val="21"/>
                <w:lang w:bidi="ar"/>
              </w:rPr>
              <w:t>2</w:t>
            </w:r>
            <w:r>
              <w:rPr>
                <w:rFonts w:hint="eastAsia" w:cs="宋体" w:asciiTheme="minorEastAsia" w:hAnsiTheme="minorEastAsia" w:eastAsiaTheme="minorEastAsia"/>
                <w:sz w:val="21"/>
                <w:szCs w:val="21"/>
                <w:lang w:bidi="ar"/>
              </w:rPr>
              <w:t>）型</w:t>
            </w:r>
          </w:p>
        </w:tc>
        <w:tc>
          <w:tcPr>
            <w:tcW w:w="850"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sz w:val="21"/>
                <w:szCs w:val="21"/>
              </w:rPr>
            </w:pPr>
            <w:r>
              <w:rPr>
                <w:rFonts w:hint="eastAsia" w:cs="宋体" w:asciiTheme="minorEastAsia" w:hAnsiTheme="minorEastAsia" w:eastAsiaTheme="minorEastAsia"/>
                <w:sz w:val="21"/>
                <w:szCs w:val="21"/>
                <w:lang w:bidi="ar"/>
              </w:rPr>
              <w:t>小（</w:t>
            </w:r>
            <w:r>
              <w:rPr>
                <w:rFonts w:asciiTheme="minorEastAsia" w:hAnsiTheme="minorEastAsia" w:eastAsiaTheme="minorEastAsia"/>
                <w:sz w:val="21"/>
                <w:szCs w:val="21"/>
                <w:lang w:bidi="ar"/>
              </w:rPr>
              <w:t>1</w:t>
            </w:r>
            <w:r>
              <w:rPr>
                <w:rFonts w:hint="eastAsia" w:cs="宋体" w:asciiTheme="minorEastAsia" w:hAnsiTheme="minorEastAsia" w:eastAsiaTheme="minorEastAsia"/>
                <w:sz w:val="21"/>
                <w:szCs w:val="21"/>
                <w:lang w:bidi="ar"/>
              </w:rPr>
              <w:t>）型</w:t>
            </w:r>
          </w:p>
        </w:tc>
        <w:tc>
          <w:tcPr>
            <w:tcW w:w="851"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sz w:val="21"/>
                <w:szCs w:val="21"/>
              </w:rPr>
            </w:pPr>
            <w:r>
              <w:rPr>
                <w:rFonts w:hint="eastAsia" w:cs="宋体" w:asciiTheme="minorEastAsia" w:hAnsiTheme="minorEastAsia" w:eastAsiaTheme="minorEastAsia"/>
                <w:sz w:val="21"/>
                <w:szCs w:val="21"/>
                <w:lang w:bidi="ar"/>
              </w:rPr>
              <w:t>中型</w:t>
            </w:r>
          </w:p>
        </w:tc>
        <w:tc>
          <w:tcPr>
            <w:tcW w:w="850"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sz w:val="21"/>
                <w:szCs w:val="21"/>
              </w:rPr>
            </w:pPr>
            <w:r>
              <w:rPr>
                <w:rFonts w:hint="eastAsia" w:cs="宋体" w:asciiTheme="minorEastAsia" w:hAnsiTheme="minorEastAsia" w:eastAsiaTheme="minorEastAsia"/>
                <w:sz w:val="21"/>
                <w:szCs w:val="21"/>
                <w:lang w:bidi="ar"/>
              </w:rPr>
              <w:t>大（</w:t>
            </w:r>
            <w:r>
              <w:rPr>
                <w:rFonts w:asciiTheme="minorEastAsia" w:hAnsiTheme="minorEastAsia" w:eastAsiaTheme="minorEastAsia"/>
                <w:sz w:val="21"/>
                <w:szCs w:val="21"/>
                <w:lang w:bidi="ar"/>
              </w:rPr>
              <w:t>2</w:t>
            </w:r>
            <w:r>
              <w:rPr>
                <w:rFonts w:hint="eastAsia" w:cs="宋体" w:asciiTheme="minorEastAsia" w:hAnsiTheme="minorEastAsia" w:eastAsiaTheme="minorEastAsia"/>
                <w:sz w:val="21"/>
                <w:szCs w:val="21"/>
                <w:lang w:bidi="ar"/>
              </w:rPr>
              <w:t>）型</w:t>
            </w:r>
          </w:p>
        </w:tc>
        <w:tc>
          <w:tcPr>
            <w:tcW w:w="851"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sz w:val="21"/>
                <w:szCs w:val="21"/>
              </w:rPr>
            </w:pPr>
            <w:r>
              <w:rPr>
                <w:rFonts w:hint="eastAsia" w:cs="宋体" w:asciiTheme="minorEastAsia" w:hAnsiTheme="minorEastAsia" w:eastAsiaTheme="minorEastAsia"/>
                <w:sz w:val="21"/>
                <w:szCs w:val="21"/>
                <w:lang w:bidi="ar"/>
              </w:rPr>
              <w:t>大（</w:t>
            </w:r>
            <w:r>
              <w:rPr>
                <w:rFonts w:asciiTheme="minorEastAsia" w:hAnsiTheme="minorEastAsia" w:eastAsiaTheme="minorEastAsia"/>
                <w:sz w:val="21"/>
                <w:szCs w:val="21"/>
                <w:lang w:bidi="ar"/>
              </w:rPr>
              <w:t>1</w:t>
            </w:r>
            <w:r>
              <w:rPr>
                <w:rFonts w:hint="eastAsia" w:cs="宋体" w:asciiTheme="minorEastAsia" w:hAnsiTheme="minorEastAsia" w:eastAsiaTheme="minorEastAsia"/>
                <w:sz w:val="21"/>
                <w:szCs w:val="21"/>
                <w:lang w:bidi="ar"/>
              </w:rPr>
              <w:t>）型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4213" w:type="dxa"/>
            <w:gridSpan w:val="2"/>
            <w:vMerge w:val="continue"/>
            <w:tcBorders>
              <w:top w:val="single" w:color="auto" w:sz="4" w:space="0"/>
              <w:left w:val="single" w:color="auto" w:sz="4" w:space="0"/>
              <w:bottom w:val="single" w:color="auto" w:sz="4" w:space="0"/>
              <w:right w:val="single" w:color="auto" w:sz="4" w:space="0"/>
              <w:tl2br w:val="single" w:color="auto" w:sz="4" w:space="0"/>
            </w:tcBorders>
            <w:vAlign w:val="center"/>
          </w:tcPr>
          <w:p>
            <w:pPr>
              <w:rPr>
                <w:rFonts w:asciiTheme="minorEastAsia" w:hAnsiTheme="minorEastAsia" w:eastAsiaTheme="minorEastAsia"/>
                <w:sz w:val="21"/>
                <w:szCs w:val="21"/>
              </w:rPr>
            </w:pPr>
          </w:p>
        </w:tc>
        <w:tc>
          <w:tcPr>
            <w:tcW w:w="851"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b/>
                <w:bCs/>
                <w:sz w:val="21"/>
                <w:szCs w:val="21"/>
              </w:rPr>
            </w:pPr>
            <w:r>
              <w:rPr>
                <w:rFonts w:hint="eastAsia" w:cs="宋体" w:asciiTheme="minorEastAsia" w:hAnsiTheme="minorEastAsia" w:eastAsiaTheme="minorEastAsia"/>
                <w:b/>
                <w:bCs/>
                <w:sz w:val="21"/>
                <w:szCs w:val="21"/>
              </w:rPr>
              <w:t>取值</w:t>
            </w:r>
            <w:r>
              <w:rPr>
                <w:rFonts w:asciiTheme="minorEastAsia" w:hAnsiTheme="minorEastAsia" w:eastAsiaTheme="minorEastAsia"/>
                <w:b/>
                <w:bCs/>
                <w:sz w:val="21"/>
                <w:szCs w:val="21"/>
              </w:rPr>
              <w:t>1</w:t>
            </w:r>
          </w:p>
        </w:tc>
        <w:tc>
          <w:tcPr>
            <w:tcW w:w="850"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b/>
                <w:bCs/>
                <w:sz w:val="21"/>
                <w:szCs w:val="21"/>
              </w:rPr>
            </w:pPr>
            <w:r>
              <w:rPr>
                <w:rFonts w:hint="eastAsia" w:cs="宋体" w:asciiTheme="minorEastAsia" w:hAnsiTheme="minorEastAsia" w:eastAsiaTheme="minorEastAsia"/>
                <w:b/>
                <w:bCs/>
                <w:sz w:val="21"/>
                <w:szCs w:val="21"/>
              </w:rPr>
              <w:t>取值</w:t>
            </w:r>
            <w:r>
              <w:rPr>
                <w:rFonts w:asciiTheme="minorEastAsia" w:hAnsiTheme="minorEastAsia" w:eastAsiaTheme="minorEastAsia"/>
                <w:b/>
                <w:bCs/>
                <w:sz w:val="21"/>
                <w:szCs w:val="21"/>
              </w:rPr>
              <w:t>2</w:t>
            </w:r>
          </w:p>
        </w:tc>
        <w:tc>
          <w:tcPr>
            <w:tcW w:w="851"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b/>
                <w:bCs/>
                <w:sz w:val="21"/>
                <w:szCs w:val="21"/>
              </w:rPr>
            </w:pPr>
            <w:r>
              <w:rPr>
                <w:rFonts w:hint="eastAsia" w:cs="宋体" w:asciiTheme="minorEastAsia" w:hAnsiTheme="minorEastAsia" w:eastAsiaTheme="minorEastAsia"/>
                <w:b/>
                <w:bCs/>
                <w:sz w:val="21"/>
                <w:szCs w:val="21"/>
              </w:rPr>
              <w:t>取值</w:t>
            </w:r>
            <w:r>
              <w:rPr>
                <w:rFonts w:asciiTheme="minorEastAsia" w:hAnsiTheme="minorEastAsia" w:eastAsiaTheme="minorEastAsia"/>
                <w:b/>
                <w:bCs/>
                <w:sz w:val="21"/>
                <w:szCs w:val="21"/>
              </w:rPr>
              <w:t>3</w:t>
            </w:r>
          </w:p>
        </w:tc>
        <w:tc>
          <w:tcPr>
            <w:tcW w:w="850"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b/>
                <w:bCs/>
                <w:sz w:val="21"/>
                <w:szCs w:val="21"/>
              </w:rPr>
            </w:pPr>
            <w:r>
              <w:rPr>
                <w:rFonts w:hint="eastAsia" w:cs="宋体" w:asciiTheme="minorEastAsia" w:hAnsiTheme="minorEastAsia" w:eastAsiaTheme="minorEastAsia"/>
                <w:b/>
                <w:bCs/>
                <w:sz w:val="21"/>
                <w:szCs w:val="21"/>
              </w:rPr>
              <w:t>取值</w:t>
            </w:r>
            <w:r>
              <w:rPr>
                <w:rFonts w:asciiTheme="minorEastAsia" w:hAnsiTheme="minorEastAsia" w:eastAsiaTheme="minorEastAsia"/>
                <w:b/>
                <w:bCs/>
                <w:sz w:val="21"/>
                <w:szCs w:val="21"/>
              </w:rPr>
              <w:t>4</w:t>
            </w:r>
          </w:p>
        </w:tc>
        <w:tc>
          <w:tcPr>
            <w:tcW w:w="851"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b/>
                <w:bCs/>
                <w:sz w:val="21"/>
                <w:szCs w:val="21"/>
              </w:rPr>
            </w:pPr>
            <w:r>
              <w:rPr>
                <w:rFonts w:hint="eastAsia" w:cs="宋体" w:asciiTheme="minorEastAsia" w:hAnsiTheme="minorEastAsia" w:eastAsiaTheme="minorEastAsia"/>
                <w:b/>
                <w:bCs/>
                <w:sz w:val="21"/>
                <w:szCs w:val="21"/>
              </w:rPr>
              <w:t>取值</w:t>
            </w:r>
            <w:r>
              <w:rPr>
                <w:rFonts w:asciiTheme="minorEastAsia" w:hAnsiTheme="minorEastAsia" w:eastAsiaTheme="minorEastAsia"/>
                <w:b/>
                <w:bCs/>
                <w:sz w:val="21"/>
                <w:szCs w:val="21"/>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3302"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sz w:val="21"/>
                <w:szCs w:val="21"/>
              </w:rPr>
            </w:pPr>
            <w:r>
              <w:rPr>
                <w:rFonts w:asciiTheme="minorEastAsia" w:hAnsiTheme="minorEastAsia" w:eastAsiaTheme="minorEastAsia"/>
                <w:sz w:val="21"/>
                <w:szCs w:val="21"/>
                <w:lang w:bidi="ar"/>
              </w:rPr>
              <w:t>H</w:t>
            </w:r>
            <w:r>
              <w:rPr>
                <w:rFonts w:hint="eastAsia" w:cs="宋体" w:asciiTheme="minorEastAsia" w:hAnsiTheme="minorEastAsia" w:eastAsiaTheme="minorEastAsia"/>
                <w:sz w:val="21"/>
                <w:szCs w:val="21"/>
                <w:lang w:bidi="ar"/>
              </w:rPr>
              <w:t>≤死水位</w:t>
            </w:r>
          </w:p>
        </w:tc>
        <w:tc>
          <w:tcPr>
            <w:tcW w:w="911"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b/>
                <w:bCs/>
                <w:sz w:val="21"/>
                <w:szCs w:val="21"/>
              </w:rPr>
            </w:pPr>
            <w:r>
              <w:rPr>
                <w:rFonts w:hint="eastAsia" w:cs="宋体" w:asciiTheme="minorEastAsia" w:hAnsiTheme="minorEastAsia" w:eastAsiaTheme="minorEastAsia"/>
                <w:b/>
                <w:bCs/>
                <w:sz w:val="21"/>
                <w:szCs w:val="21"/>
              </w:rPr>
              <w:t>取值</w:t>
            </w:r>
            <w:r>
              <w:rPr>
                <w:rFonts w:asciiTheme="minorEastAsia" w:hAnsiTheme="minorEastAsia" w:eastAsiaTheme="minorEastAsia"/>
                <w:b/>
                <w:bCs/>
                <w:sz w:val="21"/>
                <w:szCs w:val="21"/>
              </w:rPr>
              <w:t>1</w:t>
            </w:r>
          </w:p>
        </w:tc>
        <w:tc>
          <w:tcPr>
            <w:tcW w:w="851"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sz w:val="21"/>
                <w:szCs w:val="21"/>
              </w:rPr>
            </w:pPr>
            <w:r>
              <w:rPr>
                <w:rFonts w:asciiTheme="minorEastAsia" w:hAnsiTheme="minorEastAsia" w:eastAsiaTheme="minorEastAsia"/>
                <w:sz w:val="21"/>
                <w:szCs w:val="21"/>
              </w:rPr>
              <w:t>1</w:t>
            </w:r>
          </w:p>
        </w:tc>
        <w:tc>
          <w:tcPr>
            <w:tcW w:w="850"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sz w:val="21"/>
                <w:szCs w:val="21"/>
              </w:rPr>
            </w:pPr>
            <w:r>
              <w:rPr>
                <w:rFonts w:asciiTheme="minorEastAsia" w:hAnsiTheme="minorEastAsia" w:eastAsiaTheme="minorEastAsia"/>
                <w:sz w:val="21"/>
                <w:szCs w:val="21"/>
              </w:rPr>
              <w:t>2</w:t>
            </w:r>
          </w:p>
        </w:tc>
        <w:tc>
          <w:tcPr>
            <w:tcW w:w="851"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sz w:val="21"/>
                <w:szCs w:val="21"/>
              </w:rPr>
            </w:pPr>
            <w:r>
              <w:rPr>
                <w:rFonts w:asciiTheme="minorEastAsia" w:hAnsiTheme="minorEastAsia" w:eastAsiaTheme="minorEastAsia"/>
                <w:sz w:val="21"/>
                <w:szCs w:val="21"/>
              </w:rPr>
              <w:t>3</w:t>
            </w:r>
          </w:p>
        </w:tc>
        <w:tc>
          <w:tcPr>
            <w:tcW w:w="850"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sz w:val="21"/>
                <w:szCs w:val="21"/>
              </w:rPr>
            </w:pPr>
            <w:r>
              <w:rPr>
                <w:rFonts w:asciiTheme="minorEastAsia" w:hAnsiTheme="minorEastAsia" w:eastAsiaTheme="minorEastAsia"/>
                <w:sz w:val="21"/>
                <w:szCs w:val="21"/>
              </w:rPr>
              <w:t>4</w:t>
            </w:r>
          </w:p>
        </w:tc>
        <w:tc>
          <w:tcPr>
            <w:tcW w:w="851"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sz w:val="21"/>
                <w:szCs w:val="21"/>
              </w:rPr>
            </w:pPr>
            <w:r>
              <w:rPr>
                <w:rFonts w:asciiTheme="minorEastAsia" w:hAnsiTheme="minorEastAsia" w:eastAsiaTheme="minorEastAsia"/>
                <w:sz w:val="21"/>
                <w:szCs w:val="21"/>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3302"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sz w:val="21"/>
                <w:szCs w:val="21"/>
              </w:rPr>
            </w:pPr>
            <w:r>
              <w:rPr>
                <w:rFonts w:hint="eastAsia" w:cs="宋体" w:asciiTheme="minorEastAsia" w:hAnsiTheme="minorEastAsia" w:eastAsiaTheme="minorEastAsia"/>
                <w:sz w:val="21"/>
                <w:szCs w:val="21"/>
                <w:lang w:bidi="ar"/>
              </w:rPr>
              <w:t>死水位＜</w:t>
            </w:r>
            <w:r>
              <w:rPr>
                <w:rFonts w:asciiTheme="minorEastAsia" w:hAnsiTheme="minorEastAsia" w:eastAsiaTheme="minorEastAsia"/>
                <w:sz w:val="21"/>
                <w:szCs w:val="21"/>
                <w:lang w:bidi="ar"/>
              </w:rPr>
              <w:t>H</w:t>
            </w:r>
            <w:r>
              <w:rPr>
                <w:rFonts w:hint="eastAsia" w:cs="宋体" w:asciiTheme="minorEastAsia" w:hAnsiTheme="minorEastAsia" w:eastAsiaTheme="minorEastAsia"/>
                <w:sz w:val="21"/>
                <w:szCs w:val="21"/>
                <w:lang w:bidi="ar"/>
              </w:rPr>
              <w:t>≤汛限水位</w:t>
            </w:r>
          </w:p>
        </w:tc>
        <w:tc>
          <w:tcPr>
            <w:tcW w:w="911"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b/>
                <w:bCs/>
                <w:sz w:val="21"/>
                <w:szCs w:val="21"/>
              </w:rPr>
            </w:pPr>
            <w:r>
              <w:rPr>
                <w:rFonts w:hint="eastAsia" w:cs="宋体" w:asciiTheme="minorEastAsia" w:hAnsiTheme="minorEastAsia" w:eastAsiaTheme="minorEastAsia"/>
                <w:b/>
                <w:bCs/>
                <w:sz w:val="21"/>
                <w:szCs w:val="21"/>
              </w:rPr>
              <w:t>取值</w:t>
            </w:r>
            <w:r>
              <w:rPr>
                <w:rFonts w:asciiTheme="minorEastAsia" w:hAnsiTheme="minorEastAsia" w:eastAsiaTheme="minorEastAsia"/>
                <w:b/>
                <w:bCs/>
                <w:sz w:val="21"/>
                <w:szCs w:val="21"/>
              </w:rPr>
              <w:t>2</w:t>
            </w:r>
          </w:p>
        </w:tc>
        <w:tc>
          <w:tcPr>
            <w:tcW w:w="851"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sz w:val="21"/>
                <w:szCs w:val="21"/>
              </w:rPr>
            </w:pPr>
            <w:r>
              <w:rPr>
                <w:rFonts w:asciiTheme="minorEastAsia" w:hAnsiTheme="minorEastAsia" w:eastAsiaTheme="minorEastAsia"/>
                <w:sz w:val="21"/>
                <w:szCs w:val="21"/>
              </w:rPr>
              <w:t>2</w:t>
            </w:r>
          </w:p>
        </w:tc>
        <w:tc>
          <w:tcPr>
            <w:tcW w:w="850"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sz w:val="21"/>
                <w:szCs w:val="21"/>
              </w:rPr>
            </w:pPr>
            <w:r>
              <w:rPr>
                <w:rFonts w:asciiTheme="minorEastAsia" w:hAnsiTheme="minorEastAsia" w:eastAsiaTheme="minorEastAsia"/>
                <w:sz w:val="21"/>
                <w:szCs w:val="21"/>
              </w:rPr>
              <w:t>4</w:t>
            </w:r>
          </w:p>
        </w:tc>
        <w:tc>
          <w:tcPr>
            <w:tcW w:w="851"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sz w:val="21"/>
                <w:szCs w:val="21"/>
              </w:rPr>
            </w:pPr>
            <w:r>
              <w:rPr>
                <w:rFonts w:asciiTheme="minorEastAsia" w:hAnsiTheme="minorEastAsia" w:eastAsiaTheme="minorEastAsia"/>
                <w:sz w:val="21"/>
                <w:szCs w:val="21"/>
              </w:rPr>
              <w:t>6</w:t>
            </w:r>
          </w:p>
        </w:tc>
        <w:tc>
          <w:tcPr>
            <w:tcW w:w="850"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sz w:val="21"/>
                <w:szCs w:val="21"/>
              </w:rPr>
            </w:pPr>
            <w:r>
              <w:rPr>
                <w:rFonts w:asciiTheme="minorEastAsia" w:hAnsiTheme="minorEastAsia" w:eastAsiaTheme="minorEastAsia"/>
                <w:sz w:val="21"/>
                <w:szCs w:val="21"/>
              </w:rPr>
              <w:t>8</w:t>
            </w:r>
          </w:p>
        </w:tc>
        <w:tc>
          <w:tcPr>
            <w:tcW w:w="851"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sz w:val="21"/>
                <w:szCs w:val="21"/>
              </w:rPr>
            </w:pPr>
            <w:r>
              <w:rPr>
                <w:rFonts w:asciiTheme="minorEastAsia" w:hAnsiTheme="minorEastAsia" w:eastAsiaTheme="minorEastAsia"/>
                <w:sz w:val="21"/>
                <w:szCs w:val="21"/>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3302"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sz w:val="21"/>
                <w:szCs w:val="21"/>
              </w:rPr>
            </w:pPr>
            <w:r>
              <w:rPr>
                <w:rFonts w:hint="eastAsia" w:cs="宋体" w:asciiTheme="minorEastAsia" w:hAnsiTheme="minorEastAsia" w:eastAsiaTheme="minorEastAsia"/>
                <w:sz w:val="21"/>
                <w:szCs w:val="21"/>
                <w:lang w:bidi="ar"/>
              </w:rPr>
              <w:t>汛限水位＜</w:t>
            </w:r>
            <w:r>
              <w:rPr>
                <w:rFonts w:asciiTheme="minorEastAsia" w:hAnsiTheme="minorEastAsia" w:eastAsiaTheme="minorEastAsia"/>
                <w:sz w:val="21"/>
                <w:szCs w:val="21"/>
                <w:lang w:bidi="ar"/>
              </w:rPr>
              <w:t>H</w:t>
            </w:r>
            <w:r>
              <w:rPr>
                <w:rFonts w:hint="eastAsia" w:cs="宋体" w:asciiTheme="minorEastAsia" w:hAnsiTheme="minorEastAsia" w:eastAsiaTheme="minorEastAsia"/>
                <w:sz w:val="21"/>
                <w:szCs w:val="21"/>
                <w:lang w:bidi="ar"/>
              </w:rPr>
              <w:t>≤正常蓄水位</w:t>
            </w:r>
          </w:p>
        </w:tc>
        <w:tc>
          <w:tcPr>
            <w:tcW w:w="911"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b/>
                <w:bCs/>
                <w:sz w:val="21"/>
                <w:szCs w:val="21"/>
              </w:rPr>
            </w:pPr>
            <w:r>
              <w:rPr>
                <w:rFonts w:hint="eastAsia" w:cs="宋体" w:asciiTheme="minorEastAsia" w:hAnsiTheme="minorEastAsia" w:eastAsiaTheme="minorEastAsia"/>
                <w:b/>
                <w:bCs/>
                <w:sz w:val="21"/>
                <w:szCs w:val="21"/>
              </w:rPr>
              <w:t>取值</w:t>
            </w:r>
            <w:r>
              <w:rPr>
                <w:rFonts w:asciiTheme="minorEastAsia" w:hAnsiTheme="minorEastAsia" w:eastAsiaTheme="minorEastAsia"/>
                <w:b/>
                <w:bCs/>
                <w:sz w:val="21"/>
                <w:szCs w:val="21"/>
              </w:rPr>
              <w:t>3</w:t>
            </w:r>
          </w:p>
        </w:tc>
        <w:tc>
          <w:tcPr>
            <w:tcW w:w="851"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sz w:val="21"/>
                <w:szCs w:val="21"/>
              </w:rPr>
            </w:pPr>
            <w:r>
              <w:rPr>
                <w:rFonts w:asciiTheme="minorEastAsia" w:hAnsiTheme="minorEastAsia" w:eastAsiaTheme="minorEastAsia"/>
                <w:sz w:val="21"/>
                <w:szCs w:val="21"/>
              </w:rPr>
              <w:t>3</w:t>
            </w:r>
          </w:p>
        </w:tc>
        <w:tc>
          <w:tcPr>
            <w:tcW w:w="850"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sz w:val="21"/>
                <w:szCs w:val="21"/>
              </w:rPr>
            </w:pPr>
            <w:r>
              <w:rPr>
                <w:rFonts w:asciiTheme="minorEastAsia" w:hAnsiTheme="minorEastAsia" w:eastAsiaTheme="minorEastAsia"/>
                <w:sz w:val="21"/>
                <w:szCs w:val="21"/>
              </w:rPr>
              <w:t>6</w:t>
            </w:r>
          </w:p>
        </w:tc>
        <w:tc>
          <w:tcPr>
            <w:tcW w:w="851"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sz w:val="21"/>
                <w:szCs w:val="21"/>
              </w:rPr>
            </w:pPr>
            <w:r>
              <w:rPr>
                <w:rFonts w:asciiTheme="minorEastAsia" w:hAnsiTheme="minorEastAsia" w:eastAsiaTheme="minorEastAsia"/>
                <w:sz w:val="21"/>
                <w:szCs w:val="21"/>
              </w:rPr>
              <w:t>9</w:t>
            </w:r>
          </w:p>
        </w:tc>
        <w:tc>
          <w:tcPr>
            <w:tcW w:w="850"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sz w:val="21"/>
                <w:szCs w:val="21"/>
              </w:rPr>
            </w:pPr>
            <w:r>
              <w:rPr>
                <w:rFonts w:asciiTheme="minorEastAsia" w:hAnsiTheme="minorEastAsia" w:eastAsiaTheme="minorEastAsia"/>
                <w:sz w:val="21"/>
                <w:szCs w:val="21"/>
              </w:rPr>
              <w:t>12</w:t>
            </w:r>
          </w:p>
        </w:tc>
        <w:tc>
          <w:tcPr>
            <w:tcW w:w="851"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sz w:val="21"/>
                <w:szCs w:val="21"/>
              </w:rPr>
            </w:pPr>
            <w:r>
              <w:rPr>
                <w:rFonts w:asciiTheme="minorEastAsia" w:hAnsiTheme="minorEastAsia" w:eastAsiaTheme="minorEastAsia"/>
                <w:sz w:val="21"/>
                <w:szCs w:val="21"/>
              </w:rPr>
              <w:t>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3302"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sz w:val="21"/>
                <w:szCs w:val="21"/>
              </w:rPr>
            </w:pPr>
            <w:r>
              <w:rPr>
                <w:rFonts w:hint="eastAsia" w:cs="宋体" w:asciiTheme="minorEastAsia" w:hAnsiTheme="minorEastAsia" w:eastAsiaTheme="minorEastAsia"/>
                <w:sz w:val="21"/>
                <w:szCs w:val="21"/>
                <w:lang w:bidi="ar"/>
              </w:rPr>
              <w:t>正常蓄水位＜</w:t>
            </w:r>
            <w:r>
              <w:rPr>
                <w:rFonts w:asciiTheme="minorEastAsia" w:hAnsiTheme="minorEastAsia" w:eastAsiaTheme="minorEastAsia"/>
                <w:sz w:val="21"/>
                <w:szCs w:val="21"/>
                <w:lang w:bidi="ar"/>
              </w:rPr>
              <w:t>H</w:t>
            </w:r>
            <w:r>
              <w:rPr>
                <w:rFonts w:hint="eastAsia" w:cs="宋体" w:asciiTheme="minorEastAsia" w:hAnsiTheme="minorEastAsia" w:eastAsiaTheme="minorEastAsia"/>
                <w:sz w:val="21"/>
                <w:szCs w:val="21"/>
                <w:lang w:bidi="ar"/>
              </w:rPr>
              <w:t>≤防洪高水位</w:t>
            </w:r>
          </w:p>
        </w:tc>
        <w:tc>
          <w:tcPr>
            <w:tcW w:w="911"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b/>
                <w:bCs/>
                <w:sz w:val="21"/>
                <w:szCs w:val="21"/>
              </w:rPr>
            </w:pPr>
            <w:r>
              <w:rPr>
                <w:rFonts w:hint="eastAsia" w:cs="宋体" w:asciiTheme="minorEastAsia" w:hAnsiTheme="minorEastAsia" w:eastAsiaTheme="minorEastAsia"/>
                <w:b/>
                <w:bCs/>
                <w:sz w:val="21"/>
                <w:szCs w:val="21"/>
              </w:rPr>
              <w:t>取值</w:t>
            </w:r>
            <w:r>
              <w:rPr>
                <w:rFonts w:asciiTheme="minorEastAsia" w:hAnsiTheme="minorEastAsia" w:eastAsiaTheme="minorEastAsia"/>
                <w:b/>
                <w:bCs/>
                <w:sz w:val="21"/>
                <w:szCs w:val="21"/>
              </w:rPr>
              <w:t>4</w:t>
            </w:r>
          </w:p>
        </w:tc>
        <w:tc>
          <w:tcPr>
            <w:tcW w:w="851"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sz w:val="21"/>
                <w:szCs w:val="21"/>
              </w:rPr>
            </w:pPr>
            <w:r>
              <w:rPr>
                <w:rFonts w:asciiTheme="minorEastAsia" w:hAnsiTheme="minorEastAsia" w:eastAsiaTheme="minorEastAsia"/>
                <w:sz w:val="21"/>
                <w:szCs w:val="21"/>
              </w:rPr>
              <w:t>4</w:t>
            </w:r>
          </w:p>
        </w:tc>
        <w:tc>
          <w:tcPr>
            <w:tcW w:w="850"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sz w:val="21"/>
                <w:szCs w:val="21"/>
              </w:rPr>
            </w:pPr>
            <w:r>
              <w:rPr>
                <w:rFonts w:asciiTheme="minorEastAsia" w:hAnsiTheme="minorEastAsia" w:eastAsiaTheme="minorEastAsia"/>
                <w:sz w:val="21"/>
                <w:szCs w:val="21"/>
              </w:rPr>
              <w:t>8</w:t>
            </w:r>
          </w:p>
        </w:tc>
        <w:tc>
          <w:tcPr>
            <w:tcW w:w="851"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sz w:val="21"/>
                <w:szCs w:val="21"/>
              </w:rPr>
            </w:pPr>
            <w:r>
              <w:rPr>
                <w:rFonts w:asciiTheme="minorEastAsia" w:hAnsiTheme="minorEastAsia" w:eastAsiaTheme="minorEastAsia"/>
                <w:sz w:val="21"/>
                <w:szCs w:val="21"/>
              </w:rPr>
              <w:t>12</w:t>
            </w:r>
          </w:p>
        </w:tc>
        <w:tc>
          <w:tcPr>
            <w:tcW w:w="850"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sz w:val="21"/>
                <w:szCs w:val="21"/>
              </w:rPr>
            </w:pPr>
            <w:r>
              <w:rPr>
                <w:rFonts w:asciiTheme="minorEastAsia" w:hAnsiTheme="minorEastAsia" w:eastAsiaTheme="minorEastAsia"/>
                <w:sz w:val="21"/>
                <w:szCs w:val="21"/>
              </w:rPr>
              <w:t>16</w:t>
            </w:r>
          </w:p>
        </w:tc>
        <w:tc>
          <w:tcPr>
            <w:tcW w:w="851"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sz w:val="21"/>
                <w:szCs w:val="21"/>
              </w:rPr>
            </w:pPr>
            <w:r>
              <w:rPr>
                <w:rFonts w:asciiTheme="minorEastAsia" w:hAnsiTheme="minorEastAsia" w:eastAsiaTheme="minorEastAsia"/>
                <w:sz w:val="21"/>
                <w:szCs w:val="21"/>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3302"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sz w:val="21"/>
                <w:szCs w:val="21"/>
              </w:rPr>
            </w:pPr>
            <w:r>
              <w:rPr>
                <w:rFonts w:asciiTheme="minorEastAsia" w:hAnsiTheme="minorEastAsia" w:eastAsiaTheme="minorEastAsia"/>
                <w:sz w:val="21"/>
                <w:szCs w:val="21"/>
                <w:lang w:bidi="ar"/>
              </w:rPr>
              <w:t>H</w:t>
            </w:r>
            <w:r>
              <w:rPr>
                <w:rFonts w:hint="eastAsia" w:asciiTheme="minorEastAsia" w:hAnsiTheme="minorEastAsia" w:eastAsiaTheme="minorEastAsia"/>
                <w:sz w:val="21"/>
                <w:szCs w:val="21"/>
                <w:lang w:bidi="ar"/>
              </w:rPr>
              <w:t>＞</w:t>
            </w:r>
            <w:r>
              <w:rPr>
                <w:rFonts w:hint="eastAsia" w:cs="宋体" w:asciiTheme="minorEastAsia" w:hAnsiTheme="minorEastAsia" w:eastAsiaTheme="minorEastAsia"/>
                <w:sz w:val="21"/>
                <w:szCs w:val="21"/>
                <w:lang w:bidi="ar"/>
              </w:rPr>
              <w:t>防洪高水位</w:t>
            </w:r>
          </w:p>
        </w:tc>
        <w:tc>
          <w:tcPr>
            <w:tcW w:w="911"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b/>
                <w:bCs/>
                <w:sz w:val="21"/>
                <w:szCs w:val="21"/>
              </w:rPr>
            </w:pPr>
            <w:r>
              <w:rPr>
                <w:rFonts w:hint="eastAsia" w:cs="宋体" w:asciiTheme="minorEastAsia" w:hAnsiTheme="minorEastAsia" w:eastAsiaTheme="minorEastAsia"/>
                <w:b/>
                <w:bCs/>
                <w:sz w:val="21"/>
                <w:szCs w:val="21"/>
              </w:rPr>
              <w:t>取值</w:t>
            </w:r>
            <w:r>
              <w:rPr>
                <w:rFonts w:asciiTheme="minorEastAsia" w:hAnsiTheme="minorEastAsia" w:eastAsiaTheme="minorEastAsia"/>
                <w:b/>
                <w:bCs/>
                <w:sz w:val="21"/>
                <w:szCs w:val="21"/>
              </w:rPr>
              <w:t>5</w:t>
            </w:r>
          </w:p>
        </w:tc>
        <w:tc>
          <w:tcPr>
            <w:tcW w:w="851"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sz w:val="21"/>
                <w:szCs w:val="21"/>
              </w:rPr>
            </w:pPr>
            <w:r>
              <w:rPr>
                <w:rFonts w:asciiTheme="minorEastAsia" w:hAnsiTheme="minorEastAsia" w:eastAsiaTheme="minorEastAsia"/>
                <w:sz w:val="21"/>
                <w:szCs w:val="21"/>
              </w:rPr>
              <w:t>5</w:t>
            </w:r>
          </w:p>
        </w:tc>
        <w:tc>
          <w:tcPr>
            <w:tcW w:w="850"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sz w:val="21"/>
                <w:szCs w:val="21"/>
              </w:rPr>
            </w:pPr>
            <w:r>
              <w:rPr>
                <w:rFonts w:asciiTheme="minorEastAsia" w:hAnsiTheme="minorEastAsia" w:eastAsiaTheme="minorEastAsia"/>
                <w:sz w:val="21"/>
                <w:szCs w:val="21"/>
              </w:rPr>
              <w:t>10</w:t>
            </w:r>
          </w:p>
        </w:tc>
        <w:tc>
          <w:tcPr>
            <w:tcW w:w="851"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sz w:val="21"/>
                <w:szCs w:val="21"/>
              </w:rPr>
            </w:pPr>
            <w:r>
              <w:rPr>
                <w:rFonts w:asciiTheme="minorEastAsia" w:hAnsiTheme="minorEastAsia" w:eastAsiaTheme="minorEastAsia"/>
                <w:sz w:val="21"/>
                <w:szCs w:val="21"/>
              </w:rPr>
              <w:t>15</w:t>
            </w:r>
          </w:p>
        </w:tc>
        <w:tc>
          <w:tcPr>
            <w:tcW w:w="850"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sz w:val="21"/>
                <w:szCs w:val="21"/>
              </w:rPr>
            </w:pPr>
            <w:r>
              <w:rPr>
                <w:rFonts w:asciiTheme="minorEastAsia" w:hAnsiTheme="minorEastAsia" w:eastAsiaTheme="minorEastAsia"/>
                <w:sz w:val="21"/>
                <w:szCs w:val="21"/>
              </w:rPr>
              <w:t>20</w:t>
            </w:r>
          </w:p>
        </w:tc>
        <w:tc>
          <w:tcPr>
            <w:tcW w:w="851"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sz w:val="21"/>
                <w:szCs w:val="21"/>
              </w:rPr>
            </w:pPr>
            <w:r>
              <w:rPr>
                <w:rFonts w:asciiTheme="minorEastAsia" w:hAnsiTheme="minorEastAsia" w:eastAsiaTheme="minorEastAsia"/>
                <w:sz w:val="21"/>
                <w:szCs w:val="21"/>
              </w:rPr>
              <w:t>25</w:t>
            </w:r>
          </w:p>
        </w:tc>
      </w:tr>
    </w:tbl>
    <w:p>
      <w:pPr>
        <w:ind w:firstLine="562" w:firstLineChars="200"/>
        <w:rPr>
          <w:rFonts w:ascii="宋体" w:hAnsi="宋体" w:cs="宋体"/>
          <w:b/>
          <w:sz w:val="28"/>
          <w:szCs w:val="28"/>
        </w:rPr>
      </w:pPr>
      <w:r>
        <w:rPr>
          <w:rFonts w:hint="eastAsia" w:ascii="宋体" w:hAnsi="宋体" w:cs="宋体"/>
          <w:b/>
          <w:sz w:val="28"/>
          <w:szCs w:val="28"/>
          <w:lang w:bidi="ar"/>
        </w:rPr>
        <w:t>表3             水库工程S值取值标准表</w:t>
      </w:r>
    </w:p>
    <w:tbl>
      <w:tblPr>
        <w:tblStyle w:val="34"/>
        <w:tblW w:w="5000" w:type="pct"/>
        <w:jc w:val="center"/>
        <w:tblLayout w:type="autofit"/>
        <w:tblCellMar>
          <w:top w:w="0" w:type="dxa"/>
          <w:left w:w="108" w:type="dxa"/>
          <w:bottom w:w="0" w:type="dxa"/>
          <w:right w:w="108" w:type="dxa"/>
        </w:tblCellMar>
      </w:tblPr>
      <w:tblGrid>
        <w:gridCol w:w="2335"/>
        <w:gridCol w:w="3348"/>
        <w:gridCol w:w="2845"/>
      </w:tblGrid>
      <w:tr>
        <w:tblPrEx>
          <w:tblCellMar>
            <w:top w:w="0" w:type="dxa"/>
            <w:left w:w="108" w:type="dxa"/>
            <w:bottom w:w="0" w:type="dxa"/>
            <w:right w:w="108" w:type="dxa"/>
          </w:tblCellMar>
        </w:tblPrEx>
        <w:trPr>
          <w:trHeight w:val="510" w:hRule="atLeast"/>
          <w:jc w:val="center"/>
        </w:trPr>
        <w:tc>
          <w:tcPr>
            <w:tcW w:w="1369"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eastAsia="宋体"/>
                <w:b/>
                <w:sz w:val="28"/>
                <w:szCs w:val="28"/>
              </w:rPr>
            </w:pPr>
            <w:r>
              <w:rPr>
                <w:rFonts w:ascii="Times New Roman" w:eastAsia="宋体"/>
                <w:b/>
                <w:sz w:val="28"/>
                <w:szCs w:val="28"/>
              </w:rPr>
              <w:t>V</w:t>
            </w:r>
            <w:r>
              <w:rPr>
                <w:rFonts w:hint="eastAsia" w:ascii="Times New Roman" w:eastAsia="宋体" w:cs="宋体"/>
                <w:b/>
                <w:sz w:val="28"/>
                <w:szCs w:val="28"/>
              </w:rPr>
              <w:t>值区间</w:t>
            </w:r>
          </w:p>
        </w:tc>
        <w:tc>
          <w:tcPr>
            <w:tcW w:w="1963" w:type="pct"/>
            <w:tcBorders>
              <w:top w:val="single" w:color="auto" w:sz="4" w:space="0"/>
              <w:left w:val="nil"/>
              <w:bottom w:val="single" w:color="auto" w:sz="4" w:space="0"/>
              <w:right w:val="single" w:color="auto" w:sz="4" w:space="0"/>
            </w:tcBorders>
            <w:vAlign w:val="center"/>
          </w:tcPr>
          <w:p>
            <w:pPr>
              <w:jc w:val="center"/>
              <w:rPr>
                <w:rFonts w:ascii="Times New Roman" w:eastAsia="宋体"/>
                <w:b/>
                <w:sz w:val="28"/>
                <w:szCs w:val="28"/>
              </w:rPr>
            </w:pPr>
            <w:r>
              <w:rPr>
                <w:rFonts w:hint="eastAsia" w:ascii="Times New Roman" w:eastAsia="宋体" w:cs="宋体"/>
                <w:b/>
                <w:sz w:val="28"/>
                <w:szCs w:val="28"/>
              </w:rPr>
              <w:t>危害程度</w:t>
            </w:r>
          </w:p>
        </w:tc>
        <w:tc>
          <w:tcPr>
            <w:tcW w:w="1668"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eastAsia="宋体"/>
                <w:b/>
                <w:sz w:val="28"/>
                <w:szCs w:val="28"/>
              </w:rPr>
            </w:pPr>
            <w:r>
              <w:rPr>
                <w:rFonts w:hint="eastAsia" w:ascii="Times New Roman" w:eastAsia="宋体"/>
                <w:b/>
                <w:sz w:val="28"/>
                <w:szCs w:val="28"/>
              </w:rPr>
              <w:t>水库工程</w:t>
            </w:r>
            <w:r>
              <w:rPr>
                <w:rFonts w:ascii="Times New Roman" w:eastAsia="宋体"/>
                <w:b/>
                <w:sz w:val="28"/>
                <w:szCs w:val="28"/>
              </w:rPr>
              <w:t>S</w:t>
            </w:r>
            <w:r>
              <w:rPr>
                <w:rFonts w:hint="eastAsia" w:ascii="Times New Roman" w:eastAsia="宋体"/>
                <w:b/>
                <w:sz w:val="28"/>
                <w:szCs w:val="28"/>
              </w:rPr>
              <w:t>值</w:t>
            </w:r>
            <w:r>
              <w:rPr>
                <w:rFonts w:hint="eastAsia" w:ascii="Times New Roman" w:eastAsia="宋体" w:cs="宋体"/>
                <w:b/>
                <w:sz w:val="28"/>
                <w:szCs w:val="28"/>
              </w:rPr>
              <w:t>取值</w:t>
            </w:r>
          </w:p>
        </w:tc>
      </w:tr>
      <w:tr>
        <w:tblPrEx>
          <w:tblCellMar>
            <w:top w:w="0" w:type="dxa"/>
            <w:left w:w="108" w:type="dxa"/>
            <w:bottom w:w="0" w:type="dxa"/>
            <w:right w:w="108" w:type="dxa"/>
          </w:tblCellMar>
        </w:tblPrEx>
        <w:trPr>
          <w:trHeight w:val="510" w:hRule="atLeast"/>
          <w:jc w:val="center"/>
        </w:trPr>
        <w:tc>
          <w:tcPr>
            <w:tcW w:w="1369"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bCs/>
                <w:sz w:val="28"/>
                <w:szCs w:val="28"/>
              </w:rPr>
            </w:pPr>
            <w:r>
              <w:rPr>
                <w:rFonts w:ascii="宋体" w:hAnsi="宋体" w:eastAsia="宋体"/>
                <w:sz w:val="28"/>
                <w:szCs w:val="28"/>
              </w:rPr>
              <w:t>V</w:t>
            </w:r>
            <w:r>
              <w:rPr>
                <w:rFonts w:hint="eastAsia" w:ascii="宋体" w:hAnsi="宋体" w:eastAsia="宋体" w:cs="宋体"/>
                <w:sz w:val="28"/>
                <w:szCs w:val="28"/>
              </w:rPr>
              <w:t>≥</w:t>
            </w:r>
            <w:r>
              <w:rPr>
                <w:rFonts w:ascii="宋体" w:hAnsi="宋体" w:eastAsia="宋体"/>
                <w:bCs/>
                <w:sz w:val="28"/>
                <w:szCs w:val="28"/>
              </w:rPr>
              <w:t>21</w:t>
            </w:r>
          </w:p>
        </w:tc>
        <w:tc>
          <w:tcPr>
            <w:tcW w:w="1963"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bCs/>
                <w:sz w:val="28"/>
                <w:szCs w:val="28"/>
              </w:rPr>
            </w:pPr>
            <w:r>
              <w:rPr>
                <w:rFonts w:hint="eastAsia" w:ascii="宋体" w:hAnsi="宋体" w:eastAsia="宋体" w:cs="宋体"/>
                <w:bCs/>
                <w:sz w:val="28"/>
                <w:szCs w:val="28"/>
              </w:rPr>
              <w:t>灾难性的</w:t>
            </w:r>
          </w:p>
        </w:tc>
        <w:tc>
          <w:tcPr>
            <w:tcW w:w="1668"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bCs/>
                <w:sz w:val="28"/>
                <w:szCs w:val="28"/>
              </w:rPr>
            </w:pPr>
            <w:r>
              <w:rPr>
                <w:rFonts w:ascii="宋体" w:hAnsi="宋体" w:eastAsia="宋体"/>
                <w:bCs/>
                <w:sz w:val="28"/>
                <w:szCs w:val="28"/>
              </w:rPr>
              <w:t>100</w:t>
            </w:r>
          </w:p>
        </w:tc>
      </w:tr>
      <w:tr>
        <w:tblPrEx>
          <w:tblCellMar>
            <w:top w:w="0" w:type="dxa"/>
            <w:left w:w="108" w:type="dxa"/>
            <w:bottom w:w="0" w:type="dxa"/>
            <w:right w:w="108" w:type="dxa"/>
          </w:tblCellMar>
        </w:tblPrEx>
        <w:trPr>
          <w:trHeight w:val="510" w:hRule="atLeast"/>
          <w:jc w:val="center"/>
        </w:trPr>
        <w:tc>
          <w:tcPr>
            <w:tcW w:w="1369"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bCs/>
                <w:sz w:val="28"/>
                <w:szCs w:val="28"/>
              </w:rPr>
            </w:pPr>
            <w:r>
              <w:rPr>
                <w:rFonts w:ascii="宋体" w:hAnsi="宋体" w:eastAsia="宋体"/>
                <w:bCs/>
                <w:sz w:val="28"/>
                <w:szCs w:val="28"/>
              </w:rPr>
              <w:t>16</w:t>
            </w:r>
            <w:r>
              <w:rPr>
                <w:rFonts w:hint="eastAsia" w:ascii="宋体" w:hAnsi="宋体" w:eastAsia="宋体" w:cs="宋体"/>
                <w:sz w:val="28"/>
                <w:szCs w:val="28"/>
              </w:rPr>
              <w:t>≤</w:t>
            </w:r>
            <w:r>
              <w:rPr>
                <w:rFonts w:ascii="宋体" w:hAnsi="宋体" w:eastAsia="宋体"/>
                <w:sz w:val="28"/>
                <w:szCs w:val="28"/>
              </w:rPr>
              <w:t>V</w:t>
            </w:r>
            <w:r>
              <w:rPr>
                <w:rFonts w:hint="eastAsia" w:ascii="宋体" w:hAnsi="宋体" w:eastAsia="宋体" w:cs="宋体"/>
                <w:sz w:val="28"/>
                <w:szCs w:val="28"/>
              </w:rPr>
              <w:t>≤</w:t>
            </w:r>
            <w:r>
              <w:rPr>
                <w:rFonts w:ascii="宋体" w:hAnsi="宋体" w:eastAsia="宋体"/>
                <w:bCs/>
                <w:sz w:val="28"/>
                <w:szCs w:val="28"/>
              </w:rPr>
              <w:t>20</w:t>
            </w:r>
          </w:p>
        </w:tc>
        <w:tc>
          <w:tcPr>
            <w:tcW w:w="1963"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bCs/>
                <w:sz w:val="28"/>
                <w:szCs w:val="28"/>
              </w:rPr>
            </w:pPr>
            <w:r>
              <w:rPr>
                <w:rFonts w:hint="eastAsia" w:ascii="宋体" w:hAnsi="宋体" w:eastAsia="宋体" w:cs="宋体"/>
                <w:bCs/>
                <w:sz w:val="28"/>
                <w:szCs w:val="28"/>
              </w:rPr>
              <w:t>重大的</w:t>
            </w:r>
          </w:p>
        </w:tc>
        <w:tc>
          <w:tcPr>
            <w:tcW w:w="1668"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bCs/>
                <w:sz w:val="28"/>
                <w:szCs w:val="28"/>
              </w:rPr>
            </w:pPr>
            <w:r>
              <w:rPr>
                <w:rFonts w:ascii="宋体" w:hAnsi="宋体" w:eastAsia="宋体"/>
                <w:bCs/>
                <w:sz w:val="28"/>
                <w:szCs w:val="28"/>
              </w:rPr>
              <w:t>40</w:t>
            </w:r>
          </w:p>
        </w:tc>
      </w:tr>
      <w:tr>
        <w:tblPrEx>
          <w:tblCellMar>
            <w:top w:w="0" w:type="dxa"/>
            <w:left w:w="108" w:type="dxa"/>
            <w:bottom w:w="0" w:type="dxa"/>
            <w:right w:w="108" w:type="dxa"/>
          </w:tblCellMar>
        </w:tblPrEx>
        <w:trPr>
          <w:trHeight w:val="510" w:hRule="atLeast"/>
          <w:jc w:val="center"/>
        </w:trPr>
        <w:tc>
          <w:tcPr>
            <w:tcW w:w="1369"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bCs/>
                <w:sz w:val="28"/>
                <w:szCs w:val="28"/>
              </w:rPr>
            </w:pPr>
            <w:r>
              <w:rPr>
                <w:rFonts w:ascii="宋体" w:hAnsi="宋体" w:eastAsia="宋体"/>
                <w:bCs/>
                <w:sz w:val="28"/>
                <w:szCs w:val="28"/>
              </w:rPr>
              <w:t>11</w:t>
            </w:r>
            <w:r>
              <w:rPr>
                <w:rFonts w:hint="eastAsia" w:ascii="宋体" w:hAnsi="宋体" w:eastAsia="宋体" w:cs="宋体"/>
                <w:sz w:val="28"/>
                <w:szCs w:val="28"/>
              </w:rPr>
              <w:t>≤</w:t>
            </w:r>
            <w:r>
              <w:rPr>
                <w:rFonts w:ascii="宋体" w:hAnsi="宋体" w:eastAsia="宋体"/>
                <w:sz w:val="28"/>
                <w:szCs w:val="28"/>
              </w:rPr>
              <w:t>V</w:t>
            </w:r>
            <w:r>
              <w:rPr>
                <w:rFonts w:hint="eastAsia" w:ascii="宋体" w:hAnsi="宋体" w:eastAsia="宋体" w:cs="宋体"/>
                <w:sz w:val="28"/>
                <w:szCs w:val="28"/>
              </w:rPr>
              <w:t>≤</w:t>
            </w:r>
            <w:r>
              <w:rPr>
                <w:rFonts w:ascii="宋体" w:hAnsi="宋体" w:eastAsia="宋体"/>
                <w:bCs/>
                <w:sz w:val="28"/>
                <w:szCs w:val="28"/>
              </w:rPr>
              <w:t>15</w:t>
            </w:r>
          </w:p>
        </w:tc>
        <w:tc>
          <w:tcPr>
            <w:tcW w:w="1963"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bCs/>
                <w:sz w:val="28"/>
                <w:szCs w:val="28"/>
              </w:rPr>
            </w:pPr>
            <w:r>
              <w:rPr>
                <w:rFonts w:hint="eastAsia" w:ascii="宋体" w:hAnsi="宋体" w:eastAsia="宋体" w:cs="宋体"/>
                <w:bCs/>
                <w:sz w:val="28"/>
                <w:szCs w:val="28"/>
              </w:rPr>
              <w:t>中等的</w:t>
            </w:r>
          </w:p>
        </w:tc>
        <w:tc>
          <w:tcPr>
            <w:tcW w:w="1668"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bCs/>
                <w:sz w:val="28"/>
                <w:szCs w:val="28"/>
              </w:rPr>
            </w:pPr>
            <w:r>
              <w:rPr>
                <w:rFonts w:ascii="宋体" w:hAnsi="宋体" w:eastAsia="宋体"/>
                <w:bCs/>
                <w:sz w:val="28"/>
                <w:szCs w:val="28"/>
              </w:rPr>
              <w:t>15</w:t>
            </w:r>
          </w:p>
        </w:tc>
      </w:tr>
      <w:tr>
        <w:tblPrEx>
          <w:tblCellMar>
            <w:top w:w="0" w:type="dxa"/>
            <w:left w:w="108" w:type="dxa"/>
            <w:bottom w:w="0" w:type="dxa"/>
            <w:right w:w="108" w:type="dxa"/>
          </w:tblCellMar>
        </w:tblPrEx>
        <w:trPr>
          <w:trHeight w:val="510" w:hRule="atLeast"/>
          <w:jc w:val="center"/>
        </w:trPr>
        <w:tc>
          <w:tcPr>
            <w:tcW w:w="1369"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bCs/>
                <w:sz w:val="28"/>
                <w:szCs w:val="28"/>
              </w:rPr>
            </w:pPr>
            <w:r>
              <w:rPr>
                <w:rFonts w:ascii="宋体" w:hAnsi="宋体" w:eastAsia="宋体"/>
                <w:bCs/>
                <w:sz w:val="28"/>
                <w:szCs w:val="28"/>
              </w:rPr>
              <w:t>6</w:t>
            </w:r>
            <w:r>
              <w:rPr>
                <w:rFonts w:hint="eastAsia" w:ascii="宋体" w:hAnsi="宋体" w:eastAsia="宋体" w:cs="宋体"/>
                <w:sz w:val="28"/>
                <w:szCs w:val="28"/>
              </w:rPr>
              <w:t>≤</w:t>
            </w:r>
            <w:r>
              <w:rPr>
                <w:rFonts w:ascii="宋体" w:hAnsi="宋体" w:eastAsia="宋体"/>
                <w:sz w:val="28"/>
                <w:szCs w:val="28"/>
              </w:rPr>
              <w:t>V</w:t>
            </w:r>
            <w:r>
              <w:rPr>
                <w:rFonts w:hint="eastAsia" w:ascii="宋体" w:hAnsi="宋体" w:eastAsia="宋体" w:cs="宋体"/>
                <w:sz w:val="28"/>
                <w:szCs w:val="28"/>
              </w:rPr>
              <w:t>≤</w:t>
            </w:r>
            <w:r>
              <w:rPr>
                <w:rFonts w:ascii="宋体" w:hAnsi="宋体" w:eastAsia="宋体"/>
                <w:bCs/>
                <w:sz w:val="28"/>
                <w:szCs w:val="28"/>
              </w:rPr>
              <w:t>10</w:t>
            </w:r>
          </w:p>
        </w:tc>
        <w:tc>
          <w:tcPr>
            <w:tcW w:w="1963"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bCs/>
                <w:sz w:val="28"/>
                <w:szCs w:val="28"/>
              </w:rPr>
            </w:pPr>
            <w:r>
              <w:rPr>
                <w:rFonts w:hint="eastAsia" w:ascii="宋体" w:hAnsi="宋体" w:eastAsia="宋体" w:cs="宋体"/>
                <w:bCs/>
                <w:sz w:val="28"/>
                <w:szCs w:val="28"/>
                <w:lang w:bidi="ar"/>
              </w:rPr>
              <w:t>轻微的</w:t>
            </w:r>
          </w:p>
        </w:tc>
        <w:tc>
          <w:tcPr>
            <w:tcW w:w="1668"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bCs/>
                <w:sz w:val="28"/>
                <w:szCs w:val="28"/>
              </w:rPr>
            </w:pPr>
            <w:r>
              <w:rPr>
                <w:rFonts w:ascii="宋体" w:hAnsi="宋体" w:eastAsia="宋体"/>
                <w:bCs/>
                <w:sz w:val="28"/>
                <w:szCs w:val="28"/>
                <w:lang w:bidi="ar"/>
              </w:rPr>
              <w:t>7</w:t>
            </w:r>
          </w:p>
        </w:tc>
      </w:tr>
      <w:tr>
        <w:tblPrEx>
          <w:tblCellMar>
            <w:top w:w="0" w:type="dxa"/>
            <w:left w:w="108" w:type="dxa"/>
            <w:bottom w:w="0" w:type="dxa"/>
            <w:right w:w="108" w:type="dxa"/>
          </w:tblCellMar>
        </w:tblPrEx>
        <w:trPr>
          <w:trHeight w:val="510" w:hRule="atLeast"/>
          <w:jc w:val="center"/>
        </w:trPr>
        <w:tc>
          <w:tcPr>
            <w:tcW w:w="1369"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bCs/>
                <w:sz w:val="28"/>
                <w:szCs w:val="28"/>
              </w:rPr>
            </w:pPr>
            <w:r>
              <w:rPr>
                <w:rFonts w:ascii="宋体" w:hAnsi="宋体" w:eastAsia="宋体"/>
                <w:sz w:val="28"/>
                <w:szCs w:val="28"/>
              </w:rPr>
              <w:t>V</w:t>
            </w:r>
            <w:r>
              <w:rPr>
                <w:rFonts w:hint="eastAsia" w:ascii="宋体" w:hAnsi="宋体" w:eastAsia="宋体" w:cs="宋体"/>
                <w:sz w:val="28"/>
                <w:szCs w:val="28"/>
              </w:rPr>
              <w:t>≤</w:t>
            </w:r>
            <w:r>
              <w:rPr>
                <w:rFonts w:ascii="宋体" w:hAnsi="宋体" w:eastAsia="宋体"/>
                <w:bCs/>
                <w:sz w:val="28"/>
                <w:szCs w:val="28"/>
              </w:rPr>
              <w:t>5</w:t>
            </w:r>
          </w:p>
        </w:tc>
        <w:tc>
          <w:tcPr>
            <w:tcW w:w="1963"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bCs/>
                <w:sz w:val="28"/>
                <w:szCs w:val="28"/>
              </w:rPr>
            </w:pPr>
            <w:r>
              <w:rPr>
                <w:rFonts w:hint="eastAsia" w:ascii="宋体" w:hAnsi="宋体" w:eastAsia="宋体" w:cs="宋体"/>
                <w:bCs/>
                <w:sz w:val="28"/>
                <w:szCs w:val="28"/>
                <w:lang w:bidi="ar"/>
              </w:rPr>
              <w:t>极轻微的</w:t>
            </w:r>
          </w:p>
        </w:tc>
        <w:tc>
          <w:tcPr>
            <w:tcW w:w="1668"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bCs/>
                <w:sz w:val="28"/>
                <w:szCs w:val="28"/>
              </w:rPr>
            </w:pPr>
            <w:r>
              <w:rPr>
                <w:rFonts w:ascii="宋体" w:hAnsi="宋体" w:eastAsia="宋体"/>
                <w:bCs/>
                <w:sz w:val="28"/>
                <w:szCs w:val="28"/>
                <w:lang w:bidi="ar"/>
              </w:rPr>
              <w:t>3</w:t>
            </w:r>
          </w:p>
        </w:tc>
      </w:tr>
    </w:tbl>
    <w:p>
      <w:pPr>
        <w:ind w:firstLine="560" w:firstLineChars="200"/>
        <w:rPr>
          <w:rFonts w:ascii="宋体" w:hAnsi="宋体" w:cs="宋体"/>
          <w:b/>
          <w:sz w:val="28"/>
          <w:szCs w:val="28"/>
          <w:lang w:bidi="ar"/>
        </w:rPr>
      </w:pPr>
      <w:r>
        <w:rPr>
          <w:rFonts w:hint="eastAsia" w:ascii="仿宋" w:hAnsi="仿宋" w:eastAsia="仿宋" w:cs="仿宋"/>
          <w:sz w:val="28"/>
          <w:szCs w:val="28"/>
          <w:lang w:bidi="ar"/>
        </w:rPr>
        <w:t>在分析水闸工程运行事故所造成危害的严重程度时，仅考虑工程规模这一因素，S值应按照表</w:t>
      </w:r>
      <w:r>
        <w:rPr>
          <w:rFonts w:ascii="仿宋" w:hAnsi="仿宋" w:eastAsia="仿宋" w:cs="仿宋"/>
          <w:sz w:val="28"/>
          <w:szCs w:val="28"/>
          <w:lang w:bidi="ar"/>
        </w:rPr>
        <w:t>4</w:t>
      </w:r>
      <w:r>
        <w:rPr>
          <w:rFonts w:hint="eastAsia" w:ascii="仿宋" w:hAnsi="仿宋" w:eastAsia="仿宋" w:cs="仿宋"/>
          <w:sz w:val="28"/>
          <w:szCs w:val="28"/>
          <w:lang w:bidi="ar"/>
        </w:rPr>
        <w:t>取值。</w:t>
      </w:r>
    </w:p>
    <w:p>
      <w:pPr>
        <w:ind w:firstLine="562" w:firstLineChars="200"/>
        <w:rPr>
          <w:rFonts w:ascii="宋体" w:hAnsi="宋体" w:cs="宋体"/>
          <w:b/>
          <w:sz w:val="28"/>
          <w:szCs w:val="28"/>
        </w:rPr>
      </w:pPr>
      <w:r>
        <w:rPr>
          <w:rFonts w:hint="eastAsia" w:ascii="宋体" w:hAnsi="宋体" w:cs="宋体"/>
          <w:b/>
          <w:sz w:val="28"/>
          <w:szCs w:val="28"/>
          <w:lang w:bidi="ar"/>
        </w:rPr>
        <w:t xml:space="preserve">表4     </w:t>
      </w:r>
      <w:r>
        <w:rPr>
          <w:rFonts w:ascii="宋体" w:hAnsi="宋体" w:cs="宋体"/>
          <w:b/>
          <w:sz w:val="28"/>
          <w:szCs w:val="28"/>
          <w:lang w:bidi="ar"/>
        </w:rPr>
        <w:t xml:space="preserve"> </w:t>
      </w:r>
      <w:r>
        <w:rPr>
          <w:rFonts w:hint="eastAsia" w:ascii="宋体" w:hAnsi="宋体" w:cs="宋体"/>
          <w:b/>
          <w:sz w:val="28"/>
          <w:szCs w:val="28"/>
          <w:lang w:bidi="ar"/>
        </w:rPr>
        <w:t xml:space="preserve">      水闸工程S值取值标准表</w:t>
      </w:r>
    </w:p>
    <w:tbl>
      <w:tblPr>
        <w:tblStyle w:val="3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16"/>
        <w:gridCol w:w="1381"/>
        <w:gridCol w:w="1382"/>
        <w:gridCol w:w="1382"/>
        <w:gridCol w:w="1382"/>
        <w:gridCol w:w="13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948" w:type="pct"/>
            <w:vAlign w:val="center"/>
          </w:tcPr>
          <w:p>
            <w:pPr>
              <w:jc w:val="center"/>
              <w:rPr>
                <w:rFonts w:ascii="Times New Roman" w:eastAsia="宋体"/>
                <w:b/>
                <w:bCs/>
                <w:sz w:val="28"/>
                <w:szCs w:val="28"/>
              </w:rPr>
            </w:pPr>
            <w:r>
              <w:rPr>
                <w:rFonts w:hint="eastAsia" w:ascii="Times New Roman" w:eastAsia="宋体" w:cs="宋体"/>
                <w:b/>
                <w:bCs/>
                <w:sz w:val="28"/>
                <w:szCs w:val="28"/>
              </w:rPr>
              <w:t>工程规模</w:t>
            </w:r>
          </w:p>
        </w:tc>
        <w:tc>
          <w:tcPr>
            <w:tcW w:w="810" w:type="pct"/>
            <w:vAlign w:val="center"/>
          </w:tcPr>
          <w:p>
            <w:pPr>
              <w:jc w:val="center"/>
              <w:rPr>
                <w:rFonts w:ascii="Times New Roman" w:eastAsia="宋体"/>
                <w:bCs/>
                <w:sz w:val="28"/>
                <w:szCs w:val="28"/>
              </w:rPr>
            </w:pPr>
            <w:r>
              <w:rPr>
                <w:rFonts w:hint="eastAsia" w:ascii="Times New Roman" w:eastAsia="宋体" w:cs="宋体"/>
                <w:bCs/>
                <w:sz w:val="28"/>
                <w:szCs w:val="28"/>
              </w:rPr>
              <w:t>小（</w:t>
            </w:r>
            <w:r>
              <w:rPr>
                <w:rFonts w:ascii="Times New Roman" w:eastAsia="宋体"/>
                <w:bCs/>
                <w:sz w:val="28"/>
                <w:szCs w:val="28"/>
              </w:rPr>
              <w:t>2</w:t>
            </w:r>
            <w:r>
              <w:rPr>
                <w:rFonts w:hint="eastAsia" w:ascii="Times New Roman" w:eastAsia="宋体" w:cs="宋体"/>
                <w:bCs/>
                <w:sz w:val="28"/>
                <w:szCs w:val="28"/>
              </w:rPr>
              <w:t>）型</w:t>
            </w:r>
          </w:p>
        </w:tc>
        <w:tc>
          <w:tcPr>
            <w:tcW w:w="810" w:type="pct"/>
            <w:vAlign w:val="center"/>
          </w:tcPr>
          <w:p>
            <w:pPr>
              <w:jc w:val="center"/>
              <w:rPr>
                <w:rFonts w:ascii="Times New Roman" w:eastAsia="宋体"/>
                <w:b/>
                <w:sz w:val="28"/>
                <w:szCs w:val="28"/>
              </w:rPr>
            </w:pPr>
            <w:r>
              <w:rPr>
                <w:rFonts w:hint="eastAsia" w:ascii="Times New Roman" w:eastAsia="宋体" w:cs="宋体"/>
                <w:bCs/>
                <w:sz w:val="28"/>
                <w:szCs w:val="28"/>
              </w:rPr>
              <w:t>小（</w:t>
            </w:r>
            <w:r>
              <w:rPr>
                <w:rFonts w:ascii="Times New Roman" w:eastAsia="宋体"/>
                <w:bCs/>
                <w:sz w:val="28"/>
                <w:szCs w:val="28"/>
              </w:rPr>
              <w:t>1</w:t>
            </w:r>
            <w:r>
              <w:rPr>
                <w:rFonts w:hint="eastAsia" w:ascii="Times New Roman" w:eastAsia="宋体" w:cs="宋体"/>
                <w:bCs/>
                <w:sz w:val="28"/>
                <w:szCs w:val="28"/>
              </w:rPr>
              <w:t>）型</w:t>
            </w:r>
          </w:p>
        </w:tc>
        <w:tc>
          <w:tcPr>
            <w:tcW w:w="810" w:type="pct"/>
            <w:vAlign w:val="center"/>
          </w:tcPr>
          <w:p>
            <w:pPr>
              <w:jc w:val="center"/>
              <w:rPr>
                <w:rFonts w:ascii="Times New Roman" w:eastAsia="宋体"/>
                <w:b/>
                <w:sz w:val="28"/>
                <w:szCs w:val="28"/>
              </w:rPr>
            </w:pPr>
            <w:r>
              <w:rPr>
                <w:rFonts w:hint="eastAsia" w:ascii="Times New Roman" w:eastAsia="宋体" w:cs="宋体"/>
                <w:bCs/>
                <w:sz w:val="28"/>
                <w:szCs w:val="28"/>
              </w:rPr>
              <w:t>中型</w:t>
            </w:r>
          </w:p>
        </w:tc>
        <w:tc>
          <w:tcPr>
            <w:tcW w:w="810" w:type="pct"/>
            <w:vAlign w:val="center"/>
          </w:tcPr>
          <w:p>
            <w:pPr>
              <w:jc w:val="center"/>
              <w:rPr>
                <w:rFonts w:ascii="Times New Roman" w:eastAsia="宋体"/>
                <w:b/>
                <w:sz w:val="28"/>
                <w:szCs w:val="28"/>
              </w:rPr>
            </w:pPr>
            <w:r>
              <w:rPr>
                <w:rFonts w:hint="eastAsia" w:ascii="Times New Roman" w:eastAsia="宋体" w:cs="宋体"/>
                <w:bCs/>
                <w:sz w:val="28"/>
                <w:szCs w:val="28"/>
              </w:rPr>
              <w:t>大（</w:t>
            </w:r>
            <w:r>
              <w:rPr>
                <w:rFonts w:ascii="Times New Roman" w:eastAsia="宋体"/>
                <w:bCs/>
                <w:sz w:val="28"/>
                <w:szCs w:val="28"/>
              </w:rPr>
              <w:t>2</w:t>
            </w:r>
            <w:r>
              <w:rPr>
                <w:rFonts w:hint="eastAsia" w:ascii="Times New Roman" w:eastAsia="宋体" w:cs="宋体"/>
                <w:bCs/>
                <w:sz w:val="28"/>
                <w:szCs w:val="28"/>
              </w:rPr>
              <w:t>）型</w:t>
            </w:r>
          </w:p>
        </w:tc>
        <w:tc>
          <w:tcPr>
            <w:tcW w:w="812" w:type="pct"/>
            <w:vAlign w:val="center"/>
          </w:tcPr>
          <w:p>
            <w:pPr>
              <w:jc w:val="center"/>
              <w:rPr>
                <w:rFonts w:ascii="Times New Roman" w:eastAsia="宋体"/>
                <w:b/>
                <w:sz w:val="28"/>
                <w:szCs w:val="28"/>
              </w:rPr>
            </w:pPr>
            <w:r>
              <w:rPr>
                <w:rFonts w:hint="eastAsia" w:ascii="Times New Roman" w:eastAsia="宋体" w:cs="宋体"/>
                <w:bCs/>
                <w:sz w:val="28"/>
                <w:szCs w:val="28"/>
              </w:rPr>
              <w:t>大（</w:t>
            </w:r>
            <w:r>
              <w:rPr>
                <w:rFonts w:ascii="Times New Roman" w:eastAsia="宋体"/>
                <w:bCs/>
                <w:sz w:val="28"/>
                <w:szCs w:val="28"/>
              </w:rPr>
              <w:t>1</w:t>
            </w:r>
            <w:r>
              <w:rPr>
                <w:rFonts w:hint="eastAsia" w:ascii="Times New Roman" w:eastAsia="宋体" w:cs="宋体"/>
                <w:bCs/>
                <w:sz w:val="28"/>
                <w:szCs w:val="28"/>
              </w:rPr>
              <w:t>）型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948" w:type="pct"/>
            <w:vAlign w:val="center"/>
          </w:tcPr>
          <w:p>
            <w:pPr>
              <w:jc w:val="center"/>
              <w:rPr>
                <w:rFonts w:ascii="Times New Roman" w:eastAsia="宋体"/>
                <w:b/>
                <w:sz w:val="28"/>
                <w:szCs w:val="28"/>
              </w:rPr>
            </w:pPr>
            <w:r>
              <w:rPr>
                <w:rFonts w:hint="eastAsia" w:ascii="Times New Roman" w:eastAsia="宋体"/>
                <w:b/>
                <w:sz w:val="28"/>
                <w:szCs w:val="28"/>
              </w:rPr>
              <w:t>水闸工程S值</w:t>
            </w:r>
          </w:p>
        </w:tc>
        <w:tc>
          <w:tcPr>
            <w:tcW w:w="810" w:type="pct"/>
            <w:vAlign w:val="center"/>
          </w:tcPr>
          <w:p>
            <w:pPr>
              <w:jc w:val="center"/>
              <w:rPr>
                <w:rFonts w:ascii="Times New Roman" w:eastAsia="宋体"/>
                <w:bCs/>
                <w:sz w:val="28"/>
                <w:szCs w:val="28"/>
              </w:rPr>
            </w:pPr>
            <w:r>
              <w:rPr>
                <w:rFonts w:ascii="Times New Roman" w:eastAsia="宋体"/>
                <w:bCs/>
                <w:sz w:val="28"/>
                <w:szCs w:val="28"/>
              </w:rPr>
              <w:t>3</w:t>
            </w:r>
          </w:p>
        </w:tc>
        <w:tc>
          <w:tcPr>
            <w:tcW w:w="810" w:type="pct"/>
            <w:vAlign w:val="center"/>
          </w:tcPr>
          <w:p>
            <w:pPr>
              <w:jc w:val="center"/>
              <w:rPr>
                <w:rFonts w:ascii="Times New Roman" w:eastAsia="宋体"/>
                <w:bCs/>
                <w:sz w:val="28"/>
                <w:szCs w:val="28"/>
              </w:rPr>
            </w:pPr>
            <w:r>
              <w:rPr>
                <w:rFonts w:ascii="Times New Roman" w:eastAsia="宋体"/>
                <w:bCs/>
                <w:sz w:val="28"/>
                <w:szCs w:val="28"/>
              </w:rPr>
              <w:t>7</w:t>
            </w:r>
          </w:p>
        </w:tc>
        <w:tc>
          <w:tcPr>
            <w:tcW w:w="810" w:type="pct"/>
            <w:vAlign w:val="center"/>
          </w:tcPr>
          <w:p>
            <w:pPr>
              <w:jc w:val="center"/>
              <w:rPr>
                <w:rFonts w:ascii="Times New Roman" w:eastAsia="宋体"/>
                <w:bCs/>
                <w:sz w:val="28"/>
                <w:szCs w:val="28"/>
              </w:rPr>
            </w:pPr>
            <w:r>
              <w:rPr>
                <w:rFonts w:ascii="Times New Roman" w:eastAsia="宋体"/>
                <w:bCs/>
                <w:sz w:val="28"/>
                <w:szCs w:val="28"/>
              </w:rPr>
              <w:t>15</w:t>
            </w:r>
          </w:p>
        </w:tc>
        <w:tc>
          <w:tcPr>
            <w:tcW w:w="810" w:type="pct"/>
            <w:vAlign w:val="center"/>
          </w:tcPr>
          <w:p>
            <w:pPr>
              <w:jc w:val="center"/>
              <w:rPr>
                <w:rFonts w:ascii="Times New Roman" w:eastAsia="宋体"/>
                <w:bCs/>
                <w:sz w:val="28"/>
                <w:szCs w:val="28"/>
              </w:rPr>
            </w:pPr>
            <w:r>
              <w:rPr>
                <w:rFonts w:ascii="Times New Roman" w:eastAsia="宋体"/>
                <w:bCs/>
                <w:sz w:val="28"/>
                <w:szCs w:val="28"/>
              </w:rPr>
              <w:t>40</w:t>
            </w:r>
          </w:p>
        </w:tc>
        <w:tc>
          <w:tcPr>
            <w:tcW w:w="812" w:type="pct"/>
            <w:vAlign w:val="center"/>
          </w:tcPr>
          <w:p>
            <w:pPr>
              <w:jc w:val="center"/>
              <w:rPr>
                <w:rFonts w:ascii="Times New Roman" w:eastAsia="宋体"/>
                <w:bCs/>
                <w:sz w:val="28"/>
                <w:szCs w:val="28"/>
              </w:rPr>
            </w:pPr>
            <w:r>
              <w:rPr>
                <w:rFonts w:ascii="Times New Roman" w:eastAsia="宋体"/>
                <w:bCs/>
                <w:sz w:val="28"/>
                <w:szCs w:val="28"/>
              </w:rPr>
              <w:t>100</w:t>
            </w:r>
          </w:p>
        </w:tc>
      </w:tr>
    </w:tbl>
    <w:p>
      <w:pPr>
        <w:jc w:val="left"/>
        <w:rPr>
          <w:rFonts w:ascii="仿宋" w:hAnsi="仿宋" w:eastAsia="仿宋"/>
          <w:b/>
          <w:sz w:val="28"/>
          <w:szCs w:val="28"/>
        </w:rPr>
      </w:pPr>
    </w:p>
    <w:p>
      <w:pPr>
        <w:ind w:firstLine="643"/>
        <w:rPr>
          <w:rFonts w:ascii="仿宋" w:hAnsi="仿宋" w:eastAsia="仿宋"/>
          <w:b/>
          <w:sz w:val="28"/>
          <w:szCs w:val="28"/>
        </w:rPr>
      </w:pPr>
      <w:r>
        <w:rPr>
          <w:rFonts w:hint="eastAsia" w:ascii="仿宋" w:hAnsi="仿宋" w:eastAsia="仿宋"/>
          <w:b/>
          <w:sz w:val="28"/>
          <w:szCs w:val="28"/>
        </w:rPr>
        <w:t>四、一般危险源风险等级划分</w:t>
      </w:r>
    </w:p>
    <w:p>
      <w:pPr>
        <w:ind w:firstLine="560" w:firstLineChars="200"/>
        <w:rPr>
          <w:rFonts w:ascii="宋体" w:hAnsi="宋体" w:cs="宋体"/>
          <w:b/>
          <w:sz w:val="28"/>
          <w:szCs w:val="28"/>
          <w:lang w:bidi="ar"/>
        </w:rPr>
      </w:pPr>
      <w:r>
        <w:rPr>
          <w:rFonts w:hint="eastAsia" w:ascii="仿宋" w:hAnsi="仿宋" w:eastAsia="仿宋" w:cs="仿宋"/>
          <w:sz w:val="28"/>
          <w:szCs w:val="28"/>
          <w:lang w:bidi="ar"/>
        </w:rPr>
        <w:t>按照上述内容，选取或计算确定一般危险源的</w:t>
      </w:r>
      <w:r>
        <w:rPr>
          <w:rFonts w:hint="eastAsia" w:ascii="仿宋" w:hAnsi="仿宋" w:eastAsia="仿宋"/>
          <w:sz w:val="28"/>
          <w:szCs w:val="28"/>
        </w:rPr>
        <w:t>L</w:t>
      </w:r>
      <w:r>
        <w:rPr>
          <w:rFonts w:hint="eastAsia" w:ascii="仿宋" w:hAnsi="仿宋" w:eastAsia="仿宋" w:cs="仿宋"/>
          <w:sz w:val="28"/>
          <w:szCs w:val="28"/>
          <w:lang w:bidi="ar"/>
        </w:rPr>
        <w:t>、S值，由公式1计算R值，再按照表</w:t>
      </w:r>
      <w:r>
        <w:rPr>
          <w:rFonts w:ascii="仿宋" w:hAnsi="仿宋" w:eastAsia="仿宋" w:cs="仿宋"/>
          <w:sz w:val="28"/>
          <w:szCs w:val="28"/>
          <w:lang w:bidi="ar"/>
        </w:rPr>
        <w:t>5</w:t>
      </w:r>
      <w:r>
        <w:rPr>
          <w:rFonts w:hint="eastAsia" w:ascii="仿宋" w:hAnsi="仿宋" w:eastAsia="仿宋" w:cs="仿宋"/>
          <w:sz w:val="28"/>
          <w:szCs w:val="28"/>
          <w:lang w:bidi="ar"/>
        </w:rPr>
        <w:t>确定风险等级。</w:t>
      </w:r>
    </w:p>
    <w:p>
      <w:pPr>
        <w:ind w:firstLine="562" w:firstLineChars="200"/>
        <w:rPr>
          <w:rFonts w:ascii="宋体" w:hAnsi="宋体" w:cs="宋体"/>
          <w:b/>
          <w:sz w:val="28"/>
          <w:szCs w:val="28"/>
        </w:rPr>
      </w:pPr>
      <w:r>
        <w:rPr>
          <w:rFonts w:hint="eastAsia" w:ascii="宋体" w:hAnsi="宋体" w:cs="宋体"/>
          <w:b/>
          <w:sz w:val="28"/>
          <w:szCs w:val="28"/>
          <w:lang w:bidi="ar"/>
        </w:rPr>
        <w:t>表</w:t>
      </w:r>
      <w:r>
        <w:rPr>
          <w:rFonts w:ascii="宋体" w:hAnsi="宋体" w:cs="宋体"/>
          <w:b/>
          <w:sz w:val="28"/>
          <w:szCs w:val="28"/>
          <w:lang w:bidi="ar"/>
        </w:rPr>
        <w:t>5</w:t>
      </w:r>
      <w:r>
        <w:rPr>
          <w:rFonts w:hint="eastAsia" w:ascii="宋体" w:hAnsi="宋体" w:cs="宋体"/>
          <w:b/>
          <w:sz w:val="28"/>
          <w:szCs w:val="28"/>
          <w:lang w:bidi="ar"/>
        </w:rPr>
        <w:t xml:space="preserve">  一般危险源风险等级划分标准表-风险矩阵法（LS法）</w:t>
      </w:r>
    </w:p>
    <w:tbl>
      <w:tblPr>
        <w:tblStyle w:val="34"/>
        <w:tblW w:w="0" w:type="auto"/>
        <w:jc w:val="center"/>
        <w:tblLayout w:type="fixed"/>
        <w:tblCellMar>
          <w:top w:w="0" w:type="dxa"/>
          <w:left w:w="108" w:type="dxa"/>
          <w:bottom w:w="0" w:type="dxa"/>
          <w:right w:w="108" w:type="dxa"/>
        </w:tblCellMar>
      </w:tblPr>
      <w:tblGrid>
        <w:gridCol w:w="2094"/>
        <w:gridCol w:w="2412"/>
        <w:gridCol w:w="2269"/>
        <w:gridCol w:w="1747"/>
      </w:tblGrid>
      <w:tr>
        <w:tblPrEx>
          <w:tblCellMar>
            <w:top w:w="0" w:type="dxa"/>
            <w:left w:w="108" w:type="dxa"/>
            <w:bottom w:w="0" w:type="dxa"/>
            <w:right w:w="108" w:type="dxa"/>
          </w:tblCellMar>
        </w:tblPrEx>
        <w:trPr>
          <w:trHeight w:val="567" w:hRule="atLeast"/>
          <w:jc w:val="center"/>
        </w:trPr>
        <w:tc>
          <w:tcPr>
            <w:tcW w:w="209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b/>
                <w:sz w:val="28"/>
                <w:szCs w:val="28"/>
              </w:rPr>
            </w:pPr>
            <w:r>
              <w:rPr>
                <w:rFonts w:ascii="宋体" w:hAnsi="宋体" w:eastAsia="宋体"/>
                <w:b/>
                <w:sz w:val="28"/>
                <w:szCs w:val="28"/>
              </w:rPr>
              <w:t>R</w:t>
            </w:r>
            <w:r>
              <w:rPr>
                <w:rFonts w:hint="eastAsia" w:ascii="宋体" w:hAnsi="宋体" w:eastAsia="宋体" w:cs="宋体"/>
                <w:b/>
                <w:sz w:val="28"/>
                <w:szCs w:val="28"/>
              </w:rPr>
              <w:t>值区间</w:t>
            </w:r>
          </w:p>
        </w:tc>
        <w:tc>
          <w:tcPr>
            <w:tcW w:w="2412" w:type="dxa"/>
            <w:tcBorders>
              <w:top w:val="single" w:color="auto" w:sz="4" w:space="0"/>
              <w:left w:val="nil"/>
              <w:bottom w:val="single" w:color="auto" w:sz="4" w:space="0"/>
              <w:right w:val="single" w:color="000000" w:sz="4" w:space="0"/>
            </w:tcBorders>
            <w:vAlign w:val="center"/>
          </w:tcPr>
          <w:p>
            <w:pPr>
              <w:jc w:val="center"/>
              <w:rPr>
                <w:rFonts w:ascii="宋体" w:hAnsi="宋体" w:eastAsia="宋体"/>
                <w:b/>
                <w:sz w:val="28"/>
                <w:szCs w:val="28"/>
              </w:rPr>
            </w:pPr>
            <w:r>
              <w:rPr>
                <w:rFonts w:hint="eastAsia" w:ascii="宋体" w:hAnsi="宋体" w:eastAsia="宋体" w:cs="宋体"/>
                <w:b/>
                <w:sz w:val="28"/>
                <w:szCs w:val="28"/>
              </w:rPr>
              <w:t>风险程度</w:t>
            </w:r>
          </w:p>
        </w:tc>
        <w:tc>
          <w:tcPr>
            <w:tcW w:w="2269"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b/>
                <w:sz w:val="28"/>
                <w:szCs w:val="28"/>
              </w:rPr>
            </w:pPr>
            <w:r>
              <w:rPr>
                <w:rFonts w:hint="eastAsia" w:ascii="宋体" w:hAnsi="宋体" w:eastAsia="宋体" w:cs="宋体"/>
                <w:b/>
                <w:sz w:val="28"/>
                <w:szCs w:val="28"/>
              </w:rPr>
              <w:t>风险等级</w:t>
            </w:r>
          </w:p>
        </w:tc>
        <w:tc>
          <w:tcPr>
            <w:tcW w:w="1747"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b/>
                <w:sz w:val="28"/>
                <w:szCs w:val="28"/>
              </w:rPr>
            </w:pPr>
            <w:r>
              <w:rPr>
                <w:rFonts w:hint="eastAsia" w:ascii="宋体" w:hAnsi="宋体" w:eastAsia="宋体" w:cs="宋体"/>
                <w:b/>
                <w:sz w:val="28"/>
                <w:szCs w:val="28"/>
              </w:rPr>
              <w:t>颜色标示</w:t>
            </w:r>
          </w:p>
        </w:tc>
      </w:tr>
      <w:tr>
        <w:tblPrEx>
          <w:tblCellMar>
            <w:top w:w="0" w:type="dxa"/>
            <w:left w:w="108" w:type="dxa"/>
            <w:bottom w:w="0" w:type="dxa"/>
            <w:right w:w="108" w:type="dxa"/>
          </w:tblCellMar>
        </w:tblPrEx>
        <w:trPr>
          <w:trHeight w:val="567" w:hRule="atLeast"/>
          <w:jc w:val="center"/>
        </w:trPr>
        <w:tc>
          <w:tcPr>
            <w:tcW w:w="2094" w:type="dxa"/>
            <w:tcBorders>
              <w:top w:val="nil"/>
              <w:left w:val="single" w:color="auto" w:sz="4" w:space="0"/>
              <w:bottom w:val="single" w:color="auto" w:sz="4" w:space="0"/>
              <w:right w:val="single" w:color="auto" w:sz="4" w:space="0"/>
            </w:tcBorders>
            <w:vAlign w:val="center"/>
          </w:tcPr>
          <w:p>
            <w:pPr>
              <w:jc w:val="center"/>
              <w:rPr>
                <w:rFonts w:ascii="宋体" w:hAnsi="宋体" w:eastAsia="宋体"/>
                <w:bCs/>
                <w:sz w:val="28"/>
                <w:szCs w:val="28"/>
              </w:rPr>
            </w:pPr>
            <w:r>
              <w:rPr>
                <w:rFonts w:ascii="宋体" w:hAnsi="宋体" w:eastAsia="宋体"/>
                <w:sz w:val="28"/>
                <w:szCs w:val="28"/>
              </w:rPr>
              <w:t>R</w:t>
            </w:r>
            <w:r>
              <w:rPr>
                <w:rFonts w:hint="eastAsia" w:ascii="宋体" w:hAnsi="宋体" w:eastAsia="宋体" w:cs="宋体"/>
                <w:sz w:val="28"/>
                <w:szCs w:val="28"/>
              </w:rPr>
              <w:t>＞</w:t>
            </w:r>
            <w:r>
              <w:rPr>
                <w:rFonts w:ascii="宋体" w:hAnsi="宋体" w:eastAsia="宋体"/>
                <w:bCs/>
                <w:sz w:val="28"/>
                <w:szCs w:val="28"/>
              </w:rPr>
              <w:t>320</w:t>
            </w:r>
          </w:p>
        </w:tc>
        <w:tc>
          <w:tcPr>
            <w:tcW w:w="2412" w:type="dxa"/>
            <w:tcBorders>
              <w:top w:val="nil"/>
              <w:left w:val="nil"/>
              <w:bottom w:val="single" w:color="auto" w:sz="4" w:space="0"/>
              <w:right w:val="single" w:color="auto" w:sz="4" w:space="0"/>
            </w:tcBorders>
            <w:vAlign w:val="center"/>
          </w:tcPr>
          <w:p>
            <w:pPr>
              <w:jc w:val="center"/>
              <w:rPr>
                <w:rFonts w:ascii="宋体" w:hAnsi="宋体" w:eastAsia="宋体"/>
                <w:sz w:val="28"/>
                <w:szCs w:val="28"/>
              </w:rPr>
            </w:pPr>
            <w:r>
              <w:rPr>
                <w:rFonts w:hint="eastAsia" w:ascii="宋体" w:hAnsi="宋体" w:eastAsia="宋体" w:cs="宋体"/>
                <w:sz w:val="28"/>
                <w:szCs w:val="28"/>
                <w:lang w:bidi="ar"/>
              </w:rPr>
              <w:t>极其危险</w:t>
            </w:r>
          </w:p>
        </w:tc>
        <w:tc>
          <w:tcPr>
            <w:tcW w:w="2269" w:type="dxa"/>
            <w:tcBorders>
              <w:top w:val="single" w:color="000000" w:sz="4" w:space="0"/>
              <w:left w:val="single" w:color="auto" w:sz="4" w:space="0"/>
              <w:bottom w:val="single" w:color="auto" w:sz="4" w:space="0"/>
              <w:right w:val="single" w:color="auto" w:sz="4" w:space="0"/>
            </w:tcBorders>
            <w:vAlign w:val="center"/>
          </w:tcPr>
          <w:p>
            <w:pPr>
              <w:jc w:val="center"/>
              <w:rPr>
                <w:rFonts w:ascii="宋体" w:hAnsi="宋体" w:eastAsia="宋体"/>
                <w:bCs/>
                <w:sz w:val="28"/>
                <w:szCs w:val="28"/>
              </w:rPr>
            </w:pPr>
            <w:r>
              <w:rPr>
                <w:rFonts w:hint="eastAsia" w:ascii="宋体" w:hAnsi="宋体" w:eastAsia="宋体" w:cs="宋体"/>
                <w:bCs/>
                <w:sz w:val="28"/>
                <w:szCs w:val="28"/>
              </w:rPr>
              <w:t>重大风险</w:t>
            </w:r>
          </w:p>
        </w:tc>
        <w:tc>
          <w:tcPr>
            <w:tcW w:w="1747" w:type="dxa"/>
            <w:tcBorders>
              <w:top w:val="single" w:color="000000" w:sz="4" w:space="0"/>
              <w:left w:val="single" w:color="auto" w:sz="4" w:space="0"/>
              <w:bottom w:val="single" w:color="auto" w:sz="4" w:space="0"/>
              <w:right w:val="single" w:color="auto" w:sz="4" w:space="0"/>
            </w:tcBorders>
            <w:vAlign w:val="center"/>
          </w:tcPr>
          <w:p>
            <w:pPr>
              <w:jc w:val="center"/>
              <w:rPr>
                <w:rFonts w:ascii="宋体" w:hAnsi="宋体" w:eastAsia="宋体"/>
                <w:bCs/>
                <w:sz w:val="28"/>
                <w:szCs w:val="28"/>
              </w:rPr>
            </w:pPr>
            <w:r>
              <w:rPr>
                <w:rFonts w:hint="eastAsia" w:ascii="宋体" w:hAnsi="宋体" w:eastAsia="宋体" w:cs="宋体"/>
                <w:bCs/>
                <w:sz w:val="28"/>
                <w:szCs w:val="28"/>
              </w:rPr>
              <w:t>红</w:t>
            </w:r>
          </w:p>
        </w:tc>
      </w:tr>
      <w:tr>
        <w:tblPrEx>
          <w:tblCellMar>
            <w:top w:w="0" w:type="dxa"/>
            <w:left w:w="108" w:type="dxa"/>
            <w:bottom w:w="0" w:type="dxa"/>
            <w:right w:w="108" w:type="dxa"/>
          </w:tblCellMar>
        </w:tblPrEx>
        <w:trPr>
          <w:trHeight w:val="567" w:hRule="atLeast"/>
          <w:jc w:val="center"/>
        </w:trPr>
        <w:tc>
          <w:tcPr>
            <w:tcW w:w="2094" w:type="dxa"/>
            <w:tcBorders>
              <w:top w:val="nil"/>
              <w:left w:val="single" w:color="auto" w:sz="4" w:space="0"/>
              <w:bottom w:val="single" w:color="auto" w:sz="4" w:space="0"/>
              <w:right w:val="single" w:color="auto" w:sz="4" w:space="0"/>
            </w:tcBorders>
            <w:vAlign w:val="center"/>
          </w:tcPr>
          <w:p>
            <w:pPr>
              <w:jc w:val="center"/>
              <w:rPr>
                <w:rFonts w:ascii="宋体" w:hAnsi="宋体" w:eastAsia="宋体"/>
                <w:bCs/>
                <w:sz w:val="28"/>
                <w:szCs w:val="28"/>
              </w:rPr>
            </w:pPr>
            <w:r>
              <w:rPr>
                <w:rFonts w:ascii="宋体" w:hAnsi="宋体" w:eastAsia="宋体"/>
                <w:bCs/>
                <w:sz w:val="28"/>
                <w:szCs w:val="28"/>
              </w:rPr>
              <w:t>160</w:t>
            </w:r>
            <w:r>
              <w:rPr>
                <w:rFonts w:hint="eastAsia" w:ascii="宋体" w:hAnsi="宋体" w:eastAsia="宋体"/>
                <w:bCs/>
                <w:sz w:val="28"/>
                <w:szCs w:val="28"/>
              </w:rPr>
              <w:t>＜</w:t>
            </w:r>
            <w:r>
              <w:rPr>
                <w:rFonts w:ascii="宋体" w:hAnsi="宋体" w:eastAsia="宋体"/>
                <w:sz w:val="28"/>
                <w:szCs w:val="28"/>
              </w:rPr>
              <w:t>R</w:t>
            </w:r>
            <w:r>
              <w:rPr>
                <w:rFonts w:hint="eastAsia" w:ascii="宋体" w:hAnsi="宋体" w:eastAsia="宋体" w:cs="宋体"/>
                <w:sz w:val="28"/>
                <w:szCs w:val="28"/>
              </w:rPr>
              <w:t>≤</w:t>
            </w:r>
            <w:r>
              <w:rPr>
                <w:rFonts w:ascii="宋体" w:hAnsi="宋体" w:eastAsia="宋体"/>
                <w:bCs/>
                <w:sz w:val="28"/>
                <w:szCs w:val="28"/>
              </w:rPr>
              <w:t>320</w:t>
            </w:r>
          </w:p>
        </w:tc>
        <w:tc>
          <w:tcPr>
            <w:tcW w:w="2412" w:type="dxa"/>
            <w:tcBorders>
              <w:top w:val="nil"/>
              <w:left w:val="nil"/>
              <w:bottom w:val="single" w:color="auto" w:sz="4" w:space="0"/>
              <w:right w:val="single" w:color="auto" w:sz="4" w:space="0"/>
            </w:tcBorders>
            <w:vAlign w:val="center"/>
          </w:tcPr>
          <w:p>
            <w:pPr>
              <w:jc w:val="center"/>
              <w:rPr>
                <w:rFonts w:ascii="宋体" w:hAnsi="宋体" w:eastAsia="宋体"/>
                <w:sz w:val="28"/>
                <w:szCs w:val="28"/>
              </w:rPr>
            </w:pPr>
            <w:r>
              <w:rPr>
                <w:rFonts w:hint="eastAsia" w:ascii="宋体" w:hAnsi="宋体" w:eastAsia="宋体" w:cs="宋体"/>
                <w:sz w:val="28"/>
                <w:szCs w:val="28"/>
                <w:lang w:bidi="ar"/>
              </w:rPr>
              <w:t>高度危险</w:t>
            </w:r>
          </w:p>
        </w:tc>
        <w:tc>
          <w:tcPr>
            <w:tcW w:w="226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bCs/>
                <w:sz w:val="28"/>
                <w:szCs w:val="28"/>
              </w:rPr>
            </w:pPr>
            <w:r>
              <w:rPr>
                <w:rFonts w:hint="eastAsia" w:ascii="宋体" w:hAnsi="宋体" w:eastAsia="宋体" w:cs="宋体"/>
                <w:bCs/>
                <w:sz w:val="28"/>
                <w:szCs w:val="28"/>
              </w:rPr>
              <w:t>较大风险</w:t>
            </w:r>
          </w:p>
        </w:tc>
        <w:tc>
          <w:tcPr>
            <w:tcW w:w="174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bCs/>
                <w:sz w:val="28"/>
                <w:szCs w:val="28"/>
              </w:rPr>
            </w:pPr>
            <w:r>
              <w:rPr>
                <w:rFonts w:hint="eastAsia" w:ascii="宋体" w:hAnsi="宋体" w:eastAsia="宋体" w:cs="宋体"/>
                <w:bCs/>
                <w:sz w:val="28"/>
                <w:szCs w:val="28"/>
              </w:rPr>
              <w:t>橙</w:t>
            </w:r>
          </w:p>
        </w:tc>
      </w:tr>
      <w:tr>
        <w:tblPrEx>
          <w:tblCellMar>
            <w:top w:w="0" w:type="dxa"/>
            <w:left w:w="108" w:type="dxa"/>
            <w:bottom w:w="0" w:type="dxa"/>
            <w:right w:w="108" w:type="dxa"/>
          </w:tblCellMar>
        </w:tblPrEx>
        <w:trPr>
          <w:trHeight w:val="567" w:hRule="atLeast"/>
          <w:jc w:val="center"/>
        </w:trPr>
        <w:tc>
          <w:tcPr>
            <w:tcW w:w="2094" w:type="dxa"/>
            <w:tcBorders>
              <w:top w:val="nil"/>
              <w:left w:val="single" w:color="auto" w:sz="4" w:space="0"/>
              <w:bottom w:val="single" w:color="auto" w:sz="4" w:space="0"/>
              <w:right w:val="single" w:color="auto" w:sz="4" w:space="0"/>
            </w:tcBorders>
            <w:vAlign w:val="center"/>
          </w:tcPr>
          <w:p>
            <w:pPr>
              <w:jc w:val="center"/>
              <w:rPr>
                <w:rFonts w:ascii="宋体" w:hAnsi="宋体" w:eastAsia="宋体"/>
                <w:bCs/>
                <w:sz w:val="28"/>
                <w:szCs w:val="28"/>
              </w:rPr>
            </w:pPr>
            <w:r>
              <w:rPr>
                <w:rFonts w:ascii="宋体" w:hAnsi="宋体" w:eastAsia="宋体"/>
                <w:bCs/>
                <w:sz w:val="28"/>
                <w:szCs w:val="28"/>
              </w:rPr>
              <w:t>70</w:t>
            </w:r>
            <w:r>
              <w:rPr>
                <w:rFonts w:hint="eastAsia" w:ascii="宋体" w:hAnsi="宋体" w:eastAsia="宋体"/>
                <w:bCs/>
                <w:sz w:val="28"/>
                <w:szCs w:val="28"/>
              </w:rPr>
              <w:t>＜</w:t>
            </w:r>
            <w:r>
              <w:rPr>
                <w:rFonts w:ascii="宋体" w:hAnsi="宋体" w:eastAsia="宋体"/>
                <w:sz w:val="28"/>
                <w:szCs w:val="28"/>
              </w:rPr>
              <w:t>R</w:t>
            </w:r>
            <w:r>
              <w:rPr>
                <w:rFonts w:hint="eastAsia" w:ascii="宋体" w:hAnsi="宋体" w:eastAsia="宋体" w:cs="宋体"/>
                <w:sz w:val="28"/>
                <w:szCs w:val="28"/>
              </w:rPr>
              <w:t>≤</w:t>
            </w:r>
            <w:r>
              <w:rPr>
                <w:rFonts w:ascii="宋体" w:hAnsi="宋体" w:eastAsia="宋体"/>
                <w:bCs/>
                <w:sz w:val="28"/>
                <w:szCs w:val="28"/>
              </w:rPr>
              <w:t>160</w:t>
            </w:r>
          </w:p>
        </w:tc>
        <w:tc>
          <w:tcPr>
            <w:tcW w:w="2412" w:type="dxa"/>
            <w:tcBorders>
              <w:top w:val="nil"/>
              <w:left w:val="nil"/>
              <w:bottom w:val="single" w:color="auto" w:sz="4" w:space="0"/>
              <w:right w:val="single" w:color="auto" w:sz="4" w:space="0"/>
            </w:tcBorders>
            <w:vAlign w:val="center"/>
          </w:tcPr>
          <w:p>
            <w:pPr>
              <w:jc w:val="center"/>
              <w:rPr>
                <w:rFonts w:ascii="宋体" w:hAnsi="宋体" w:eastAsia="宋体"/>
                <w:sz w:val="28"/>
                <w:szCs w:val="28"/>
              </w:rPr>
            </w:pPr>
            <w:r>
              <w:rPr>
                <w:rFonts w:hint="eastAsia" w:ascii="宋体" w:hAnsi="宋体" w:eastAsia="宋体" w:cs="宋体"/>
                <w:sz w:val="28"/>
                <w:szCs w:val="28"/>
                <w:lang w:bidi="ar"/>
              </w:rPr>
              <w:t>中度危险</w:t>
            </w:r>
          </w:p>
        </w:tc>
        <w:tc>
          <w:tcPr>
            <w:tcW w:w="226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bCs/>
                <w:sz w:val="28"/>
                <w:szCs w:val="28"/>
              </w:rPr>
            </w:pPr>
            <w:r>
              <w:rPr>
                <w:rFonts w:hint="eastAsia" w:ascii="宋体" w:hAnsi="宋体" w:eastAsia="宋体" w:cs="宋体"/>
                <w:bCs/>
                <w:sz w:val="28"/>
                <w:szCs w:val="28"/>
                <w:lang w:bidi="ar"/>
              </w:rPr>
              <w:t>一般风险</w:t>
            </w:r>
          </w:p>
        </w:tc>
        <w:tc>
          <w:tcPr>
            <w:tcW w:w="174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bCs/>
                <w:sz w:val="28"/>
                <w:szCs w:val="28"/>
              </w:rPr>
            </w:pPr>
            <w:r>
              <w:rPr>
                <w:rFonts w:hint="eastAsia" w:ascii="宋体" w:hAnsi="宋体" w:eastAsia="宋体" w:cs="宋体"/>
                <w:bCs/>
                <w:sz w:val="28"/>
                <w:szCs w:val="28"/>
                <w:lang w:bidi="ar"/>
              </w:rPr>
              <w:t>黄</w:t>
            </w:r>
          </w:p>
        </w:tc>
      </w:tr>
      <w:tr>
        <w:tblPrEx>
          <w:tblCellMar>
            <w:top w:w="0" w:type="dxa"/>
            <w:left w:w="108" w:type="dxa"/>
            <w:bottom w:w="0" w:type="dxa"/>
            <w:right w:w="108" w:type="dxa"/>
          </w:tblCellMar>
        </w:tblPrEx>
        <w:trPr>
          <w:trHeight w:val="567" w:hRule="atLeast"/>
          <w:jc w:val="center"/>
        </w:trPr>
        <w:tc>
          <w:tcPr>
            <w:tcW w:w="209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bCs/>
                <w:sz w:val="28"/>
                <w:szCs w:val="28"/>
              </w:rPr>
            </w:pPr>
            <w:r>
              <w:rPr>
                <w:rFonts w:ascii="宋体" w:hAnsi="宋体" w:eastAsia="宋体"/>
                <w:sz w:val="28"/>
                <w:szCs w:val="28"/>
              </w:rPr>
              <w:t>R</w:t>
            </w:r>
            <w:r>
              <w:rPr>
                <w:rFonts w:hint="eastAsia" w:ascii="宋体" w:hAnsi="宋体" w:eastAsia="宋体" w:cs="宋体"/>
                <w:sz w:val="28"/>
                <w:szCs w:val="28"/>
              </w:rPr>
              <w:t>≤</w:t>
            </w:r>
            <w:r>
              <w:rPr>
                <w:rFonts w:ascii="宋体" w:hAnsi="宋体" w:eastAsia="宋体"/>
                <w:bCs/>
                <w:sz w:val="28"/>
                <w:szCs w:val="28"/>
              </w:rPr>
              <w:t>70</w:t>
            </w:r>
          </w:p>
        </w:tc>
        <w:tc>
          <w:tcPr>
            <w:tcW w:w="2412" w:type="dxa"/>
            <w:tcBorders>
              <w:top w:val="single" w:color="auto" w:sz="4" w:space="0"/>
              <w:left w:val="nil"/>
              <w:bottom w:val="single" w:color="auto" w:sz="4" w:space="0"/>
              <w:right w:val="single" w:color="auto" w:sz="4" w:space="0"/>
            </w:tcBorders>
            <w:vAlign w:val="center"/>
          </w:tcPr>
          <w:p>
            <w:pPr>
              <w:jc w:val="center"/>
              <w:rPr>
                <w:rFonts w:ascii="宋体" w:hAnsi="宋体" w:eastAsia="宋体"/>
                <w:sz w:val="28"/>
                <w:szCs w:val="28"/>
              </w:rPr>
            </w:pPr>
            <w:r>
              <w:rPr>
                <w:rFonts w:hint="eastAsia" w:ascii="宋体" w:hAnsi="宋体" w:eastAsia="宋体" w:cs="宋体"/>
                <w:sz w:val="28"/>
                <w:szCs w:val="28"/>
                <w:lang w:bidi="ar"/>
              </w:rPr>
              <w:t>轻度危险</w:t>
            </w:r>
          </w:p>
        </w:tc>
        <w:tc>
          <w:tcPr>
            <w:tcW w:w="226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bCs/>
                <w:sz w:val="28"/>
                <w:szCs w:val="28"/>
              </w:rPr>
            </w:pPr>
            <w:r>
              <w:rPr>
                <w:rFonts w:hint="eastAsia" w:ascii="宋体" w:hAnsi="宋体" w:eastAsia="宋体" w:cs="宋体"/>
                <w:bCs/>
                <w:sz w:val="28"/>
                <w:szCs w:val="28"/>
                <w:lang w:bidi="ar"/>
              </w:rPr>
              <w:t>低风险</w:t>
            </w:r>
          </w:p>
        </w:tc>
        <w:tc>
          <w:tcPr>
            <w:tcW w:w="174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bCs/>
                <w:sz w:val="28"/>
                <w:szCs w:val="28"/>
              </w:rPr>
            </w:pPr>
            <w:r>
              <w:rPr>
                <w:rFonts w:hint="eastAsia" w:ascii="宋体" w:hAnsi="宋体" w:eastAsia="宋体" w:cs="宋体"/>
                <w:bCs/>
                <w:sz w:val="28"/>
                <w:szCs w:val="28"/>
                <w:lang w:bidi="ar"/>
              </w:rPr>
              <w:t>蓝</w:t>
            </w:r>
          </w:p>
        </w:tc>
      </w:tr>
    </w:tbl>
    <w:p>
      <w:pPr>
        <w:spacing w:line="360" w:lineRule="auto"/>
        <w:ind w:firstLine="640" w:firstLineChars="200"/>
        <w:rPr>
          <w:rFonts w:ascii="仿宋" w:hAnsi="仿宋" w:eastAsia="仿宋" w:cs="仿宋"/>
          <w:lang w:bidi="ar"/>
        </w:rPr>
      </w:pPr>
    </w:p>
    <w:p>
      <w:pPr>
        <w:rPr>
          <w:rFonts w:cs="宋体" w:asciiTheme="minorEastAsia" w:hAnsiTheme="minorEastAsia" w:eastAsiaTheme="minorEastAsia"/>
          <w:sz w:val="21"/>
          <w:szCs w:val="21"/>
        </w:rPr>
        <w:sectPr>
          <w:pgSz w:w="11906" w:h="16838"/>
          <w:pgMar w:top="1440" w:right="1797" w:bottom="1440" w:left="1797" w:header="851" w:footer="992" w:gutter="0"/>
          <w:cols w:space="425" w:num="1"/>
          <w:docGrid w:type="lines" w:linePitch="435" w:charSpace="0"/>
        </w:sectPr>
      </w:pPr>
    </w:p>
    <w:p>
      <w:pPr>
        <w:jc w:val="center"/>
        <w:outlineLvl w:val="0"/>
        <w:rPr>
          <w:rFonts w:ascii="方正小标宋_GBK" w:hAnsi="黑体" w:eastAsia="方正小标宋_GBK"/>
          <w:b/>
          <w:bCs/>
          <w:sz w:val="28"/>
          <w:szCs w:val="28"/>
        </w:rPr>
      </w:pPr>
      <w:bookmarkStart w:id="189" w:name="_Toc119336623"/>
      <w:bookmarkStart w:id="190" w:name="_Toc117541341"/>
      <w:r>
        <w:rPr>
          <w:rFonts w:hint="eastAsia" w:ascii="方正小标宋_GBK" w:hAnsi="黑体" w:eastAsia="方正小标宋_GBK"/>
          <w:b/>
          <w:bCs/>
          <w:sz w:val="28"/>
          <w:szCs w:val="28"/>
        </w:rPr>
        <w:t>附录F.3</w:t>
      </w:r>
      <w:bookmarkEnd w:id="189"/>
      <w:bookmarkEnd w:id="190"/>
    </w:p>
    <w:p>
      <w:pPr>
        <w:jc w:val="center"/>
        <w:rPr>
          <w:rFonts w:ascii="方正小标宋_GBK" w:hAnsi="黑体" w:eastAsia="方正小标宋_GBK"/>
          <w:b/>
          <w:bCs/>
          <w:sz w:val="28"/>
          <w:szCs w:val="28"/>
        </w:rPr>
      </w:pPr>
      <w:r>
        <w:rPr>
          <w:rFonts w:hint="eastAsia" w:ascii="方正小标宋_GBK" w:hAnsi="黑体" w:eastAsia="方正小标宋_GBK"/>
          <w:b/>
          <w:bCs/>
          <w:sz w:val="28"/>
          <w:szCs w:val="28"/>
        </w:rPr>
        <w:t>（资料性附录）</w:t>
      </w:r>
    </w:p>
    <w:p>
      <w:pPr>
        <w:jc w:val="center"/>
        <w:rPr>
          <w:rFonts w:ascii="方正小标宋_GBK" w:hAnsi="黑体" w:eastAsia="方正小标宋_GBK"/>
          <w:b/>
          <w:bCs/>
          <w:sz w:val="28"/>
          <w:szCs w:val="28"/>
        </w:rPr>
      </w:pPr>
    </w:p>
    <w:p>
      <w:pPr>
        <w:jc w:val="center"/>
        <w:outlineLvl w:val="1"/>
        <w:rPr>
          <w:rFonts w:ascii="方正小标宋_GBK" w:hAnsi="黑体" w:eastAsia="方正小标宋_GBK"/>
          <w:b/>
          <w:bCs/>
          <w:sz w:val="28"/>
          <w:szCs w:val="28"/>
        </w:rPr>
      </w:pPr>
      <w:bookmarkStart w:id="191" w:name="_Toc119336624"/>
      <w:bookmarkStart w:id="192" w:name="_Toc117541342"/>
      <w:r>
        <w:rPr>
          <w:rFonts w:hint="eastAsia" w:ascii="方正小标宋_GBK" w:hAnsi="黑体" w:eastAsia="方正小标宋_GBK"/>
          <w:b/>
          <w:bCs/>
          <w:sz w:val="28"/>
          <w:szCs w:val="28"/>
        </w:rPr>
        <w:t>水电站、泵站运行一般危险源风险评价方法—风险矩阵法（LS法）</w:t>
      </w:r>
      <w:bookmarkEnd w:id="191"/>
      <w:bookmarkEnd w:id="192"/>
    </w:p>
    <w:p>
      <w:pPr>
        <w:jc w:val="center"/>
        <w:rPr>
          <w:rFonts w:ascii="方正小标宋_GBK" w:hAnsi="黑体" w:eastAsia="方正小标宋_GBK"/>
          <w:b/>
          <w:bCs/>
          <w:sz w:val="28"/>
          <w:szCs w:val="28"/>
        </w:rPr>
      </w:pPr>
    </w:p>
    <w:p>
      <w:pPr>
        <w:ind w:firstLine="640"/>
        <w:rPr>
          <w:rFonts w:ascii="黑体" w:hAnsi="黑体" w:eastAsia="黑体" w:cs="黑体"/>
          <w:bCs/>
          <w:sz w:val="28"/>
          <w:szCs w:val="28"/>
        </w:rPr>
      </w:pPr>
      <w:r>
        <w:rPr>
          <w:rFonts w:hint="eastAsia" w:ascii="黑体" w:hAnsi="黑体" w:eastAsia="黑体" w:cs="黑体"/>
          <w:bCs/>
          <w:sz w:val="28"/>
          <w:szCs w:val="28"/>
        </w:rPr>
        <w:t>一、</w:t>
      </w:r>
      <w:bookmarkStart w:id="193" w:name="_Hlk25005624"/>
      <w:r>
        <w:rPr>
          <w:rFonts w:hint="eastAsia" w:ascii="黑体" w:hAnsi="黑体" w:eastAsia="黑体" w:cs="黑体"/>
          <w:bCs/>
          <w:sz w:val="28"/>
          <w:szCs w:val="28"/>
        </w:rPr>
        <w:t>风险矩阵法</w:t>
      </w:r>
      <w:bookmarkStart w:id="194" w:name="_Hlk21768824"/>
      <w:r>
        <w:rPr>
          <w:rFonts w:hint="eastAsia" w:ascii="黑体" w:hAnsi="黑体" w:eastAsia="黑体" w:cs="黑体"/>
          <w:bCs/>
          <w:sz w:val="28"/>
          <w:szCs w:val="28"/>
        </w:rPr>
        <w:t>（LS法）</w:t>
      </w:r>
      <w:bookmarkEnd w:id="193"/>
      <w:bookmarkEnd w:id="194"/>
      <w:r>
        <w:rPr>
          <w:rFonts w:hint="eastAsia" w:ascii="黑体" w:hAnsi="黑体" w:eastAsia="黑体" w:cs="黑体"/>
          <w:bCs/>
          <w:sz w:val="28"/>
          <w:szCs w:val="28"/>
        </w:rPr>
        <w:t>的数学表达式为：</w:t>
      </w:r>
    </w:p>
    <w:p>
      <w:pPr>
        <w:ind w:firstLine="840" w:firstLineChars="300"/>
        <w:rPr>
          <w:rFonts w:eastAsia="仿宋"/>
          <w:sz w:val="28"/>
          <w:szCs w:val="28"/>
        </w:rPr>
      </w:pPr>
      <w:r>
        <w:rPr>
          <w:rFonts w:eastAsia="仿宋"/>
          <w:sz w:val="28"/>
          <w:szCs w:val="28"/>
        </w:rPr>
        <w:t>R = L×S                           （公式1）</w:t>
      </w:r>
    </w:p>
    <w:p>
      <w:pPr>
        <w:ind w:firstLine="560" w:firstLineChars="200"/>
        <w:rPr>
          <w:rFonts w:eastAsia="仿宋"/>
          <w:bCs/>
          <w:sz w:val="28"/>
          <w:szCs w:val="28"/>
        </w:rPr>
      </w:pPr>
      <w:r>
        <w:rPr>
          <w:rFonts w:eastAsia="仿宋"/>
          <w:sz w:val="28"/>
          <w:szCs w:val="28"/>
        </w:rPr>
        <w:t>式中：</w:t>
      </w:r>
      <w:r>
        <w:rPr>
          <w:rFonts w:eastAsia="仿宋"/>
          <w:bCs/>
          <w:sz w:val="28"/>
          <w:szCs w:val="28"/>
        </w:rPr>
        <w:t>R—风险值；</w:t>
      </w:r>
    </w:p>
    <w:p>
      <w:pPr>
        <w:ind w:firstLine="1400" w:firstLineChars="500"/>
        <w:rPr>
          <w:rFonts w:eastAsia="仿宋"/>
          <w:bCs/>
          <w:sz w:val="28"/>
          <w:szCs w:val="28"/>
        </w:rPr>
      </w:pPr>
      <w:r>
        <w:rPr>
          <w:rFonts w:eastAsia="仿宋"/>
          <w:bCs/>
          <w:sz w:val="28"/>
          <w:szCs w:val="28"/>
        </w:rPr>
        <w:t>L—事故发生的可能性；</w:t>
      </w:r>
    </w:p>
    <w:p>
      <w:pPr>
        <w:ind w:firstLine="1400" w:firstLineChars="500"/>
        <w:rPr>
          <w:rFonts w:eastAsia="仿宋"/>
          <w:bCs/>
          <w:sz w:val="28"/>
          <w:szCs w:val="28"/>
        </w:rPr>
      </w:pPr>
      <w:r>
        <w:rPr>
          <w:rFonts w:eastAsia="仿宋"/>
          <w:bCs/>
          <w:sz w:val="28"/>
          <w:szCs w:val="28"/>
        </w:rPr>
        <w:t>S—事故造成危害的严重程度。</w:t>
      </w:r>
    </w:p>
    <w:p>
      <w:pPr>
        <w:ind w:firstLine="640"/>
        <w:rPr>
          <w:rFonts w:ascii="黑体" w:hAnsi="黑体" w:eastAsia="黑体" w:cs="黑体"/>
          <w:bCs/>
          <w:sz w:val="28"/>
          <w:szCs w:val="28"/>
        </w:rPr>
      </w:pPr>
      <w:bookmarkStart w:id="195" w:name="_Hlk24207577"/>
      <w:r>
        <w:rPr>
          <w:rFonts w:hint="eastAsia" w:ascii="黑体" w:hAnsi="黑体" w:eastAsia="黑体" w:cs="黑体"/>
          <w:bCs/>
          <w:sz w:val="28"/>
          <w:szCs w:val="28"/>
        </w:rPr>
        <w:t>二、L值的取值过程与标准</w:t>
      </w:r>
    </w:p>
    <w:bookmarkEnd w:id="195"/>
    <w:p>
      <w:pPr>
        <w:ind w:firstLine="560" w:firstLineChars="200"/>
        <w:rPr>
          <w:rFonts w:eastAsia="仿宋"/>
          <w:sz w:val="28"/>
          <w:szCs w:val="28"/>
          <w:lang w:bidi="ar"/>
        </w:rPr>
      </w:pPr>
      <w:r>
        <w:rPr>
          <w:rFonts w:eastAsia="仿宋"/>
          <w:sz w:val="28"/>
          <w:szCs w:val="28"/>
        </w:rPr>
        <w:t>L值应由管理单位</w:t>
      </w:r>
      <w:r>
        <w:rPr>
          <w:rFonts w:eastAsia="仿宋"/>
          <w:sz w:val="28"/>
          <w:szCs w:val="28"/>
          <w:lang w:bidi="ar"/>
        </w:rPr>
        <w:t>三个管理层级（分管负责人、部门负责人、运行管理人员）、多个相关部门（运管、安全或有关部门）人员按照以下过程和标准共同确定：</w:t>
      </w:r>
    </w:p>
    <w:p>
      <w:pPr>
        <w:ind w:firstLine="562" w:firstLineChars="200"/>
        <w:rPr>
          <w:rFonts w:eastAsia="仿宋"/>
          <w:sz w:val="28"/>
          <w:szCs w:val="28"/>
          <w:lang w:bidi="ar"/>
        </w:rPr>
      </w:pPr>
      <w:r>
        <w:rPr>
          <w:rFonts w:eastAsia="仿宋"/>
          <w:b/>
          <w:bCs/>
          <w:sz w:val="28"/>
          <w:szCs w:val="28"/>
          <w:lang w:bidi="ar"/>
        </w:rPr>
        <w:t>第一步</w:t>
      </w:r>
      <w:r>
        <w:rPr>
          <w:rFonts w:eastAsia="仿宋"/>
          <w:sz w:val="28"/>
          <w:szCs w:val="28"/>
          <w:lang w:bidi="ar"/>
        </w:rPr>
        <w:t>：由每位评价人员</w:t>
      </w:r>
      <w:r>
        <w:rPr>
          <w:rFonts w:eastAsia="仿宋"/>
          <w:sz w:val="28"/>
          <w:szCs w:val="28"/>
        </w:rPr>
        <w:t>根据实际情况和表1，参照附件5、附件6初步</w:t>
      </w:r>
      <w:r>
        <w:rPr>
          <w:rFonts w:eastAsia="仿宋"/>
          <w:sz w:val="28"/>
          <w:szCs w:val="28"/>
          <w:lang w:bidi="ar"/>
        </w:rPr>
        <w:t>选取</w:t>
      </w:r>
      <w:r>
        <w:rPr>
          <w:rFonts w:eastAsia="仿宋"/>
          <w:bCs/>
          <w:sz w:val="28"/>
          <w:szCs w:val="28"/>
        </w:rPr>
        <w:t>事故发生的可能性数值</w:t>
      </w:r>
      <w:r>
        <w:rPr>
          <w:rFonts w:eastAsia="仿宋"/>
          <w:sz w:val="28"/>
          <w:szCs w:val="28"/>
          <w:lang w:bidi="ar"/>
        </w:rPr>
        <w:t>（以下用L</w:t>
      </w:r>
      <w:r>
        <w:rPr>
          <w:rFonts w:eastAsia="仿宋"/>
          <w:sz w:val="28"/>
          <w:szCs w:val="28"/>
          <w:vertAlign w:val="subscript"/>
          <w:lang w:bidi="ar"/>
        </w:rPr>
        <w:t>c</w:t>
      </w:r>
      <w:r>
        <w:rPr>
          <w:rFonts w:eastAsia="仿宋"/>
          <w:sz w:val="28"/>
          <w:szCs w:val="28"/>
          <w:lang w:bidi="ar"/>
        </w:rPr>
        <w:t>表示）；</w:t>
      </w:r>
    </w:p>
    <w:p>
      <w:pPr>
        <w:ind w:firstLine="562" w:firstLineChars="200"/>
        <w:rPr>
          <w:b/>
          <w:sz w:val="28"/>
          <w:szCs w:val="28"/>
        </w:rPr>
      </w:pPr>
      <w:r>
        <w:rPr>
          <w:b/>
          <w:sz w:val="28"/>
          <w:szCs w:val="28"/>
          <w:lang w:bidi="ar"/>
        </w:rPr>
        <w:t>表1                L值取值标准表</w:t>
      </w:r>
    </w:p>
    <w:tbl>
      <w:tblPr>
        <w:tblStyle w:val="3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7"/>
        <w:gridCol w:w="1417"/>
        <w:gridCol w:w="1418"/>
        <w:gridCol w:w="1417"/>
        <w:gridCol w:w="1701"/>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37" w:type="dxa"/>
            <w:vAlign w:val="center"/>
          </w:tcPr>
          <w:p>
            <w:pPr>
              <w:jc w:val="center"/>
              <w:rPr>
                <w:rFonts w:ascii="Times New Roman" w:eastAsia="宋体"/>
                <w:bCs/>
                <w:sz w:val="28"/>
                <w:szCs w:val="28"/>
              </w:rPr>
            </w:pPr>
          </w:p>
        </w:tc>
        <w:tc>
          <w:tcPr>
            <w:tcW w:w="1417" w:type="dxa"/>
            <w:vAlign w:val="center"/>
          </w:tcPr>
          <w:p>
            <w:pPr>
              <w:jc w:val="center"/>
              <w:rPr>
                <w:rFonts w:ascii="Times New Roman" w:eastAsia="宋体"/>
                <w:bCs/>
                <w:sz w:val="28"/>
                <w:szCs w:val="28"/>
              </w:rPr>
            </w:pPr>
            <w:r>
              <w:rPr>
                <w:rFonts w:ascii="Times New Roman" w:eastAsia="宋体"/>
                <w:bCs/>
                <w:sz w:val="28"/>
                <w:szCs w:val="28"/>
              </w:rPr>
              <w:t>一般情况下不会发生</w:t>
            </w:r>
          </w:p>
        </w:tc>
        <w:tc>
          <w:tcPr>
            <w:tcW w:w="1418" w:type="dxa"/>
            <w:vAlign w:val="center"/>
          </w:tcPr>
          <w:p>
            <w:pPr>
              <w:jc w:val="center"/>
              <w:rPr>
                <w:rFonts w:ascii="Times New Roman" w:eastAsia="宋体"/>
                <w:bCs/>
                <w:sz w:val="28"/>
                <w:szCs w:val="28"/>
              </w:rPr>
            </w:pPr>
            <w:r>
              <w:rPr>
                <w:rFonts w:ascii="Times New Roman" w:eastAsia="宋体"/>
                <w:bCs/>
                <w:sz w:val="28"/>
                <w:szCs w:val="28"/>
              </w:rPr>
              <w:t>极少情况下才发生</w:t>
            </w:r>
          </w:p>
        </w:tc>
        <w:tc>
          <w:tcPr>
            <w:tcW w:w="1417" w:type="dxa"/>
            <w:vAlign w:val="center"/>
          </w:tcPr>
          <w:p>
            <w:pPr>
              <w:jc w:val="center"/>
              <w:rPr>
                <w:rFonts w:ascii="Times New Roman" w:eastAsia="宋体"/>
                <w:bCs/>
                <w:sz w:val="28"/>
                <w:szCs w:val="28"/>
              </w:rPr>
            </w:pPr>
            <w:r>
              <w:rPr>
                <w:rFonts w:ascii="Times New Roman" w:eastAsia="宋体"/>
                <w:bCs/>
                <w:sz w:val="28"/>
                <w:szCs w:val="28"/>
              </w:rPr>
              <w:t>某些情况下发生</w:t>
            </w:r>
          </w:p>
        </w:tc>
        <w:tc>
          <w:tcPr>
            <w:tcW w:w="1701" w:type="dxa"/>
            <w:vAlign w:val="center"/>
          </w:tcPr>
          <w:p>
            <w:pPr>
              <w:jc w:val="center"/>
              <w:rPr>
                <w:rFonts w:ascii="Times New Roman" w:eastAsia="宋体"/>
                <w:bCs/>
                <w:sz w:val="28"/>
                <w:szCs w:val="28"/>
              </w:rPr>
            </w:pPr>
            <w:r>
              <w:rPr>
                <w:rFonts w:ascii="Times New Roman" w:eastAsia="宋体"/>
                <w:bCs/>
                <w:sz w:val="28"/>
                <w:szCs w:val="28"/>
              </w:rPr>
              <w:t>较多情况下发生</w:t>
            </w:r>
          </w:p>
        </w:tc>
        <w:tc>
          <w:tcPr>
            <w:tcW w:w="1418" w:type="dxa"/>
            <w:vAlign w:val="center"/>
          </w:tcPr>
          <w:p>
            <w:pPr>
              <w:jc w:val="center"/>
              <w:rPr>
                <w:rFonts w:ascii="Times New Roman" w:eastAsia="宋体"/>
                <w:bCs/>
                <w:sz w:val="28"/>
                <w:szCs w:val="28"/>
              </w:rPr>
            </w:pPr>
            <w:r>
              <w:rPr>
                <w:rFonts w:ascii="Times New Roman" w:eastAsia="宋体"/>
                <w:bCs/>
                <w:sz w:val="28"/>
                <w:szCs w:val="28"/>
              </w:rPr>
              <w:t>常常会发生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9" w:hRule="atLeast"/>
          <w:jc w:val="center"/>
        </w:trPr>
        <w:tc>
          <w:tcPr>
            <w:tcW w:w="937" w:type="dxa"/>
            <w:vAlign w:val="center"/>
          </w:tcPr>
          <w:p>
            <w:pPr>
              <w:jc w:val="center"/>
              <w:rPr>
                <w:rFonts w:ascii="Times New Roman" w:eastAsia="宋体"/>
                <w:b/>
                <w:sz w:val="28"/>
                <w:szCs w:val="28"/>
              </w:rPr>
            </w:pPr>
            <w:r>
              <w:rPr>
                <w:rFonts w:ascii="Times New Roman" w:eastAsia="宋体"/>
                <w:b/>
                <w:sz w:val="28"/>
                <w:szCs w:val="28"/>
              </w:rPr>
              <w:t>L值</w:t>
            </w:r>
          </w:p>
        </w:tc>
        <w:tc>
          <w:tcPr>
            <w:tcW w:w="1417" w:type="dxa"/>
            <w:vAlign w:val="center"/>
          </w:tcPr>
          <w:p>
            <w:pPr>
              <w:jc w:val="center"/>
              <w:rPr>
                <w:rFonts w:ascii="Times New Roman" w:eastAsia="宋体"/>
                <w:bCs/>
                <w:sz w:val="28"/>
                <w:szCs w:val="28"/>
              </w:rPr>
            </w:pPr>
            <w:r>
              <w:rPr>
                <w:rFonts w:ascii="Times New Roman" w:eastAsia="宋体"/>
                <w:bCs/>
                <w:sz w:val="28"/>
                <w:szCs w:val="28"/>
              </w:rPr>
              <w:t>5</w:t>
            </w:r>
          </w:p>
        </w:tc>
        <w:tc>
          <w:tcPr>
            <w:tcW w:w="1418" w:type="dxa"/>
            <w:vAlign w:val="center"/>
          </w:tcPr>
          <w:p>
            <w:pPr>
              <w:jc w:val="center"/>
              <w:rPr>
                <w:rFonts w:ascii="Times New Roman" w:eastAsia="宋体"/>
                <w:bCs/>
                <w:sz w:val="28"/>
                <w:szCs w:val="28"/>
              </w:rPr>
            </w:pPr>
            <w:r>
              <w:rPr>
                <w:rFonts w:ascii="Times New Roman" w:eastAsia="宋体"/>
                <w:bCs/>
                <w:sz w:val="28"/>
                <w:szCs w:val="28"/>
              </w:rPr>
              <w:t>10</w:t>
            </w:r>
          </w:p>
        </w:tc>
        <w:tc>
          <w:tcPr>
            <w:tcW w:w="1417" w:type="dxa"/>
            <w:vAlign w:val="center"/>
          </w:tcPr>
          <w:p>
            <w:pPr>
              <w:jc w:val="center"/>
              <w:rPr>
                <w:rFonts w:ascii="Times New Roman" w:eastAsia="宋体"/>
                <w:bCs/>
                <w:sz w:val="28"/>
                <w:szCs w:val="28"/>
              </w:rPr>
            </w:pPr>
            <w:r>
              <w:rPr>
                <w:rFonts w:ascii="Times New Roman" w:eastAsia="宋体"/>
                <w:bCs/>
                <w:sz w:val="28"/>
                <w:szCs w:val="28"/>
              </w:rPr>
              <w:t>30</w:t>
            </w:r>
          </w:p>
        </w:tc>
        <w:tc>
          <w:tcPr>
            <w:tcW w:w="1701" w:type="dxa"/>
            <w:vAlign w:val="center"/>
          </w:tcPr>
          <w:p>
            <w:pPr>
              <w:jc w:val="center"/>
              <w:rPr>
                <w:rFonts w:ascii="Times New Roman" w:eastAsia="宋体"/>
                <w:bCs/>
                <w:sz w:val="28"/>
                <w:szCs w:val="28"/>
              </w:rPr>
            </w:pPr>
            <w:r>
              <w:rPr>
                <w:rFonts w:ascii="Times New Roman" w:eastAsia="宋体"/>
                <w:bCs/>
                <w:sz w:val="28"/>
                <w:szCs w:val="28"/>
              </w:rPr>
              <w:t>60</w:t>
            </w:r>
          </w:p>
        </w:tc>
        <w:tc>
          <w:tcPr>
            <w:tcW w:w="1418" w:type="dxa"/>
            <w:vAlign w:val="center"/>
          </w:tcPr>
          <w:p>
            <w:pPr>
              <w:jc w:val="center"/>
              <w:rPr>
                <w:rFonts w:ascii="Times New Roman" w:eastAsia="宋体"/>
                <w:bCs/>
                <w:sz w:val="28"/>
                <w:szCs w:val="28"/>
              </w:rPr>
            </w:pPr>
            <w:r>
              <w:rPr>
                <w:rFonts w:ascii="Times New Roman" w:eastAsia="宋体"/>
                <w:bCs/>
                <w:sz w:val="28"/>
                <w:szCs w:val="28"/>
              </w:rPr>
              <w:t>100</w:t>
            </w:r>
          </w:p>
        </w:tc>
      </w:tr>
    </w:tbl>
    <w:p>
      <w:pPr>
        <w:ind w:firstLine="562" w:firstLineChars="200"/>
        <w:rPr>
          <w:rFonts w:eastAsia="仿宋"/>
          <w:sz w:val="28"/>
          <w:szCs w:val="28"/>
          <w:lang w:bidi="ar"/>
        </w:rPr>
      </w:pPr>
      <w:r>
        <w:rPr>
          <w:rFonts w:eastAsia="仿宋"/>
          <w:b/>
          <w:bCs/>
          <w:sz w:val="28"/>
          <w:szCs w:val="28"/>
          <w:lang w:bidi="ar"/>
        </w:rPr>
        <w:t>第二步</w:t>
      </w:r>
      <w:r>
        <w:rPr>
          <w:rFonts w:eastAsia="仿宋"/>
          <w:sz w:val="28"/>
          <w:szCs w:val="28"/>
          <w:lang w:bidi="ar"/>
        </w:rPr>
        <w:t>：分别计算出三个管理层级中，每一层级内所有人员所取L</w:t>
      </w:r>
      <w:r>
        <w:rPr>
          <w:rFonts w:eastAsia="仿宋"/>
          <w:sz w:val="28"/>
          <w:szCs w:val="28"/>
          <w:vertAlign w:val="subscript"/>
          <w:lang w:bidi="ar"/>
        </w:rPr>
        <w:t>c</w:t>
      </w:r>
      <w:r>
        <w:rPr>
          <w:rFonts w:eastAsia="仿宋"/>
          <w:sz w:val="28"/>
          <w:szCs w:val="28"/>
          <w:lang w:bidi="ar"/>
        </w:rPr>
        <w:t>值的算术平均数L</w:t>
      </w:r>
      <w:r>
        <w:rPr>
          <w:rFonts w:eastAsia="仿宋"/>
          <w:sz w:val="28"/>
          <w:szCs w:val="28"/>
          <w:vertAlign w:val="subscript"/>
          <w:lang w:bidi="ar"/>
        </w:rPr>
        <w:t>j1</w:t>
      </w:r>
      <w:r>
        <w:rPr>
          <w:rFonts w:eastAsia="仿宋"/>
          <w:sz w:val="28"/>
          <w:szCs w:val="28"/>
          <w:lang w:bidi="ar"/>
        </w:rPr>
        <w:t>、L</w:t>
      </w:r>
      <w:r>
        <w:rPr>
          <w:rFonts w:eastAsia="仿宋"/>
          <w:sz w:val="28"/>
          <w:szCs w:val="28"/>
          <w:vertAlign w:val="subscript"/>
          <w:lang w:bidi="ar"/>
        </w:rPr>
        <w:t>j2</w:t>
      </w:r>
      <w:r>
        <w:rPr>
          <w:rFonts w:eastAsia="仿宋"/>
          <w:sz w:val="28"/>
          <w:szCs w:val="28"/>
          <w:lang w:bidi="ar"/>
        </w:rPr>
        <w:t>、L</w:t>
      </w:r>
      <w:r>
        <w:rPr>
          <w:rFonts w:eastAsia="仿宋"/>
          <w:sz w:val="28"/>
          <w:szCs w:val="28"/>
          <w:vertAlign w:val="subscript"/>
          <w:lang w:bidi="ar"/>
        </w:rPr>
        <w:t>j3</w:t>
      </w:r>
      <w:r>
        <w:rPr>
          <w:rFonts w:eastAsia="仿宋"/>
          <w:sz w:val="28"/>
          <w:szCs w:val="28"/>
          <w:lang w:bidi="ar"/>
        </w:rPr>
        <w:t>。</w:t>
      </w:r>
    </w:p>
    <w:p>
      <w:pPr>
        <w:ind w:firstLine="560" w:firstLineChars="200"/>
        <w:rPr>
          <w:rFonts w:eastAsia="仿宋"/>
          <w:sz w:val="28"/>
          <w:szCs w:val="28"/>
          <w:lang w:bidi="ar"/>
        </w:rPr>
      </w:pPr>
      <w:r>
        <w:rPr>
          <w:rFonts w:eastAsia="仿宋"/>
          <w:sz w:val="28"/>
          <w:szCs w:val="28"/>
          <w:lang w:bidi="ar"/>
        </w:rPr>
        <w:t>其中：j1代表分管负责人层级；</w:t>
      </w:r>
    </w:p>
    <w:p>
      <w:pPr>
        <w:ind w:firstLine="1400" w:firstLineChars="500"/>
        <w:rPr>
          <w:rFonts w:eastAsia="仿宋"/>
          <w:sz w:val="28"/>
          <w:szCs w:val="28"/>
          <w:lang w:bidi="ar"/>
        </w:rPr>
      </w:pPr>
      <w:r>
        <w:rPr>
          <w:rFonts w:eastAsia="仿宋"/>
          <w:sz w:val="28"/>
          <w:szCs w:val="28"/>
          <w:lang w:bidi="ar"/>
        </w:rPr>
        <w:t>j2代表部门负责人层级；</w:t>
      </w:r>
    </w:p>
    <w:p>
      <w:pPr>
        <w:ind w:firstLine="1400" w:firstLineChars="500"/>
        <w:rPr>
          <w:rFonts w:eastAsia="仿宋"/>
          <w:sz w:val="28"/>
          <w:szCs w:val="28"/>
          <w:lang w:bidi="ar"/>
        </w:rPr>
      </w:pPr>
      <w:r>
        <w:rPr>
          <w:rFonts w:eastAsia="仿宋"/>
          <w:sz w:val="28"/>
          <w:szCs w:val="28"/>
          <w:lang w:bidi="ar"/>
        </w:rPr>
        <w:t>j3代表</w:t>
      </w:r>
      <w:r>
        <w:rPr>
          <w:rFonts w:hint="eastAsia" w:eastAsia="仿宋"/>
          <w:sz w:val="28"/>
          <w:szCs w:val="28"/>
          <w:lang w:bidi="ar"/>
        </w:rPr>
        <w:t>运行</w:t>
      </w:r>
      <w:r>
        <w:rPr>
          <w:rFonts w:eastAsia="仿宋"/>
          <w:sz w:val="28"/>
          <w:szCs w:val="28"/>
          <w:lang w:bidi="ar"/>
        </w:rPr>
        <w:t>管理人员层级；</w:t>
      </w:r>
    </w:p>
    <w:p>
      <w:pPr>
        <w:ind w:firstLine="562" w:firstLineChars="200"/>
        <w:rPr>
          <w:rFonts w:eastAsia="仿宋"/>
          <w:sz w:val="28"/>
          <w:szCs w:val="28"/>
          <w:lang w:bidi="ar"/>
        </w:rPr>
      </w:pPr>
      <w:r>
        <w:rPr>
          <w:rFonts w:eastAsia="仿宋"/>
          <w:b/>
          <w:bCs/>
          <w:sz w:val="28"/>
          <w:szCs w:val="28"/>
          <w:lang w:bidi="ar"/>
        </w:rPr>
        <w:t>第三步</w:t>
      </w:r>
      <w:r>
        <w:rPr>
          <w:rFonts w:eastAsia="仿宋"/>
          <w:sz w:val="28"/>
          <w:szCs w:val="28"/>
          <w:lang w:bidi="ar"/>
        </w:rPr>
        <w:t>：按照下式计算得出L的最终值。</w:t>
      </w:r>
    </w:p>
    <w:p>
      <w:pPr>
        <w:ind w:firstLine="1400" w:firstLineChars="500"/>
        <w:rPr>
          <w:rFonts w:eastAsia="仿宋"/>
          <w:sz w:val="28"/>
          <w:szCs w:val="28"/>
          <w:lang w:bidi="ar"/>
        </w:rPr>
      </w:pPr>
      <w:r>
        <w:rPr>
          <w:rFonts w:eastAsia="仿宋"/>
          <w:sz w:val="28"/>
          <w:szCs w:val="28"/>
        </w:rPr>
        <w:t>L=0.3×</w:t>
      </w:r>
      <w:r>
        <w:rPr>
          <w:rFonts w:eastAsia="仿宋"/>
          <w:sz w:val="28"/>
          <w:szCs w:val="28"/>
          <w:lang w:bidi="ar"/>
        </w:rPr>
        <w:t>L</w:t>
      </w:r>
      <w:r>
        <w:rPr>
          <w:rFonts w:eastAsia="仿宋"/>
          <w:sz w:val="28"/>
          <w:szCs w:val="28"/>
          <w:vertAlign w:val="subscript"/>
          <w:lang w:bidi="ar"/>
        </w:rPr>
        <w:t>j1</w:t>
      </w:r>
      <w:r>
        <w:rPr>
          <w:rFonts w:eastAsia="仿宋"/>
          <w:sz w:val="28"/>
          <w:szCs w:val="28"/>
        </w:rPr>
        <w:t>+0.5×</w:t>
      </w:r>
      <w:r>
        <w:rPr>
          <w:rFonts w:eastAsia="仿宋"/>
          <w:sz w:val="28"/>
          <w:szCs w:val="28"/>
          <w:lang w:bidi="ar"/>
        </w:rPr>
        <w:t>L</w:t>
      </w:r>
      <w:r>
        <w:rPr>
          <w:rFonts w:eastAsia="仿宋"/>
          <w:sz w:val="28"/>
          <w:szCs w:val="28"/>
          <w:vertAlign w:val="subscript"/>
          <w:lang w:bidi="ar"/>
        </w:rPr>
        <w:t>j2</w:t>
      </w:r>
      <w:r>
        <w:rPr>
          <w:rFonts w:eastAsia="仿宋"/>
          <w:sz w:val="28"/>
          <w:szCs w:val="28"/>
        </w:rPr>
        <w:t>+0.2×</w:t>
      </w:r>
      <w:r>
        <w:rPr>
          <w:rFonts w:eastAsia="仿宋"/>
          <w:sz w:val="28"/>
          <w:szCs w:val="28"/>
          <w:lang w:bidi="ar"/>
        </w:rPr>
        <w:t>L</w:t>
      </w:r>
      <w:r>
        <w:rPr>
          <w:rFonts w:eastAsia="仿宋"/>
          <w:sz w:val="28"/>
          <w:szCs w:val="28"/>
          <w:vertAlign w:val="subscript"/>
          <w:lang w:bidi="ar"/>
        </w:rPr>
        <w:t>j3</w:t>
      </w:r>
      <w:r>
        <w:rPr>
          <w:rFonts w:eastAsia="仿宋"/>
          <w:sz w:val="28"/>
          <w:szCs w:val="28"/>
          <w:lang w:bidi="ar"/>
        </w:rPr>
        <w:t xml:space="preserve">          （公式2）</w:t>
      </w:r>
    </w:p>
    <w:p>
      <w:pPr>
        <w:ind w:firstLine="640"/>
        <w:rPr>
          <w:rFonts w:ascii="黑体" w:hAnsi="黑体" w:eastAsia="黑体" w:cs="黑体"/>
          <w:bCs/>
          <w:sz w:val="28"/>
          <w:szCs w:val="28"/>
        </w:rPr>
      </w:pPr>
      <w:r>
        <w:rPr>
          <w:rFonts w:hint="eastAsia" w:ascii="黑体" w:hAnsi="黑体" w:eastAsia="黑体" w:cs="黑体"/>
          <w:bCs/>
          <w:sz w:val="28"/>
          <w:szCs w:val="28"/>
        </w:rPr>
        <w:t>三、S值取值标准</w:t>
      </w:r>
    </w:p>
    <w:p>
      <w:pPr>
        <w:ind w:firstLine="560" w:firstLineChars="200"/>
        <w:rPr>
          <w:rFonts w:ascii="仿宋" w:hAnsi="仿宋" w:eastAsia="仿宋" w:cs="仿宋"/>
          <w:sz w:val="28"/>
          <w:szCs w:val="28"/>
          <w:lang w:bidi="ar"/>
        </w:rPr>
      </w:pPr>
      <w:r>
        <w:rPr>
          <w:rFonts w:hint="eastAsia" w:ascii="仿宋" w:hAnsi="仿宋" w:eastAsia="仿宋" w:cs="仿宋"/>
          <w:sz w:val="28"/>
          <w:szCs w:val="28"/>
          <w:lang w:bidi="ar"/>
        </w:rPr>
        <w:t>对于坝后式水电站宜综合考虑水库水位H和工程规模M两个因素，用两者的乘积值V所在区间作为S取值的依据。V值应按照表2计算，S值应按照表3取值。</w:t>
      </w:r>
    </w:p>
    <w:p>
      <w:pPr>
        <w:ind w:firstLine="562" w:firstLineChars="200"/>
        <w:rPr>
          <w:rFonts w:ascii="宋体" w:hAnsi="宋体" w:cs="宋体"/>
          <w:b/>
          <w:sz w:val="28"/>
          <w:szCs w:val="28"/>
        </w:rPr>
      </w:pPr>
      <w:r>
        <w:rPr>
          <w:rFonts w:hint="eastAsia" w:ascii="宋体" w:hAnsi="宋体" w:cs="宋体"/>
          <w:b/>
          <w:sz w:val="28"/>
          <w:szCs w:val="28"/>
          <w:lang w:bidi="ar"/>
        </w:rPr>
        <w:t xml:space="preserve">表2    </w:t>
      </w:r>
      <w:r>
        <w:rPr>
          <w:rFonts w:ascii="宋体" w:hAnsi="宋体" w:cs="宋体"/>
          <w:b/>
          <w:sz w:val="28"/>
          <w:szCs w:val="28"/>
          <w:lang w:bidi="ar"/>
        </w:rPr>
        <w:t xml:space="preserve">  </w:t>
      </w:r>
      <w:r>
        <w:rPr>
          <w:rFonts w:hint="eastAsia" w:ascii="宋体" w:hAnsi="宋体" w:cs="宋体"/>
          <w:b/>
          <w:sz w:val="28"/>
          <w:szCs w:val="28"/>
          <w:lang w:bidi="ar"/>
        </w:rPr>
        <w:t xml:space="preserve">          V值计算表</w:t>
      </w:r>
    </w:p>
    <w:tbl>
      <w:tblPr>
        <w:tblStyle w:val="34"/>
        <w:tblW w:w="846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397"/>
        <w:gridCol w:w="851"/>
        <w:gridCol w:w="843"/>
        <w:gridCol w:w="844"/>
        <w:gridCol w:w="843"/>
        <w:gridCol w:w="844"/>
        <w:gridCol w:w="8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14" w:hRule="atLeast"/>
          <w:jc w:val="center"/>
        </w:trPr>
        <w:tc>
          <w:tcPr>
            <w:tcW w:w="4248" w:type="dxa"/>
            <w:gridSpan w:val="2"/>
            <w:vMerge w:val="restart"/>
            <w:tcBorders>
              <w:top w:val="single" w:color="auto" w:sz="4" w:space="0"/>
              <w:left w:val="single" w:color="auto" w:sz="4" w:space="0"/>
              <w:bottom w:val="single" w:color="auto" w:sz="4" w:space="0"/>
              <w:right w:val="single" w:color="auto" w:sz="4" w:space="0"/>
              <w:tl2br w:val="single" w:color="auto" w:sz="4" w:space="0"/>
            </w:tcBorders>
            <w:vAlign w:val="center"/>
          </w:tcPr>
          <w:p>
            <w:pPr>
              <w:rPr>
                <w:rFonts w:ascii="Times New Roman" w:eastAsia="宋体"/>
                <w:sz w:val="21"/>
                <w:szCs w:val="21"/>
              </w:rPr>
            </w:pPr>
            <w:r>
              <w:rPr>
                <w:rFonts w:ascii="Times New Roman" w:eastAsia="宋体"/>
                <w:sz w:val="21"/>
                <w:szCs w:val="21"/>
              </w:rPr>
              <w:t xml:space="preserve">                      </w:t>
            </w:r>
            <w:r>
              <w:rPr>
                <w:rFonts w:hint="eastAsia" w:ascii="Times New Roman" w:eastAsia="宋体" w:cs="宋体"/>
                <w:sz w:val="21"/>
                <w:szCs w:val="21"/>
              </w:rPr>
              <w:t>工程规模</w:t>
            </w:r>
            <w:r>
              <w:rPr>
                <w:rFonts w:ascii="Times New Roman" w:eastAsia="宋体"/>
                <w:sz w:val="21"/>
                <w:szCs w:val="21"/>
              </w:rPr>
              <w:t>M</w:t>
            </w:r>
          </w:p>
          <w:p>
            <w:pPr>
              <w:rPr>
                <w:rFonts w:ascii="Times New Roman" w:eastAsia="宋体"/>
                <w:sz w:val="21"/>
                <w:szCs w:val="21"/>
              </w:rPr>
            </w:pPr>
            <w:r>
              <w:rPr>
                <w:rFonts w:hint="eastAsia" w:ascii="Times New Roman" w:eastAsia="宋体" w:cs="宋体"/>
                <w:sz w:val="21"/>
                <w:szCs w:val="21"/>
              </w:rPr>
              <w:t>水库水位</w:t>
            </w:r>
            <w:r>
              <w:rPr>
                <w:rFonts w:ascii="Times New Roman" w:eastAsia="宋体"/>
                <w:sz w:val="21"/>
                <w:szCs w:val="21"/>
              </w:rPr>
              <w:t>H</w:t>
            </w:r>
          </w:p>
        </w:tc>
        <w:tc>
          <w:tcPr>
            <w:tcW w:w="843" w:type="dxa"/>
            <w:tcBorders>
              <w:top w:val="single" w:color="auto" w:sz="4" w:space="0"/>
              <w:left w:val="single" w:color="auto" w:sz="4" w:space="0"/>
              <w:bottom w:val="single" w:color="auto" w:sz="4" w:space="0"/>
              <w:right w:val="single" w:color="auto" w:sz="4" w:space="0"/>
            </w:tcBorders>
            <w:vAlign w:val="center"/>
          </w:tcPr>
          <w:p>
            <w:pPr>
              <w:jc w:val="center"/>
              <w:rPr>
                <w:sz w:val="21"/>
                <w:szCs w:val="21"/>
              </w:rPr>
            </w:pPr>
            <w:r>
              <w:rPr>
                <w:rFonts w:hint="eastAsia" w:cs="宋体"/>
                <w:sz w:val="21"/>
                <w:szCs w:val="21"/>
                <w:lang w:bidi="ar"/>
              </w:rPr>
              <w:t>小（</w:t>
            </w:r>
            <w:r>
              <w:rPr>
                <w:sz w:val="21"/>
                <w:szCs w:val="21"/>
                <w:lang w:bidi="ar"/>
              </w:rPr>
              <w:t>2</w:t>
            </w:r>
            <w:r>
              <w:rPr>
                <w:rFonts w:hint="eastAsia" w:cs="宋体"/>
                <w:sz w:val="21"/>
                <w:szCs w:val="21"/>
                <w:lang w:bidi="ar"/>
              </w:rPr>
              <w:t>）型</w:t>
            </w:r>
          </w:p>
        </w:tc>
        <w:tc>
          <w:tcPr>
            <w:tcW w:w="844" w:type="dxa"/>
            <w:tcBorders>
              <w:top w:val="single" w:color="auto" w:sz="4" w:space="0"/>
              <w:left w:val="single" w:color="auto" w:sz="4" w:space="0"/>
              <w:bottom w:val="single" w:color="auto" w:sz="4" w:space="0"/>
              <w:right w:val="single" w:color="auto" w:sz="4" w:space="0"/>
            </w:tcBorders>
            <w:vAlign w:val="center"/>
          </w:tcPr>
          <w:p>
            <w:pPr>
              <w:jc w:val="center"/>
              <w:rPr>
                <w:sz w:val="21"/>
                <w:szCs w:val="21"/>
              </w:rPr>
            </w:pPr>
            <w:r>
              <w:rPr>
                <w:rFonts w:hint="eastAsia" w:cs="宋体"/>
                <w:sz w:val="21"/>
                <w:szCs w:val="21"/>
                <w:lang w:bidi="ar"/>
              </w:rPr>
              <w:t>小（</w:t>
            </w:r>
            <w:r>
              <w:rPr>
                <w:sz w:val="21"/>
                <w:szCs w:val="21"/>
                <w:lang w:bidi="ar"/>
              </w:rPr>
              <w:t>1</w:t>
            </w:r>
            <w:r>
              <w:rPr>
                <w:rFonts w:hint="eastAsia" w:cs="宋体"/>
                <w:sz w:val="21"/>
                <w:szCs w:val="21"/>
                <w:lang w:bidi="ar"/>
              </w:rPr>
              <w:t>）型</w:t>
            </w:r>
          </w:p>
        </w:tc>
        <w:tc>
          <w:tcPr>
            <w:tcW w:w="843" w:type="dxa"/>
            <w:tcBorders>
              <w:top w:val="single" w:color="auto" w:sz="4" w:space="0"/>
              <w:left w:val="single" w:color="auto" w:sz="4" w:space="0"/>
              <w:bottom w:val="single" w:color="auto" w:sz="4" w:space="0"/>
              <w:right w:val="single" w:color="auto" w:sz="4" w:space="0"/>
            </w:tcBorders>
            <w:vAlign w:val="center"/>
          </w:tcPr>
          <w:p>
            <w:pPr>
              <w:jc w:val="center"/>
              <w:rPr>
                <w:sz w:val="21"/>
                <w:szCs w:val="21"/>
              </w:rPr>
            </w:pPr>
            <w:r>
              <w:rPr>
                <w:rFonts w:hint="eastAsia" w:cs="宋体"/>
                <w:sz w:val="21"/>
                <w:szCs w:val="21"/>
                <w:lang w:bidi="ar"/>
              </w:rPr>
              <w:t>中型</w:t>
            </w:r>
          </w:p>
        </w:tc>
        <w:tc>
          <w:tcPr>
            <w:tcW w:w="844" w:type="dxa"/>
            <w:tcBorders>
              <w:top w:val="single" w:color="auto" w:sz="4" w:space="0"/>
              <w:left w:val="single" w:color="auto" w:sz="4" w:space="0"/>
              <w:bottom w:val="single" w:color="auto" w:sz="4" w:space="0"/>
              <w:right w:val="single" w:color="auto" w:sz="4" w:space="0"/>
            </w:tcBorders>
            <w:vAlign w:val="center"/>
          </w:tcPr>
          <w:p>
            <w:pPr>
              <w:jc w:val="center"/>
              <w:rPr>
                <w:sz w:val="21"/>
                <w:szCs w:val="21"/>
              </w:rPr>
            </w:pPr>
            <w:r>
              <w:rPr>
                <w:rFonts w:hint="eastAsia" w:cs="宋体"/>
                <w:sz w:val="21"/>
                <w:szCs w:val="21"/>
                <w:lang w:bidi="ar"/>
              </w:rPr>
              <w:t>大（</w:t>
            </w:r>
            <w:r>
              <w:rPr>
                <w:sz w:val="21"/>
                <w:szCs w:val="21"/>
                <w:lang w:bidi="ar"/>
              </w:rPr>
              <w:t>2</w:t>
            </w:r>
            <w:r>
              <w:rPr>
                <w:rFonts w:hint="eastAsia" w:cs="宋体"/>
                <w:sz w:val="21"/>
                <w:szCs w:val="21"/>
                <w:lang w:bidi="ar"/>
              </w:rPr>
              <w:t>）型</w:t>
            </w:r>
          </w:p>
        </w:tc>
        <w:tc>
          <w:tcPr>
            <w:tcW w:w="844" w:type="dxa"/>
            <w:tcBorders>
              <w:top w:val="single" w:color="auto" w:sz="4" w:space="0"/>
              <w:left w:val="single" w:color="auto" w:sz="4" w:space="0"/>
              <w:bottom w:val="single" w:color="auto" w:sz="4" w:space="0"/>
              <w:right w:val="single" w:color="auto" w:sz="4" w:space="0"/>
            </w:tcBorders>
            <w:vAlign w:val="center"/>
          </w:tcPr>
          <w:p>
            <w:pPr>
              <w:jc w:val="center"/>
              <w:rPr>
                <w:sz w:val="21"/>
                <w:szCs w:val="21"/>
              </w:rPr>
            </w:pPr>
            <w:r>
              <w:rPr>
                <w:rFonts w:hint="eastAsia" w:cs="宋体"/>
                <w:sz w:val="21"/>
                <w:szCs w:val="21"/>
                <w:lang w:bidi="ar"/>
              </w:rPr>
              <w:t>大（</w:t>
            </w:r>
            <w:r>
              <w:rPr>
                <w:sz w:val="21"/>
                <w:szCs w:val="21"/>
                <w:lang w:bidi="ar"/>
              </w:rPr>
              <w:t>1</w:t>
            </w:r>
            <w:r>
              <w:rPr>
                <w:rFonts w:hint="eastAsia" w:cs="宋体"/>
                <w:sz w:val="21"/>
                <w:szCs w:val="21"/>
                <w:lang w:bidi="ar"/>
              </w:rPr>
              <w:t>）型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7" w:hRule="atLeast"/>
          <w:jc w:val="center"/>
        </w:trPr>
        <w:tc>
          <w:tcPr>
            <w:tcW w:w="4248" w:type="dxa"/>
            <w:gridSpan w:val="2"/>
            <w:vMerge w:val="continue"/>
            <w:tcBorders>
              <w:top w:val="single" w:color="auto" w:sz="4" w:space="0"/>
              <w:left w:val="single" w:color="auto" w:sz="4" w:space="0"/>
              <w:bottom w:val="single" w:color="auto" w:sz="4" w:space="0"/>
              <w:right w:val="single" w:color="auto" w:sz="4" w:space="0"/>
              <w:tl2br w:val="single" w:color="auto" w:sz="4" w:space="0"/>
            </w:tcBorders>
            <w:vAlign w:val="center"/>
          </w:tcPr>
          <w:p>
            <w:pPr>
              <w:rPr>
                <w:sz w:val="21"/>
                <w:szCs w:val="21"/>
              </w:rPr>
            </w:pPr>
          </w:p>
        </w:tc>
        <w:tc>
          <w:tcPr>
            <w:tcW w:w="843"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eastAsia="宋体"/>
                <w:b/>
                <w:bCs/>
                <w:sz w:val="21"/>
                <w:szCs w:val="21"/>
              </w:rPr>
            </w:pPr>
            <w:r>
              <w:rPr>
                <w:rFonts w:hint="eastAsia" w:ascii="Times New Roman" w:eastAsia="宋体" w:cs="宋体"/>
                <w:b/>
                <w:bCs/>
                <w:sz w:val="21"/>
                <w:szCs w:val="21"/>
              </w:rPr>
              <w:t>取值</w:t>
            </w:r>
            <w:r>
              <w:rPr>
                <w:rFonts w:ascii="Times New Roman" w:eastAsia="宋体"/>
                <w:b/>
                <w:bCs/>
                <w:sz w:val="21"/>
                <w:szCs w:val="21"/>
              </w:rPr>
              <w:t>1</w:t>
            </w:r>
          </w:p>
        </w:tc>
        <w:tc>
          <w:tcPr>
            <w:tcW w:w="84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eastAsia="宋体"/>
                <w:b/>
                <w:bCs/>
                <w:sz w:val="21"/>
                <w:szCs w:val="21"/>
              </w:rPr>
            </w:pPr>
            <w:r>
              <w:rPr>
                <w:rFonts w:hint="eastAsia" w:ascii="Times New Roman" w:eastAsia="宋体" w:cs="宋体"/>
                <w:b/>
                <w:bCs/>
                <w:sz w:val="21"/>
                <w:szCs w:val="21"/>
              </w:rPr>
              <w:t>取值</w:t>
            </w:r>
            <w:r>
              <w:rPr>
                <w:rFonts w:ascii="Times New Roman" w:eastAsia="宋体"/>
                <w:b/>
                <w:bCs/>
                <w:sz w:val="21"/>
                <w:szCs w:val="21"/>
              </w:rPr>
              <w:t>2</w:t>
            </w:r>
          </w:p>
        </w:tc>
        <w:tc>
          <w:tcPr>
            <w:tcW w:w="843"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eastAsia="宋体"/>
                <w:b/>
                <w:bCs/>
                <w:sz w:val="21"/>
                <w:szCs w:val="21"/>
              </w:rPr>
            </w:pPr>
            <w:r>
              <w:rPr>
                <w:rFonts w:hint="eastAsia" w:ascii="Times New Roman" w:eastAsia="宋体" w:cs="宋体"/>
                <w:b/>
                <w:bCs/>
                <w:sz w:val="21"/>
                <w:szCs w:val="21"/>
              </w:rPr>
              <w:t>取值</w:t>
            </w:r>
            <w:r>
              <w:rPr>
                <w:rFonts w:ascii="Times New Roman" w:eastAsia="宋体"/>
                <w:b/>
                <w:bCs/>
                <w:sz w:val="21"/>
                <w:szCs w:val="21"/>
              </w:rPr>
              <w:t>3</w:t>
            </w:r>
          </w:p>
        </w:tc>
        <w:tc>
          <w:tcPr>
            <w:tcW w:w="84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eastAsia="宋体"/>
                <w:b/>
                <w:bCs/>
                <w:sz w:val="21"/>
                <w:szCs w:val="21"/>
              </w:rPr>
            </w:pPr>
            <w:r>
              <w:rPr>
                <w:rFonts w:hint="eastAsia" w:ascii="Times New Roman" w:eastAsia="宋体" w:cs="宋体"/>
                <w:b/>
                <w:bCs/>
                <w:sz w:val="21"/>
                <w:szCs w:val="21"/>
              </w:rPr>
              <w:t>取值</w:t>
            </w:r>
            <w:r>
              <w:rPr>
                <w:rFonts w:ascii="Times New Roman" w:eastAsia="宋体"/>
                <w:b/>
                <w:bCs/>
                <w:sz w:val="21"/>
                <w:szCs w:val="21"/>
              </w:rPr>
              <w:t>4</w:t>
            </w:r>
          </w:p>
        </w:tc>
        <w:tc>
          <w:tcPr>
            <w:tcW w:w="84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eastAsia="宋体"/>
                <w:b/>
                <w:bCs/>
                <w:sz w:val="21"/>
                <w:szCs w:val="21"/>
              </w:rPr>
            </w:pPr>
            <w:r>
              <w:rPr>
                <w:rFonts w:hint="eastAsia" w:ascii="Times New Roman" w:eastAsia="宋体" w:cs="宋体"/>
                <w:b/>
                <w:bCs/>
                <w:sz w:val="21"/>
                <w:szCs w:val="21"/>
              </w:rPr>
              <w:t>取值</w:t>
            </w:r>
            <w:r>
              <w:rPr>
                <w:rFonts w:ascii="Times New Roman" w:eastAsia="宋体"/>
                <w:b/>
                <w:bCs/>
                <w:sz w:val="21"/>
                <w:szCs w:val="21"/>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339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sz w:val="21"/>
                <w:szCs w:val="21"/>
              </w:rPr>
            </w:pPr>
            <w:r>
              <w:rPr>
                <w:rFonts w:ascii="宋体" w:hAnsi="宋体" w:eastAsia="宋体"/>
                <w:sz w:val="21"/>
                <w:szCs w:val="21"/>
                <w:lang w:bidi="ar"/>
              </w:rPr>
              <w:t>H</w:t>
            </w:r>
            <w:r>
              <w:rPr>
                <w:rFonts w:hint="eastAsia" w:ascii="宋体" w:hAnsi="宋体" w:eastAsia="宋体" w:cs="宋体"/>
                <w:sz w:val="21"/>
                <w:szCs w:val="21"/>
                <w:lang w:bidi="ar"/>
              </w:rPr>
              <w:t>≤死水位</w:t>
            </w:r>
          </w:p>
        </w:tc>
        <w:tc>
          <w:tcPr>
            <w:tcW w:w="85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sz w:val="21"/>
                <w:szCs w:val="21"/>
              </w:rPr>
            </w:pPr>
            <w:r>
              <w:rPr>
                <w:rFonts w:hint="eastAsia" w:ascii="宋体" w:hAnsi="宋体" w:eastAsia="宋体" w:cs="宋体"/>
                <w:sz w:val="21"/>
                <w:szCs w:val="21"/>
              </w:rPr>
              <w:t>取值</w:t>
            </w:r>
            <w:r>
              <w:rPr>
                <w:rFonts w:ascii="宋体" w:hAnsi="宋体" w:eastAsia="宋体"/>
                <w:sz w:val="21"/>
                <w:szCs w:val="21"/>
              </w:rPr>
              <w:t>1</w:t>
            </w:r>
          </w:p>
        </w:tc>
        <w:tc>
          <w:tcPr>
            <w:tcW w:w="84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sz w:val="21"/>
                <w:szCs w:val="21"/>
              </w:rPr>
            </w:pPr>
            <w:r>
              <w:rPr>
                <w:rFonts w:ascii="宋体" w:hAnsi="宋体" w:eastAsia="宋体"/>
                <w:sz w:val="21"/>
                <w:szCs w:val="21"/>
              </w:rPr>
              <w:t>1</w:t>
            </w:r>
          </w:p>
        </w:tc>
        <w:tc>
          <w:tcPr>
            <w:tcW w:w="84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sz w:val="21"/>
                <w:szCs w:val="21"/>
              </w:rPr>
            </w:pPr>
            <w:r>
              <w:rPr>
                <w:rFonts w:ascii="宋体" w:hAnsi="宋体" w:eastAsia="宋体"/>
                <w:sz w:val="21"/>
                <w:szCs w:val="21"/>
              </w:rPr>
              <w:t>2</w:t>
            </w:r>
          </w:p>
        </w:tc>
        <w:tc>
          <w:tcPr>
            <w:tcW w:w="84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sz w:val="21"/>
                <w:szCs w:val="21"/>
              </w:rPr>
            </w:pPr>
            <w:r>
              <w:rPr>
                <w:rFonts w:ascii="宋体" w:hAnsi="宋体" w:eastAsia="宋体"/>
                <w:sz w:val="21"/>
                <w:szCs w:val="21"/>
              </w:rPr>
              <w:t>3</w:t>
            </w:r>
          </w:p>
        </w:tc>
        <w:tc>
          <w:tcPr>
            <w:tcW w:w="84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sz w:val="21"/>
                <w:szCs w:val="21"/>
              </w:rPr>
            </w:pPr>
            <w:r>
              <w:rPr>
                <w:rFonts w:ascii="宋体" w:hAnsi="宋体" w:eastAsia="宋体"/>
                <w:sz w:val="21"/>
                <w:szCs w:val="21"/>
              </w:rPr>
              <w:t>4</w:t>
            </w:r>
          </w:p>
        </w:tc>
        <w:tc>
          <w:tcPr>
            <w:tcW w:w="84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sz w:val="21"/>
                <w:szCs w:val="21"/>
              </w:rPr>
            </w:pPr>
            <w:r>
              <w:rPr>
                <w:rFonts w:ascii="宋体" w:hAnsi="宋体" w:eastAsia="宋体"/>
                <w:sz w:val="21"/>
                <w:szCs w:val="21"/>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339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sz w:val="21"/>
                <w:szCs w:val="21"/>
              </w:rPr>
            </w:pPr>
            <w:r>
              <w:rPr>
                <w:rFonts w:hint="eastAsia" w:ascii="宋体" w:hAnsi="宋体" w:eastAsia="宋体" w:cs="宋体"/>
                <w:sz w:val="21"/>
                <w:szCs w:val="21"/>
                <w:lang w:bidi="ar"/>
              </w:rPr>
              <w:t>死水位＜</w:t>
            </w:r>
            <w:r>
              <w:rPr>
                <w:rFonts w:ascii="宋体" w:hAnsi="宋体" w:eastAsia="宋体"/>
                <w:sz w:val="21"/>
                <w:szCs w:val="21"/>
                <w:lang w:bidi="ar"/>
              </w:rPr>
              <w:t>H</w:t>
            </w:r>
            <w:r>
              <w:rPr>
                <w:rFonts w:hint="eastAsia" w:ascii="宋体" w:hAnsi="宋体" w:eastAsia="宋体" w:cs="宋体"/>
                <w:sz w:val="21"/>
                <w:szCs w:val="21"/>
                <w:lang w:bidi="ar"/>
              </w:rPr>
              <w:t>≤汛限水位</w:t>
            </w:r>
          </w:p>
        </w:tc>
        <w:tc>
          <w:tcPr>
            <w:tcW w:w="85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sz w:val="21"/>
                <w:szCs w:val="21"/>
              </w:rPr>
            </w:pPr>
            <w:r>
              <w:rPr>
                <w:rFonts w:hint="eastAsia" w:ascii="宋体" w:hAnsi="宋体" w:eastAsia="宋体" w:cs="宋体"/>
                <w:sz w:val="21"/>
                <w:szCs w:val="21"/>
              </w:rPr>
              <w:t>取值</w:t>
            </w:r>
            <w:r>
              <w:rPr>
                <w:rFonts w:ascii="宋体" w:hAnsi="宋体" w:eastAsia="宋体"/>
                <w:sz w:val="21"/>
                <w:szCs w:val="21"/>
              </w:rPr>
              <w:t>2</w:t>
            </w:r>
          </w:p>
        </w:tc>
        <w:tc>
          <w:tcPr>
            <w:tcW w:w="84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sz w:val="21"/>
                <w:szCs w:val="21"/>
              </w:rPr>
            </w:pPr>
            <w:r>
              <w:rPr>
                <w:rFonts w:ascii="宋体" w:hAnsi="宋体" w:eastAsia="宋体"/>
                <w:sz w:val="21"/>
                <w:szCs w:val="21"/>
              </w:rPr>
              <w:t>2</w:t>
            </w:r>
          </w:p>
        </w:tc>
        <w:tc>
          <w:tcPr>
            <w:tcW w:w="84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sz w:val="21"/>
                <w:szCs w:val="21"/>
              </w:rPr>
            </w:pPr>
            <w:r>
              <w:rPr>
                <w:rFonts w:ascii="宋体" w:hAnsi="宋体" w:eastAsia="宋体"/>
                <w:sz w:val="21"/>
                <w:szCs w:val="21"/>
              </w:rPr>
              <w:t>4</w:t>
            </w:r>
          </w:p>
        </w:tc>
        <w:tc>
          <w:tcPr>
            <w:tcW w:w="84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sz w:val="21"/>
                <w:szCs w:val="21"/>
              </w:rPr>
            </w:pPr>
            <w:r>
              <w:rPr>
                <w:rFonts w:ascii="宋体" w:hAnsi="宋体" w:eastAsia="宋体"/>
                <w:sz w:val="21"/>
                <w:szCs w:val="21"/>
              </w:rPr>
              <w:t>6</w:t>
            </w:r>
          </w:p>
        </w:tc>
        <w:tc>
          <w:tcPr>
            <w:tcW w:w="84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sz w:val="21"/>
                <w:szCs w:val="21"/>
              </w:rPr>
            </w:pPr>
            <w:r>
              <w:rPr>
                <w:rFonts w:ascii="宋体" w:hAnsi="宋体" w:eastAsia="宋体"/>
                <w:sz w:val="21"/>
                <w:szCs w:val="21"/>
              </w:rPr>
              <w:t>8</w:t>
            </w:r>
          </w:p>
        </w:tc>
        <w:tc>
          <w:tcPr>
            <w:tcW w:w="84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sz w:val="21"/>
                <w:szCs w:val="21"/>
              </w:rPr>
            </w:pPr>
            <w:r>
              <w:rPr>
                <w:rFonts w:ascii="宋体" w:hAnsi="宋体" w:eastAsia="宋体"/>
                <w:sz w:val="21"/>
                <w:szCs w:val="21"/>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339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sz w:val="21"/>
                <w:szCs w:val="21"/>
              </w:rPr>
            </w:pPr>
            <w:r>
              <w:rPr>
                <w:rFonts w:hint="eastAsia" w:ascii="宋体" w:hAnsi="宋体" w:eastAsia="宋体" w:cs="宋体"/>
                <w:sz w:val="21"/>
                <w:szCs w:val="21"/>
                <w:lang w:bidi="ar"/>
              </w:rPr>
              <w:t>汛限水位＜</w:t>
            </w:r>
            <w:r>
              <w:rPr>
                <w:rFonts w:ascii="宋体" w:hAnsi="宋体" w:eastAsia="宋体"/>
                <w:sz w:val="21"/>
                <w:szCs w:val="21"/>
                <w:lang w:bidi="ar"/>
              </w:rPr>
              <w:t>H</w:t>
            </w:r>
            <w:r>
              <w:rPr>
                <w:rFonts w:hint="eastAsia" w:ascii="宋体" w:hAnsi="宋体" w:eastAsia="宋体" w:cs="宋体"/>
                <w:sz w:val="21"/>
                <w:szCs w:val="21"/>
                <w:lang w:bidi="ar"/>
              </w:rPr>
              <w:t>≤水电站设计洪水位</w:t>
            </w:r>
          </w:p>
        </w:tc>
        <w:tc>
          <w:tcPr>
            <w:tcW w:w="85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sz w:val="21"/>
                <w:szCs w:val="21"/>
              </w:rPr>
            </w:pPr>
            <w:r>
              <w:rPr>
                <w:rFonts w:hint="eastAsia" w:ascii="宋体" w:hAnsi="宋体" w:eastAsia="宋体" w:cs="宋体"/>
                <w:sz w:val="21"/>
                <w:szCs w:val="21"/>
              </w:rPr>
              <w:t>取值</w:t>
            </w:r>
            <w:r>
              <w:rPr>
                <w:rFonts w:ascii="宋体" w:hAnsi="宋体" w:eastAsia="宋体"/>
                <w:sz w:val="21"/>
                <w:szCs w:val="21"/>
              </w:rPr>
              <w:t>3</w:t>
            </w:r>
          </w:p>
        </w:tc>
        <w:tc>
          <w:tcPr>
            <w:tcW w:w="84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sz w:val="21"/>
                <w:szCs w:val="21"/>
              </w:rPr>
            </w:pPr>
            <w:r>
              <w:rPr>
                <w:rFonts w:ascii="宋体" w:hAnsi="宋体" w:eastAsia="宋体"/>
                <w:sz w:val="21"/>
                <w:szCs w:val="21"/>
              </w:rPr>
              <w:t>3</w:t>
            </w:r>
          </w:p>
        </w:tc>
        <w:tc>
          <w:tcPr>
            <w:tcW w:w="84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sz w:val="21"/>
                <w:szCs w:val="21"/>
              </w:rPr>
            </w:pPr>
            <w:r>
              <w:rPr>
                <w:rFonts w:ascii="宋体" w:hAnsi="宋体" w:eastAsia="宋体"/>
                <w:sz w:val="21"/>
                <w:szCs w:val="21"/>
              </w:rPr>
              <w:t>6</w:t>
            </w:r>
          </w:p>
        </w:tc>
        <w:tc>
          <w:tcPr>
            <w:tcW w:w="84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sz w:val="21"/>
                <w:szCs w:val="21"/>
              </w:rPr>
            </w:pPr>
            <w:r>
              <w:rPr>
                <w:rFonts w:ascii="宋体" w:hAnsi="宋体" w:eastAsia="宋体"/>
                <w:sz w:val="21"/>
                <w:szCs w:val="21"/>
              </w:rPr>
              <w:t>9</w:t>
            </w:r>
          </w:p>
        </w:tc>
        <w:tc>
          <w:tcPr>
            <w:tcW w:w="84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sz w:val="21"/>
                <w:szCs w:val="21"/>
              </w:rPr>
            </w:pPr>
            <w:r>
              <w:rPr>
                <w:rFonts w:ascii="宋体" w:hAnsi="宋体" w:eastAsia="宋体"/>
                <w:sz w:val="21"/>
                <w:szCs w:val="21"/>
              </w:rPr>
              <w:t>12</w:t>
            </w:r>
          </w:p>
        </w:tc>
        <w:tc>
          <w:tcPr>
            <w:tcW w:w="84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sz w:val="21"/>
                <w:szCs w:val="21"/>
              </w:rPr>
            </w:pPr>
            <w:r>
              <w:rPr>
                <w:rFonts w:ascii="宋体" w:hAnsi="宋体" w:eastAsia="宋体"/>
                <w:sz w:val="21"/>
                <w:szCs w:val="21"/>
              </w:rPr>
              <w:t>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3397" w:type="dxa"/>
            <w:tcBorders>
              <w:top w:val="single" w:color="auto" w:sz="4" w:space="0"/>
              <w:left w:val="single" w:color="auto" w:sz="4" w:space="0"/>
              <w:bottom w:val="single" w:color="auto" w:sz="4" w:space="0"/>
              <w:right w:val="single" w:color="auto" w:sz="4" w:space="0"/>
            </w:tcBorders>
            <w:vAlign w:val="center"/>
          </w:tcPr>
          <w:p>
            <w:pPr>
              <w:rPr>
                <w:rFonts w:ascii="宋体" w:hAnsi="宋体" w:eastAsia="宋体"/>
                <w:sz w:val="21"/>
                <w:szCs w:val="21"/>
              </w:rPr>
            </w:pPr>
            <w:r>
              <w:rPr>
                <w:rFonts w:hint="eastAsia" w:ascii="宋体" w:hAnsi="宋体" w:eastAsia="宋体" w:cs="宋体"/>
                <w:sz w:val="21"/>
                <w:szCs w:val="21"/>
                <w:lang w:bidi="ar"/>
              </w:rPr>
              <w:t>水电站设计洪水位＜</w:t>
            </w:r>
            <w:r>
              <w:rPr>
                <w:rFonts w:ascii="宋体" w:hAnsi="宋体" w:eastAsia="宋体"/>
                <w:sz w:val="21"/>
                <w:szCs w:val="21"/>
                <w:lang w:bidi="ar"/>
              </w:rPr>
              <w:t>H</w:t>
            </w:r>
            <w:r>
              <w:rPr>
                <w:rFonts w:hint="eastAsia" w:ascii="宋体" w:hAnsi="宋体" w:eastAsia="宋体" w:cs="宋体"/>
                <w:sz w:val="21"/>
                <w:szCs w:val="21"/>
                <w:lang w:bidi="ar"/>
              </w:rPr>
              <w:t>≤校核洪水位</w:t>
            </w:r>
          </w:p>
        </w:tc>
        <w:tc>
          <w:tcPr>
            <w:tcW w:w="85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sz w:val="21"/>
                <w:szCs w:val="21"/>
              </w:rPr>
            </w:pPr>
            <w:r>
              <w:rPr>
                <w:rFonts w:hint="eastAsia" w:ascii="宋体" w:hAnsi="宋体" w:eastAsia="宋体" w:cs="宋体"/>
                <w:sz w:val="21"/>
                <w:szCs w:val="21"/>
              </w:rPr>
              <w:t>取值</w:t>
            </w:r>
            <w:r>
              <w:rPr>
                <w:rFonts w:ascii="宋体" w:hAnsi="宋体" w:eastAsia="宋体"/>
                <w:sz w:val="21"/>
                <w:szCs w:val="21"/>
              </w:rPr>
              <w:t>4</w:t>
            </w:r>
          </w:p>
        </w:tc>
        <w:tc>
          <w:tcPr>
            <w:tcW w:w="84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sz w:val="21"/>
                <w:szCs w:val="21"/>
              </w:rPr>
            </w:pPr>
            <w:r>
              <w:rPr>
                <w:rFonts w:ascii="宋体" w:hAnsi="宋体" w:eastAsia="宋体"/>
                <w:sz w:val="21"/>
                <w:szCs w:val="21"/>
              </w:rPr>
              <w:t>4</w:t>
            </w:r>
          </w:p>
        </w:tc>
        <w:tc>
          <w:tcPr>
            <w:tcW w:w="84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sz w:val="21"/>
                <w:szCs w:val="21"/>
              </w:rPr>
            </w:pPr>
            <w:r>
              <w:rPr>
                <w:rFonts w:ascii="宋体" w:hAnsi="宋体" w:eastAsia="宋体"/>
                <w:sz w:val="21"/>
                <w:szCs w:val="21"/>
              </w:rPr>
              <w:t>8</w:t>
            </w:r>
          </w:p>
        </w:tc>
        <w:tc>
          <w:tcPr>
            <w:tcW w:w="84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sz w:val="21"/>
                <w:szCs w:val="21"/>
              </w:rPr>
            </w:pPr>
            <w:r>
              <w:rPr>
                <w:rFonts w:ascii="宋体" w:hAnsi="宋体" w:eastAsia="宋体"/>
                <w:sz w:val="21"/>
                <w:szCs w:val="21"/>
              </w:rPr>
              <w:t>12</w:t>
            </w:r>
          </w:p>
        </w:tc>
        <w:tc>
          <w:tcPr>
            <w:tcW w:w="84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sz w:val="21"/>
                <w:szCs w:val="21"/>
              </w:rPr>
            </w:pPr>
            <w:r>
              <w:rPr>
                <w:rFonts w:ascii="宋体" w:hAnsi="宋体" w:eastAsia="宋体"/>
                <w:sz w:val="21"/>
                <w:szCs w:val="21"/>
              </w:rPr>
              <w:t>16</w:t>
            </w:r>
          </w:p>
        </w:tc>
        <w:tc>
          <w:tcPr>
            <w:tcW w:w="84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sz w:val="21"/>
                <w:szCs w:val="21"/>
              </w:rPr>
            </w:pPr>
            <w:r>
              <w:rPr>
                <w:rFonts w:ascii="宋体" w:hAnsi="宋体" w:eastAsia="宋体"/>
                <w:sz w:val="21"/>
                <w:szCs w:val="21"/>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339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sz w:val="21"/>
                <w:szCs w:val="21"/>
              </w:rPr>
            </w:pPr>
            <w:r>
              <w:rPr>
                <w:rFonts w:ascii="宋体" w:hAnsi="宋体" w:eastAsia="宋体"/>
                <w:sz w:val="21"/>
                <w:szCs w:val="21"/>
                <w:lang w:bidi="ar"/>
              </w:rPr>
              <w:t>H</w:t>
            </w:r>
            <w:r>
              <w:rPr>
                <w:rFonts w:hint="eastAsia" w:ascii="宋体" w:hAnsi="宋体" w:eastAsia="宋体"/>
                <w:sz w:val="21"/>
                <w:szCs w:val="21"/>
                <w:lang w:bidi="ar"/>
              </w:rPr>
              <w:t>＞</w:t>
            </w:r>
            <w:r>
              <w:rPr>
                <w:rFonts w:hint="eastAsia" w:ascii="宋体" w:hAnsi="宋体" w:eastAsia="宋体" w:cs="宋体"/>
                <w:sz w:val="21"/>
                <w:szCs w:val="21"/>
                <w:lang w:bidi="ar"/>
              </w:rPr>
              <w:t>校核洪水位</w:t>
            </w:r>
          </w:p>
        </w:tc>
        <w:tc>
          <w:tcPr>
            <w:tcW w:w="85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sz w:val="21"/>
                <w:szCs w:val="21"/>
              </w:rPr>
            </w:pPr>
            <w:r>
              <w:rPr>
                <w:rFonts w:hint="eastAsia" w:ascii="宋体" w:hAnsi="宋体" w:eastAsia="宋体" w:cs="宋体"/>
                <w:sz w:val="21"/>
                <w:szCs w:val="21"/>
              </w:rPr>
              <w:t>取值</w:t>
            </w:r>
            <w:r>
              <w:rPr>
                <w:rFonts w:ascii="宋体" w:hAnsi="宋体" w:eastAsia="宋体"/>
                <w:sz w:val="21"/>
                <w:szCs w:val="21"/>
              </w:rPr>
              <w:t>5</w:t>
            </w:r>
          </w:p>
        </w:tc>
        <w:tc>
          <w:tcPr>
            <w:tcW w:w="84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sz w:val="21"/>
                <w:szCs w:val="21"/>
              </w:rPr>
            </w:pPr>
            <w:r>
              <w:rPr>
                <w:rFonts w:ascii="宋体" w:hAnsi="宋体" w:eastAsia="宋体"/>
                <w:sz w:val="21"/>
                <w:szCs w:val="21"/>
              </w:rPr>
              <w:t>5</w:t>
            </w:r>
          </w:p>
        </w:tc>
        <w:tc>
          <w:tcPr>
            <w:tcW w:w="84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sz w:val="21"/>
                <w:szCs w:val="21"/>
              </w:rPr>
            </w:pPr>
            <w:r>
              <w:rPr>
                <w:rFonts w:ascii="宋体" w:hAnsi="宋体" w:eastAsia="宋体"/>
                <w:sz w:val="21"/>
                <w:szCs w:val="21"/>
              </w:rPr>
              <w:t>10</w:t>
            </w:r>
          </w:p>
        </w:tc>
        <w:tc>
          <w:tcPr>
            <w:tcW w:w="84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sz w:val="21"/>
                <w:szCs w:val="21"/>
              </w:rPr>
            </w:pPr>
            <w:r>
              <w:rPr>
                <w:rFonts w:ascii="宋体" w:hAnsi="宋体" w:eastAsia="宋体"/>
                <w:sz w:val="21"/>
                <w:szCs w:val="21"/>
              </w:rPr>
              <w:t>15</w:t>
            </w:r>
          </w:p>
        </w:tc>
        <w:tc>
          <w:tcPr>
            <w:tcW w:w="84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sz w:val="21"/>
                <w:szCs w:val="21"/>
              </w:rPr>
            </w:pPr>
            <w:r>
              <w:rPr>
                <w:rFonts w:ascii="宋体" w:hAnsi="宋体" w:eastAsia="宋体"/>
                <w:sz w:val="21"/>
                <w:szCs w:val="21"/>
              </w:rPr>
              <w:t>20</w:t>
            </w:r>
          </w:p>
        </w:tc>
        <w:tc>
          <w:tcPr>
            <w:tcW w:w="84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sz w:val="21"/>
                <w:szCs w:val="21"/>
              </w:rPr>
            </w:pPr>
            <w:r>
              <w:rPr>
                <w:rFonts w:ascii="宋体" w:hAnsi="宋体" w:eastAsia="宋体"/>
                <w:sz w:val="21"/>
                <w:szCs w:val="21"/>
              </w:rPr>
              <w:t>25</w:t>
            </w:r>
          </w:p>
        </w:tc>
      </w:tr>
    </w:tbl>
    <w:p>
      <w:pPr>
        <w:ind w:firstLine="562" w:firstLineChars="200"/>
        <w:rPr>
          <w:rFonts w:ascii="宋体" w:hAnsi="宋体" w:cs="宋体"/>
          <w:b/>
          <w:sz w:val="28"/>
          <w:szCs w:val="28"/>
          <w:lang w:bidi="ar"/>
        </w:rPr>
      </w:pPr>
    </w:p>
    <w:p>
      <w:pPr>
        <w:ind w:firstLine="562" w:firstLineChars="200"/>
        <w:rPr>
          <w:rFonts w:ascii="宋体" w:hAnsi="宋体" w:cs="宋体"/>
          <w:b/>
          <w:sz w:val="28"/>
          <w:szCs w:val="28"/>
        </w:rPr>
      </w:pPr>
      <w:r>
        <w:rPr>
          <w:rFonts w:hint="eastAsia" w:ascii="宋体" w:hAnsi="宋体" w:cs="宋体"/>
          <w:b/>
          <w:sz w:val="28"/>
          <w:szCs w:val="28"/>
          <w:lang w:bidi="ar"/>
        </w:rPr>
        <w:t>表3             坝后式水电站S</w:t>
      </w:r>
      <w:bookmarkStart w:id="196" w:name="_Hlk24238307"/>
      <w:r>
        <w:rPr>
          <w:rFonts w:hint="eastAsia" w:ascii="宋体" w:hAnsi="宋体" w:cs="宋体"/>
          <w:b/>
          <w:sz w:val="28"/>
          <w:szCs w:val="28"/>
          <w:lang w:bidi="ar"/>
        </w:rPr>
        <w:t>值</w:t>
      </w:r>
      <w:bookmarkEnd w:id="196"/>
      <w:r>
        <w:rPr>
          <w:rFonts w:hint="eastAsia" w:ascii="宋体" w:hAnsi="宋体" w:cs="宋体"/>
          <w:b/>
          <w:sz w:val="28"/>
          <w:szCs w:val="28"/>
          <w:lang w:bidi="ar"/>
        </w:rPr>
        <w:t>取值标准表</w:t>
      </w:r>
    </w:p>
    <w:tbl>
      <w:tblPr>
        <w:tblStyle w:val="34"/>
        <w:tblW w:w="5000" w:type="pct"/>
        <w:jc w:val="center"/>
        <w:tblLayout w:type="autofit"/>
        <w:tblCellMar>
          <w:top w:w="0" w:type="dxa"/>
          <w:left w:w="108" w:type="dxa"/>
          <w:bottom w:w="0" w:type="dxa"/>
          <w:right w:w="108" w:type="dxa"/>
        </w:tblCellMar>
      </w:tblPr>
      <w:tblGrid>
        <w:gridCol w:w="2335"/>
        <w:gridCol w:w="3348"/>
        <w:gridCol w:w="2845"/>
      </w:tblGrid>
      <w:tr>
        <w:tblPrEx>
          <w:tblCellMar>
            <w:top w:w="0" w:type="dxa"/>
            <w:left w:w="108" w:type="dxa"/>
            <w:bottom w:w="0" w:type="dxa"/>
            <w:right w:w="108" w:type="dxa"/>
          </w:tblCellMar>
        </w:tblPrEx>
        <w:trPr>
          <w:trHeight w:val="510" w:hRule="atLeast"/>
          <w:jc w:val="center"/>
        </w:trPr>
        <w:tc>
          <w:tcPr>
            <w:tcW w:w="1369"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eastAsia="宋体"/>
                <w:b/>
                <w:sz w:val="28"/>
                <w:szCs w:val="28"/>
              </w:rPr>
            </w:pPr>
            <w:r>
              <w:rPr>
                <w:rFonts w:ascii="Times New Roman" w:eastAsia="宋体"/>
                <w:b/>
                <w:sz w:val="28"/>
                <w:szCs w:val="28"/>
              </w:rPr>
              <w:t>V</w:t>
            </w:r>
            <w:r>
              <w:rPr>
                <w:rFonts w:hint="eastAsia" w:ascii="Times New Roman" w:eastAsia="宋体" w:cs="宋体"/>
                <w:b/>
                <w:sz w:val="28"/>
                <w:szCs w:val="28"/>
              </w:rPr>
              <w:t>值区间</w:t>
            </w:r>
          </w:p>
        </w:tc>
        <w:tc>
          <w:tcPr>
            <w:tcW w:w="1963" w:type="pct"/>
            <w:tcBorders>
              <w:top w:val="single" w:color="auto" w:sz="4" w:space="0"/>
              <w:left w:val="nil"/>
              <w:bottom w:val="single" w:color="auto" w:sz="4" w:space="0"/>
              <w:right w:val="single" w:color="auto" w:sz="4" w:space="0"/>
            </w:tcBorders>
            <w:vAlign w:val="center"/>
          </w:tcPr>
          <w:p>
            <w:pPr>
              <w:jc w:val="center"/>
              <w:rPr>
                <w:rFonts w:ascii="Times New Roman" w:eastAsia="宋体"/>
                <w:b/>
                <w:sz w:val="28"/>
                <w:szCs w:val="28"/>
              </w:rPr>
            </w:pPr>
            <w:r>
              <w:rPr>
                <w:rFonts w:hint="eastAsia" w:ascii="Times New Roman" w:eastAsia="宋体" w:cs="宋体"/>
                <w:b/>
                <w:sz w:val="28"/>
                <w:szCs w:val="28"/>
              </w:rPr>
              <w:t>危害程度</w:t>
            </w:r>
          </w:p>
        </w:tc>
        <w:tc>
          <w:tcPr>
            <w:tcW w:w="1668"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eastAsia="宋体"/>
                <w:b/>
                <w:sz w:val="28"/>
                <w:szCs w:val="28"/>
              </w:rPr>
            </w:pPr>
            <w:r>
              <w:rPr>
                <w:rFonts w:hint="eastAsia" w:ascii="Times New Roman" w:eastAsia="宋体"/>
                <w:b/>
                <w:sz w:val="28"/>
                <w:szCs w:val="28"/>
              </w:rPr>
              <w:t>水库工程</w:t>
            </w:r>
            <w:r>
              <w:rPr>
                <w:rFonts w:ascii="Times New Roman" w:eastAsia="宋体"/>
                <w:b/>
                <w:sz w:val="28"/>
                <w:szCs w:val="28"/>
              </w:rPr>
              <w:t>S</w:t>
            </w:r>
            <w:r>
              <w:rPr>
                <w:rFonts w:hint="eastAsia" w:ascii="Times New Roman" w:eastAsia="宋体"/>
                <w:b/>
                <w:sz w:val="28"/>
                <w:szCs w:val="28"/>
              </w:rPr>
              <w:t>值</w:t>
            </w:r>
            <w:r>
              <w:rPr>
                <w:rFonts w:hint="eastAsia" w:ascii="Times New Roman" w:eastAsia="宋体" w:cs="宋体"/>
                <w:b/>
                <w:sz w:val="28"/>
                <w:szCs w:val="28"/>
              </w:rPr>
              <w:t>取值</w:t>
            </w:r>
          </w:p>
        </w:tc>
      </w:tr>
      <w:tr>
        <w:tblPrEx>
          <w:tblCellMar>
            <w:top w:w="0" w:type="dxa"/>
            <w:left w:w="108" w:type="dxa"/>
            <w:bottom w:w="0" w:type="dxa"/>
            <w:right w:w="108" w:type="dxa"/>
          </w:tblCellMar>
        </w:tblPrEx>
        <w:trPr>
          <w:trHeight w:val="438" w:hRule="atLeast"/>
          <w:jc w:val="center"/>
        </w:trPr>
        <w:tc>
          <w:tcPr>
            <w:tcW w:w="1369"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bCs/>
                <w:sz w:val="28"/>
                <w:szCs w:val="28"/>
              </w:rPr>
            </w:pPr>
            <w:r>
              <w:rPr>
                <w:rFonts w:ascii="宋体" w:hAnsi="宋体" w:eastAsia="宋体"/>
                <w:sz w:val="28"/>
                <w:szCs w:val="28"/>
              </w:rPr>
              <w:t>V</w:t>
            </w:r>
            <w:r>
              <w:rPr>
                <w:rFonts w:hint="eastAsia" w:ascii="宋体" w:hAnsi="宋体" w:eastAsia="宋体" w:cs="宋体"/>
                <w:sz w:val="28"/>
                <w:szCs w:val="28"/>
              </w:rPr>
              <w:t>≥</w:t>
            </w:r>
            <w:r>
              <w:rPr>
                <w:rFonts w:ascii="宋体" w:hAnsi="宋体" w:eastAsia="宋体"/>
                <w:bCs/>
                <w:sz w:val="28"/>
                <w:szCs w:val="28"/>
              </w:rPr>
              <w:t>21</w:t>
            </w:r>
          </w:p>
        </w:tc>
        <w:tc>
          <w:tcPr>
            <w:tcW w:w="1963"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bCs/>
                <w:sz w:val="28"/>
                <w:szCs w:val="28"/>
              </w:rPr>
            </w:pPr>
            <w:r>
              <w:rPr>
                <w:rFonts w:hint="eastAsia" w:ascii="宋体" w:hAnsi="宋体" w:eastAsia="宋体" w:cs="宋体"/>
                <w:bCs/>
                <w:sz w:val="28"/>
                <w:szCs w:val="28"/>
              </w:rPr>
              <w:t>灾难性的</w:t>
            </w:r>
          </w:p>
        </w:tc>
        <w:tc>
          <w:tcPr>
            <w:tcW w:w="1668"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bCs/>
                <w:sz w:val="28"/>
                <w:szCs w:val="28"/>
              </w:rPr>
            </w:pPr>
            <w:r>
              <w:rPr>
                <w:rFonts w:ascii="宋体" w:hAnsi="宋体" w:eastAsia="宋体"/>
                <w:bCs/>
                <w:sz w:val="28"/>
                <w:szCs w:val="28"/>
              </w:rPr>
              <w:t>15</w:t>
            </w:r>
          </w:p>
        </w:tc>
      </w:tr>
      <w:tr>
        <w:tblPrEx>
          <w:tblCellMar>
            <w:top w:w="0" w:type="dxa"/>
            <w:left w:w="108" w:type="dxa"/>
            <w:bottom w:w="0" w:type="dxa"/>
            <w:right w:w="108" w:type="dxa"/>
          </w:tblCellMar>
        </w:tblPrEx>
        <w:trPr>
          <w:trHeight w:val="438" w:hRule="atLeast"/>
          <w:jc w:val="center"/>
        </w:trPr>
        <w:tc>
          <w:tcPr>
            <w:tcW w:w="1369"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bCs/>
                <w:sz w:val="28"/>
                <w:szCs w:val="28"/>
              </w:rPr>
            </w:pPr>
            <w:r>
              <w:rPr>
                <w:rFonts w:ascii="宋体" w:hAnsi="宋体" w:eastAsia="宋体"/>
                <w:bCs/>
                <w:sz w:val="28"/>
                <w:szCs w:val="28"/>
              </w:rPr>
              <w:t>16</w:t>
            </w:r>
            <w:r>
              <w:rPr>
                <w:rFonts w:hint="eastAsia" w:ascii="宋体" w:hAnsi="宋体" w:eastAsia="宋体" w:cs="宋体"/>
                <w:sz w:val="28"/>
                <w:szCs w:val="28"/>
              </w:rPr>
              <w:t>≤</w:t>
            </w:r>
            <w:r>
              <w:rPr>
                <w:rFonts w:ascii="宋体" w:hAnsi="宋体" w:eastAsia="宋体"/>
                <w:sz w:val="28"/>
                <w:szCs w:val="28"/>
              </w:rPr>
              <w:t>V</w:t>
            </w:r>
            <w:r>
              <w:rPr>
                <w:rFonts w:hint="eastAsia" w:ascii="宋体" w:hAnsi="宋体" w:eastAsia="宋体" w:cs="宋体"/>
                <w:sz w:val="28"/>
                <w:szCs w:val="28"/>
              </w:rPr>
              <w:t>≤</w:t>
            </w:r>
            <w:r>
              <w:rPr>
                <w:rFonts w:ascii="宋体" w:hAnsi="宋体" w:eastAsia="宋体"/>
                <w:bCs/>
                <w:sz w:val="28"/>
                <w:szCs w:val="28"/>
              </w:rPr>
              <w:t>20</w:t>
            </w:r>
          </w:p>
        </w:tc>
        <w:tc>
          <w:tcPr>
            <w:tcW w:w="1963"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bCs/>
                <w:sz w:val="28"/>
                <w:szCs w:val="28"/>
              </w:rPr>
            </w:pPr>
            <w:r>
              <w:rPr>
                <w:rFonts w:hint="eastAsia" w:ascii="宋体" w:hAnsi="宋体" w:eastAsia="宋体" w:cs="宋体"/>
                <w:bCs/>
                <w:sz w:val="28"/>
                <w:szCs w:val="28"/>
              </w:rPr>
              <w:t>重大的</w:t>
            </w:r>
          </w:p>
        </w:tc>
        <w:tc>
          <w:tcPr>
            <w:tcW w:w="1668"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bCs/>
                <w:sz w:val="28"/>
                <w:szCs w:val="28"/>
              </w:rPr>
            </w:pPr>
            <w:r>
              <w:rPr>
                <w:rFonts w:ascii="宋体" w:hAnsi="宋体" w:eastAsia="宋体"/>
                <w:bCs/>
                <w:sz w:val="28"/>
                <w:szCs w:val="28"/>
              </w:rPr>
              <w:t>10</w:t>
            </w:r>
          </w:p>
        </w:tc>
      </w:tr>
      <w:tr>
        <w:tblPrEx>
          <w:tblCellMar>
            <w:top w:w="0" w:type="dxa"/>
            <w:left w:w="108" w:type="dxa"/>
            <w:bottom w:w="0" w:type="dxa"/>
            <w:right w:w="108" w:type="dxa"/>
          </w:tblCellMar>
        </w:tblPrEx>
        <w:trPr>
          <w:trHeight w:val="387" w:hRule="atLeast"/>
          <w:jc w:val="center"/>
        </w:trPr>
        <w:tc>
          <w:tcPr>
            <w:tcW w:w="1369"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bCs/>
                <w:sz w:val="28"/>
                <w:szCs w:val="28"/>
              </w:rPr>
            </w:pPr>
            <w:r>
              <w:rPr>
                <w:rFonts w:ascii="宋体" w:hAnsi="宋体" w:eastAsia="宋体"/>
                <w:bCs/>
                <w:sz w:val="28"/>
                <w:szCs w:val="28"/>
              </w:rPr>
              <w:t>11</w:t>
            </w:r>
            <w:r>
              <w:rPr>
                <w:rFonts w:hint="eastAsia" w:ascii="宋体" w:hAnsi="宋体" w:eastAsia="宋体" w:cs="宋体"/>
                <w:sz w:val="28"/>
                <w:szCs w:val="28"/>
              </w:rPr>
              <w:t>≤</w:t>
            </w:r>
            <w:r>
              <w:rPr>
                <w:rFonts w:ascii="宋体" w:hAnsi="宋体" w:eastAsia="宋体"/>
                <w:sz w:val="28"/>
                <w:szCs w:val="28"/>
              </w:rPr>
              <w:t>V</w:t>
            </w:r>
            <w:r>
              <w:rPr>
                <w:rFonts w:hint="eastAsia" w:ascii="宋体" w:hAnsi="宋体" w:eastAsia="宋体" w:cs="宋体"/>
                <w:sz w:val="28"/>
                <w:szCs w:val="28"/>
              </w:rPr>
              <w:t>≤</w:t>
            </w:r>
            <w:r>
              <w:rPr>
                <w:rFonts w:ascii="宋体" w:hAnsi="宋体" w:eastAsia="宋体"/>
                <w:bCs/>
                <w:sz w:val="28"/>
                <w:szCs w:val="28"/>
              </w:rPr>
              <w:t>15</w:t>
            </w:r>
          </w:p>
        </w:tc>
        <w:tc>
          <w:tcPr>
            <w:tcW w:w="1963"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bCs/>
                <w:sz w:val="28"/>
                <w:szCs w:val="28"/>
              </w:rPr>
            </w:pPr>
            <w:r>
              <w:rPr>
                <w:rFonts w:hint="eastAsia" w:ascii="宋体" w:hAnsi="宋体" w:eastAsia="宋体" w:cs="宋体"/>
                <w:bCs/>
                <w:sz w:val="28"/>
                <w:szCs w:val="28"/>
              </w:rPr>
              <w:t>中等的</w:t>
            </w:r>
          </w:p>
        </w:tc>
        <w:tc>
          <w:tcPr>
            <w:tcW w:w="1668"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bCs/>
                <w:sz w:val="28"/>
                <w:szCs w:val="28"/>
              </w:rPr>
            </w:pPr>
            <w:r>
              <w:rPr>
                <w:rFonts w:hint="eastAsia" w:ascii="宋体" w:hAnsi="宋体" w:eastAsia="宋体"/>
                <w:bCs/>
                <w:sz w:val="28"/>
                <w:szCs w:val="28"/>
              </w:rPr>
              <w:t>7</w:t>
            </w:r>
          </w:p>
        </w:tc>
      </w:tr>
      <w:tr>
        <w:tblPrEx>
          <w:tblCellMar>
            <w:top w:w="0" w:type="dxa"/>
            <w:left w:w="108" w:type="dxa"/>
            <w:bottom w:w="0" w:type="dxa"/>
            <w:right w:w="108" w:type="dxa"/>
          </w:tblCellMar>
        </w:tblPrEx>
        <w:trPr>
          <w:trHeight w:val="475" w:hRule="atLeast"/>
          <w:jc w:val="center"/>
        </w:trPr>
        <w:tc>
          <w:tcPr>
            <w:tcW w:w="1369"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bCs/>
                <w:sz w:val="28"/>
                <w:szCs w:val="28"/>
              </w:rPr>
            </w:pPr>
            <w:r>
              <w:rPr>
                <w:rFonts w:ascii="宋体" w:hAnsi="宋体" w:eastAsia="宋体"/>
                <w:bCs/>
                <w:sz w:val="28"/>
                <w:szCs w:val="28"/>
              </w:rPr>
              <w:t>6</w:t>
            </w:r>
            <w:r>
              <w:rPr>
                <w:rFonts w:hint="eastAsia" w:ascii="宋体" w:hAnsi="宋体" w:eastAsia="宋体" w:cs="宋体"/>
                <w:sz w:val="28"/>
                <w:szCs w:val="28"/>
              </w:rPr>
              <w:t>≤</w:t>
            </w:r>
            <w:r>
              <w:rPr>
                <w:rFonts w:ascii="宋体" w:hAnsi="宋体" w:eastAsia="宋体"/>
                <w:sz w:val="28"/>
                <w:szCs w:val="28"/>
              </w:rPr>
              <w:t>V</w:t>
            </w:r>
            <w:r>
              <w:rPr>
                <w:rFonts w:hint="eastAsia" w:ascii="宋体" w:hAnsi="宋体" w:eastAsia="宋体" w:cs="宋体"/>
                <w:sz w:val="28"/>
                <w:szCs w:val="28"/>
              </w:rPr>
              <w:t>≤</w:t>
            </w:r>
            <w:r>
              <w:rPr>
                <w:rFonts w:ascii="宋体" w:hAnsi="宋体" w:eastAsia="宋体"/>
                <w:bCs/>
                <w:sz w:val="28"/>
                <w:szCs w:val="28"/>
              </w:rPr>
              <w:t>10</w:t>
            </w:r>
          </w:p>
        </w:tc>
        <w:tc>
          <w:tcPr>
            <w:tcW w:w="1963"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bCs/>
                <w:sz w:val="28"/>
                <w:szCs w:val="28"/>
              </w:rPr>
            </w:pPr>
            <w:r>
              <w:rPr>
                <w:rFonts w:hint="eastAsia" w:ascii="宋体" w:hAnsi="宋体" w:eastAsia="宋体" w:cs="宋体"/>
                <w:bCs/>
                <w:sz w:val="28"/>
                <w:szCs w:val="28"/>
                <w:lang w:bidi="ar"/>
              </w:rPr>
              <w:t>轻微的</w:t>
            </w:r>
          </w:p>
        </w:tc>
        <w:tc>
          <w:tcPr>
            <w:tcW w:w="1668"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bCs/>
                <w:sz w:val="28"/>
                <w:szCs w:val="28"/>
              </w:rPr>
            </w:pPr>
            <w:r>
              <w:rPr>
                <w:rFonts w:ascii="宋体" w:hAnsi="宋体" w:eastAsia="宋体"/>
                <w:bCs/>
                <w:sz w:val="28"/>
                <w:szCs w:val="28"/>
                <w:lang w:bidi="ar"/>
              </w:rPr>
              <w:t>5</w:t>
            </w:r>
          </w:p>
        </w:tc>
      </w:tr>
      <w:tr>
        <w:tblPrEx>
          <w:tblCellMar>
            <w:top w:w="0" w:type="dxa"/>
            <w:left w:w="108" w:type="dxa"/>
            <w:bottom w:w="0" w:type="dxa"/>
            <w:right w:w="108" w:type="dxa"/>
          </w:tblCellMar>
        </w:tblPrEx>
        <w:trPr>
          <w:trHeight w:val="510" w:hRule="atLeast"/>
          <w:jc w:val="center"/>
        </w:trPr>
        <w:tc>
          <w:tcPr>
            <w:tcW w:w="1369"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bCs/>
                <w:sz w:val="28"/>
                <w:szCs w:val="28"/>
              </w:rPr>
            </w:pPr>
            <w:r>
              <w:rPr>
                <w:rFonts w:ascii="宋体" w:hAnsi="宋体" w:eastAsia="宋体"/>
                <w:sz w:val="28"/>
                <w:szCs w:val="28"/>
              </w:rPr>
              <w:t>V</w:t>
            </w:r>
            <w:r>
              <w:rPr>
                <w:rFonts w:hint="eastAsia" w:ascii="宋体" w:hAnsi="宋体" w:eastAsia="宋体" w:cs="宋体"/>
                <w:sz w:val="28"/>
                <w:szCs w:val="28"/>
              </w:rPr>
              <w:t>≤</w:t>
            </w:r>
            <w:r>
              <w:rPr>
                <w:rFonts w:ascii="宋体" w:hAnsi="宋体" w:eastAsia="宋体"/>
                <w:bCs/>
                <w:sz w:val="28"/>
                <w:szCs w:val="28"/>
              </w:rPr>
              <w:t>5</w:t>
            </w:r>
          </w:p>
        </w:tc>
        <w:tc>
          <w:tcPr>
            <w:tcW w:w="1963"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bCs/>
                <w:sz w:val="28"/>
                <w:szCs w:val="28"/>
              </w:rPr>
            </w:pPr>
            <w:r>
              <w:rPr>
                <w:rFonts w:hint="eastAsia" w:ascii="宋体" w:hAnsi="宋体" w:eastAsia="宋体" w:cs="宋体"/>
                <w:bCs/>
                <w:sz w:val="28"/>
                <w:szCs w:val="28"/>
                <w:lang w:bidi="ar"/>
              </w:rPr>
              <w:t>极轻微的</w:t>
            </w:r>
          </w:p>
        </w:tc>
        <w:tc>
          <w:tcPr>
            <w:tcW w:w="1668"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bCs/>
                <w:sz w:val="28"/>
                <w:szCs w:val="28"/>
              </w:rPr>
            </w:pPr>
            <w:r>
              <w:rPr>
                <w:rFonts w:ascii="宋体" w:hAnsi="宋体" w:eastAsia="宋体"/>
                <w:bCs/>
                <w:sz w:val="28"/>
                <w:szCs w:val="28"/>
                <w:lang w:bidi="ar"/>
              </w:rPr>
              <w:t>3</w:t>
            </w:r>
          </w:p>
        </w:tc>
      </w:tr>
    </w:tbl>
    <w:p>
      <w:pPr>
        <w:ind w:firstLine="560" w:firstLineChars="200"/>
        <w:rPr>
          <w:rFonts w:eastAsia="仿宋"/>
          <w:sz w:val="28"/>
          <w:szCs w:val="28"/>
          <w:lang w:bidi="ar"/>
        </w:rPr>
      </w:pPr>
      <w:r>
        <w:rPr>
          <w:rFonts w:hint="eastAsia" w:eastAsia="仿宋"/>
          <w:sz w:val="28"/>
          <w:szCs w:val="28"/>
          <w:lang w:bidi="ar"/>
        </w:rPr>
        <w:t>除坝后式水电站外，</w:t>
      </w:r>
      <w:r>
        <w:rPr>
          <w:rFonts w:eastAsia="仿宋"/>
          <w:sz w:val="28"/>
          <w:szCs w:val="28"/>
          <w:lang w:bidi="ar"/>
        </w:rPr>
        <w:t>在分析水电站、</w:t>
      </w:r>
      <w:r>
        <w:rPr>
          <w:rFonts w:hint="eastAsia" w:eastAsia="仿宋"/>
          <w:sz w:val="28"/>
          <w:szCs w:val="28"/>
          <w:lang w:bidi="ar"/>
        </w:rPr>
        <w:t>泵站</w:t>
      </w:r>
      <w:r>
        <w:rPr>
          <w:rFonts w:eastAsia="仿宋"/>
          <w:sz w:val="28"/>
          <w:szCs w:val="28"/>
          <w:lang w:bidi="ar"/>
        </w:rPr>
        <w:t>工程运行事故所造成危害的严重程度时，</w:t>
      </w:r>
      <w:r>
        <w:rPr>
          <w:rFonts w:hint="eastAsia" w:eastAsia="仿宋"/>
          <w:sz w:val="28"/>
          <w:szCs w:val="28"/>
          <w:lang w:bidi="ar"/>
        </w:rPr>
        <w:t>以</w:t>
      </w:r>
      <w:r>
        <w:rPr>
          <w:rFonts w:eastAsia="仿宋"/>
          <w:sz w:val="28"/>
          <w:szCs w:val="28"/>
          <w:lang w:bidi="ar"/>
        </w:rPr>
        <w:t>工程规模</w:t>
      </w:r>
      <w:r>
        <w:rPr>
          <w:rFonts w:hint="eastAsia" w:eastAsia="仿宋"/>
          <w:sz w:val="28"/>
          <w:szCs w:val="28"/>
          <w:lang w:bidi="ar"/>
        </w:rPr>
        <w:t>或</w:t>
      </w:r>
      <w:r>
        <w:rPr>
          <w:rFonts w:eastAsia="仿宋"/>
          <w:sz w:val="28"/>
          <w:szCs w:val="28"/>
          <w:lang w:bidi="ar"/>
        </w:rPr>
        <w:t>等别</w:t>
      </w:r>
      <w:r>
        <w:rPr>
          <w:rFonts w:hint="eastAsia" w:eastAsia="仿宋"/>
          <w:sz w:val="28"/>
          <w:szCs w:val="28"/>
          <w:lang w:bidi="ar"/>
        </w:rPr>
        <w:t>作为S取值的依据</w:t>
      </w:r>
      <w:r>
        <w:rPr>
          <w:rFonts w:eastAsia="仿宋"/>
          <w:sz w:val="28"/>
          <w:szCs w:val="28"/>
          <w:lang w:bidi="ar"/>
        </w:rPr>
        <w:t>，S值应按照表</w:t>
      </w:r>
      <w:r>
        <w:rPr>
          <w:rFonts w:hint="eastAsia" w:eastAsia="仿宋"/>
          <w:sz w:val="28"/>
          <w:szCs w:val="28"/>
          <w:lang w:bidi="ar"/>
        </w:rPr>
        <w:t>4</w:t>
      </w:r>
      <w:r>
        <w:rPr>
          <w:rFonts w:eastAsia="仿宋"/>
          <w:sz w:val="28"/>
          <w:szCs w:val="28"/>
          <w:lang w:bidi="ar"/>
        </w:rPr>
        <w:t>取值。</w:t>
      </w:r>
    </w:p>
    <w:p>
      <w:pPr>
        <w:jc w:val="left"/>
        <w:rPr>
          <w:rFonts w:eastAsia="仿宋"/>
          <w:sz w:val="28"/>
          <w:szCs w:val="28"/>
          <w:lang w:bidi="ar"/>
        </w:rPr>
      </w:pPr>
      <w:r>
        <w:rPr>
          <w:rFonts w:eastAsia="仿宋"/>
          <w:sz w:val="28"/>
          <w:szCs w:val="28"/>
          <w:lang w:bidi="ar"/>
        </w:rPr>
        <w:br w:type="page"/>
      </w:r>
    </w:p>
    <w:p>
      <w:pPr>
        <w:ind w:firstLine="562" w:firstLineChars="200"/>
        <w:rPr>
          <w:b/>
          <w:sz w:val="28"/>
          <w:szCs w:val="28"/>
        </w:rPr>
      </w:pPr>
      <w:r>
        <w:rPr>
          <w:b/>
          <w:sz w:val="28"/>
          <w:szCs w:val="28"/>
          <w:lang w:bidi="ar"/>
        </w:rPr>
        <w:t>表</w:t>
      </w:r>
      <w:r>
        <w:rPr>
          <w:rFonts w:hint="eastAsia"/>
          <w:b/>
          <w:sz w:val="28"/>
          <w:szCs w:val="28"/>
          <w:lang w:bidi="ar"/>
        </w:rPr>
        <w:t>4</w:t>
      </w:r>
      <w:r>
        <w:rPr>
          <w:b/>
          <w:sz w:val="28"/>
          <w:szCs w:val="28"/>
          <w:lang w:bidi="ar"/>
        </w:rPr>
        <w:t xml:space="preserve">          水电站、泵站工程S值取值标准表</w:t>
      </w:r>
    </w:p>
    <w:tbl>
      <w:tblPr>
        <w:tblStyle w:val="3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15"/>
        <w:gridCol w:w="1380"/>
        <w:gridCol w:w="1381"/>
        <w:gridCol w:w="1381"/>
        <w:gridCol w:w="1381"/>
        <w:gridCol w:w="13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615" w:type="dxa"/>
            <w:vAlign w:val="center"/>
          </w:tcPr>
          <w:p>
            <w:pPr>
              <w:jc w:val="center"/>
              <w:rPr>
                <w:rFonts w:ascii="Times New Roman" w:eastAsia="宋体"/>
                <w:bCs/>
                <w:sz w:val="28"/>
                <w:szCs w:val="28"/>
              </w:rPr>
            </w:pPr>
            <w:r>
              <w:rPr>
                <w:rFonts w:ascii="Times New Roman" w:eastAsia="宋体"/>
                <w:bCs/>
                <w:sz w:val="28"/>
                <w:szCs w:val="28"/>
              </w:rPr>
              <w:t>工程规模或等别</w:t>
            </w:r>
          </w:p>
        </w:tc>
        <w:tc>
          <w:tcPr>
            <w:tcW w:w="1380" w:type="dxa"/>
            <w:vAlign w:val="center"/>
          </w:tcPr>
          <w:p>
            <w:pPr>
              <w:jc w:val="center"/>
              <w:rPr>
                <w:rFonts w:ascii="Times New Roman" w:eastAsia="宋体"/>
                <w:bCs/>
                <w:sz w:val="28"/>
                <w:szCs w:val="28"/>
              </w:rPr>
            </w:pPr>
            <w:r>
              <w:rPr>
                <w:rFonts w:ascii="Times New Roman" w:eastAsia="宋体"/>
                <w:bCs/>
                <w:sz w:val="28"/>
                <w:szCs w:val="28"/>
              </w:rPr>
              <w:t>小（2）型</w:t>
            </w:r>
          </w:p>
          <w:p>
            <w:pPr>
              <w:jc w:val="center"/>
              <w:rPr>
                <w:rFonts w:ascii="Times New Roman" w:eastAsia="宋体"/>
                <w:bCs/>
                <w:sz w:val="28"/>
                <w:szCs w:val="28"/>
              </w:rPr>
            </w:pPr>
            <w:r>
              <w:rPr>
                <w:rFonts w:hint="eastAsia" w:ascii="Times New Roman" w:eastAsia="宋体"/>
                <w:bCs/>
                <w:sz w:val="28"/>
                <w:szCs w:val="28"/>
              </w:rPr>
              <w:t>或Ⅴ</w:t>
            </w:r>
          </w:p>
        </w:tc>
        <w:tc>
          <w:tcPr>
            <w:tcW w:w="1381" w:type="dxa"/>
            <w:vAlign w:val="center"/>
          </w:tcPr>
          <w:p>
            <w:pPr>
              <w:jc w:val="center"/>
              <w:rPr>
                <w:rFonts w:ascii="Times New Roman" w:eastAsia="宋体"/>
                <w:bCs/>
                <w:sz w:val="28"/>
                <w:szCs w:val="28"/>
              </w:rPr>
            </w:pPr>
            <w:r>
              <w:rPr>
                <w:rFonts w:ascii="Times New Roman" w:eastAsia="宋体"/>
                <w:bCs/>
                <w:sz w:val="28"/>
                <w:szCs w:val="28"/>
              </w:rPr>
              <w:t>小（1）型</w:t>
            </w:r>
          </w:p>
          <w:p>
            <w:pPr>
              <w:jc w:val="center"/>
              <w:rPr>
                <w:rFonts w:ascii="Times New Roman" w:eastAsia="宋体"/>
                <w:b/>
                <w:sz w:val="28"/>
                <w:szCs w:val="28"/>
              </w:rPr>
            </w:pPr>
            <w:r>
              <w:rPr>
                <w:rFonts w:hint="eastAsia" w:ascii="Times New Roman" w:eastAsia="宋体"/>
                <w:bCs/>
                <w:sz w:val="28"/>
                <w:szCs w:val="28"/>
              </w:rPr>
              <w:t>或Ⅳ</w:t>
            </w:r>
          </w:p>
        </w:tc>
        <w:tc>
          <w:tcPr>
            <w:tcW w:w="1381" w:type="dxa"/>
            <w:vAlign w:val="center"/>
          </w:tcPr>
          <w:p>
            <w:pPr>
              <w:jc w:val="center"/>
              <w:rPr>
                <w:rFonts w:ascii="Times New Roman" w:eastAsia="宋体"/>
                <w:bCs/>
                <w:sz w:val="28"/>
                <w:szCs w:val="28"/>
              </w:rPr>
            </w:pPr>
            <w:r>
              <w:rPr>
                <w:rFonts w:ascii="Times New Roman" w:eastAsia="宋体"/>
                <w:bCs/>
                <w:sz w:val="28"/>
                <w:szCs w:val="28"/>
              </w:rPr>
              <w:t>中型</w:t>
            </w:r>
          </w:p>
          <w:p>
            <w:pPr>
              <w:jc w:val="center"/>
              <w:rPr>
                <w:rFonts w:ascii="Times New Roman" w:eastAsia="宋体"/>
                <w:b/>
                <w:sz w:val="28"/>
                <w:szCs w:val="28"/>
              </w:rPr>
            </w:pPr>
            <w:r>
              <w:rPr>
                <w:rFonts w:hint="eastAsia" w:ascii="Times New Roman" w:eastAsia="宋体"/>
                <w:bCs/>
                <w:sz w:val="28"/>
                <w:szCs w:val="28"/>
              </w:rPr>
              <w:t>或Ⅲ</w:t>
            </w:r>
          </w:p>
        </w:tc>
        <w:tc>
          <w:tcPr>
            <w:tcW w:w="1381" w:type="dxa"/>
            <w:vAlign w:val="center"/>
          </w:tcPr>
          <w:p>
            <w:pPr>
              <w:jc w:val="center"/>
              <w:rPr>
                <w:rFonts w:ascii="Times New Roman" w:eastAsia="宋体"/>
                <w:bCs/>
                <w:sz w:val="28"/>
                <w:szCs w:val="28"/>
              </w:rPr>
            </w:pPr>
            <w:r>
              <w:rPr>
                <w:rFonts w:ascii="Times New Roman" w:eastAsia="宋体"/>
                <w:bCs/>
                <w:sz w:val="28"/>
                <w:szCs w:val="28"/>
              </w:rPr>
              <w:t>大（2）型</w:t>
            </w:r>
          </w:p>
          <w:p>
            <w:pPr>
              <w:jc w:val="center"/>
              <w:rPr>
                <w:rFonts w:ascii="Times New Roman" w:eastAsia="宋体"/>
                <w:b/>
                <w:sz w:val="28"/>
                <w:szCs w:val="28"/>
              </w:rPr>
            </w:pPr>
            <w:r>
              <w:rPr>
                <w:rFonts w:hint="eastAsia" w:ascii="Times New Roman" w:eastAsia="宋体"/>
                <w:bCs/>
                <w:sz w:val="28"/>
                <w:szCs w:val="28"/>
              </w:rPr>
              <w:t>或Ⅱ</w:t>
            </w:r>
          </w:p>
        </w:tc>
        <w:tc>
          <w:tcPr>
            <w:tcW w:w="1384" w:type="dxa"/>
            <w:vAlign w:val="center"/>
          </w:tcPr>
          <w:p>
            <w:pPr>
              <w:jc w:val="center"/>
              <w:rPr>
                <w:rFonts w:ascii="Times New Roman" w:eastAsia="宋体"/>
                <w:bCs/>
                <w:sz w:val="28"/>
                <w:szCs w:val="28"/>
              </w:rPr>
            </w:pPr>
            <w:r>
              <w:rPr>
                <w:rFonts w:ascii="Times New Roman" w:eastAsia="宋体"/>
                <w:bCs/>
                <w:sz w:val="28"/>
                <w:szCs w:val="28"/>
              </w:rPr>
              <w:t>大（1）型</w:t>
            </w:r>
          </w:p>
          <w:p>
            <w:pPr>
              <w:jc w:val="center"/>
              <w:rPr>
                <w:rFonts w:ascii="Times New Roman" w:eastAsia="宋体"/>
                <w:b/>
                <w:sz w:val="28"/>
                <w:szCs w:val="28"/>
              </w:rPr>
            </w:pPr>
            <w:r>
              <w:rPr>
                <w:rFonts w:hint="eastAsia" w:ascii="Times New Roman" w:eastAsia="宋体"/>
                <w:bCs/>
                <w:sz w:val="28"/>
                <w:szCs w:val="28"/>
              </w:rPr>
              <w:t>或Ⅰ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615" w:type="dxa"/>
            <w:vAlign w:val="center"/>
          </w:tcPr>
          <w:p>
            <w:pPr>
              <w:jc w:val="center"/>
              <w:rPr>
                <w:rFonts w:ascii="Times New Roman" w:eastAsia="宋体"/>
                <w:b/>
                <w:sz w:val="28"/>
                <w:szCs w:val="28"/>
              </w:rPr>
            </w:pPr>
            <w:r>
              <w:rPr>
                <w:rFonts w:ascii="Times New Roman" w:eastAsia="宋体"/>
                <w:b/>
                <w:sz w:val="28"/>
                <w:szCs w:val="28"/>
              </w:rPr>
              <w:t>S值</w:t>
            </w:r>
          </w:p>
        </w:tc>
        <w:tc>
          <w:tcPr>
            <w:tcW w:w="1380" w:type="dxa"/>
            <w:vAlign w:val="center"/>
          </w:tcPr>
          <w:p>
            <w:pPr>
              <w:jc w:val="center"/>
              <w:rPr>
                <w:rFonts w:ascii="Times New Roman" w:eastAsia="宋体"/>
                <w:bCs/>
                <w:sz w:val="28"/>
                <w:szCs w:val="28"/>
              </w:rPr>
            </w:pPr>
            <w:r>
              <w:rPr>
                <w:rFonts w:ascii="Times New Roman" w:eastAsia="宋体"/>
                <w:bCs/>
                <w:sz w:val="28"/>
                <w:szCs w:val="28"/>
              </w:rPr>
              <w:t>3</w:t>
            </w:r>
          </w:p>
        </w:tc>
        <w:tc>
          <w:tcPr>
            <w:tcW w:w="1381" w:type="dxa"/>
            <w:vAlign w:val="center"/>
          </w:tcPr>
          <w:p>
            <w:pPr>
              <w:jc w:val="center"/>
              <w:rPr>
                <w:rFonts w:ascii="Times New Roman" w:eastAsia="宋体"/>
                <w:bCs/>
                <w:sz w:val="28"/>
                <w:szCs w:val="28"/>
              </w:rPr>
            </w:pPr>
            <w:r>
              <w:rPr>
                <w:rFonts w:ascii="Times New Roman" w:eastAsia="宋体"/>
                <w:bCs/>
                <w:sz w:val="28"/>
                <w:szCs w:val="28"/>
              </w:rPr>
              <w:t>5</w:t>
            </w:r>
          </w:p>
        </w:tc>
        <w:tc>
          <w:tcPr>
            <w:tcW w:w="1381" w:type="dxa"/>
            <w:vAlign w:val="center"/>
          </w:tcPr>
          <w:p>
            <w:pPr>
              <w:jc w:val="center"/>
              <w:rPr>
                <w:rFonts w:ascii="Times New Roman" w:eastAsia="宋体"/>
                <w:bCs/>
                <w:sz w:val="28"/>
                <w:szCs w:val="28"/>
              </w:rPr>
            </w:pPr>
            <w:r>
              <w:rPr>
                <w:rFonts w:hint="eastAsia" w:ascii="Times New Roman" w:eastAsia="宋体"/>
                <w:bCs/>
                <w:sz w:val="28"/>
                <w:szCs w:val="28"/>
              </w:rPr>
              <w:t>7</w:t>
            </w:r>
          </w:p>
        </w:tc>
        <w:tc>
          <w:tcPr>
            <w:tcW w:w="1381" w:type="dxa"/>
            <w:vAlign w:val="center"/>
          </w:tcPr>
          <w:p>
            <w:pPr>
              <w:jc w:val="center"/>
              <w:rPr>
                <w:rFonts w:ascii="Times New Roman" w:eastAsia="宋体"/>
                <w:bCs/>
                <w:sz w:val="28"/>
                <w:szCs w:val="28"/>
              </w:rPr>
            </w:pPr>
            <w:r>
              <w:rPr>
                <w:rFonts w:ascii="Times New Roman" w:eastAsia="宋体"/>
                <w:bCs/>
                <w:sz w:val="28"/>
                <w:szCs w:val="28"/>
              </w:rPr>
              <w:t>10</w:t>
            </w:r>
          </w:p>
        </w:tc>
        <w:tc>
          <w:tcPr>
            <w:tcW w:w="1384" w:type="dxa"/>
            <w:vAlign w:val="center"/>
          </w:tcPr>
          <w:p>
            <w:pPr>
              <w:jc w:val="center"/>
              <w:rPr>
                <w:rFonts w:ascii="Times New Roman" w:eastAsia="宋体"/>
                <w:bCs/>
                <w:sz w:val="28"/>
                <w:szCs w:val="28"/>
              </w:rPr>
            </w:pPr>
            <w:r>
              <w:rPr>
                <w:rFonts w:ascii="Times New Roman" w:eastAsia="宋体"/>
                <w:bCs/>
                <w:sz w:val="28"/>
                <w:szCs w:val="28"/>
              </w:rPr>
              <w:t>15</w:t>
            </w:r>
          </w:p>
        </w:tc>
      </w:tr>
    </w:tbl>
    <w:p>
      <w:pPr>
        <w:ind w:firstLine="640"/>
        <w:rPr>
          <w:rFonts w:eastAsia="仿宋"/>
          <w:sz w:val="28"/>
          <w:szCs w:val="28"/>
          <w:lang w:bidi="ar"/>
        </w:rPr>
      </w:pPr>
      <w:r>
        <w:rPr>
          <w:rFonts w:hint="eastAsia" w:eastAsia="仿宋"/>
          <w:sz w:val="28"/>
          <w:szCs w:val="28"/>
          <w:lang w:bidi="ar"/>
        </w:rPr>
        <w:t>对于利用塘坝（库容10万m</w:t>
      </w:r>
      <w:r>
        <w:rPr>
          <w:rFonts w:hint="eastAsia" w:eastAsia="仿宋"/>
          <w:sz w:val="28"/>
          <w:szCs w:val="28"/>
          <w:vertAlign w:val="superscript"/>
          <w:lang w:bidi="ar"/>
        </w:rPr>
        <w:t>3</w:t>
      </w:r>
      <w:r>
        <w:rPr>
          <w:rFonts w:hint="eastAsia" w:eastAsia="仿宋"/>
          <w:sz w:val="28"/>
          <w:szCs w:val="28"/>
          <w:lang w:bidi="ar"/>
        </w:rPr>
        <w:t>及以下）蓄水发电的水电站，其挡水建筑物的一般危险源辨识及风险评价，应按与水电站同等工程规模水库挡水建筑物的有关方法执行（详见《水利水电工程（水库、水闸）运行危险源辨识与风险评价导则》）。</w:t>
      </w:r>
    </w:p>
    <w:p>
      <w:pPr>
        <w:ind w:firstLine="640"/>
        <w:rPr>
          <w:rFonts w:ascii="黑体" w:hAnsi="黑体" w:eastAsia="黑体" w:cs="黑体"/>
          <w:bCs/>
          <w:sz w:val="28"/>
          <w:szCs w:val="28"/>
        </w:rPr>
      </w:pPr>
      <w:r>
        <w:rPr>
          <w:rFonts w:hint="eastAsia" w:ascii="黑体" w:hAnsi="黑体" w:eastAsia="黑体" w:cs="黑体"/>
          <w:bCs/>
          <w:sz w:val="28"/>
          <w:szCs w:val="28"/>
        </w:rPr>
        <w:t>四、一般危险源风险等级划分</w:t>
      </w:r>
    </w:p>
    <w:p>
      <w:pPr>
        <w:ind w:firstLine="560" w:firstLineChars="200"/>
        <w:rPr>
          <w:rFonts w:eastAsia="仿宋"/>
          <w:sz w:val="28"/>
          <w:szCs w:val="28"/>
          <w:lang w:bidi="ar"/>
        </w:rPr>
      </w:pPr>
      <w:r>
        <w:rPr>
          <w:rFonts w:eastAsia="仿宋"/>
          <w:sz w:val="28"/>
          <w:szCs w:val="28"/>
          <w:lang w:bidi="ar"/>
        </w:rPr>
        <w:t>按照上述内容，选取或计算确定一般危险源的</w:t>
      </w:r>
      <w:r>
        <w:rPr>
          <w:rFonts w:eastAsia="仿宋"/>
          <w:sz w:val="28"/>
          <w:szCs w:val="28"/>
        </w:rPr>
        <w:t>L</w:t>
      </w:r>
      <w:r>
        <w:rPr>
          <w:rFonts w:eastAsia="仿宋"/>
          <w:sz w:val="28"/>
          <w:szCs w:val="28"/>
          <w:lang w:bidi="ar"/>
        </w:rPr>
        <w:t>、S值，由公式1计算R值，再按照表</w:t>
      </w:r>
      <w:r>
        <w:rPr>
          <w:rFonts w:hint="eastAsia" w:eastAsia="仿宋"/>
          <w:sz w:val="28"/>
          <w:szCs w:val="28"/>
          <w:lang w:bidi="ar"/>
        </w:rPr>
        <w:t>5</w:t>
      </w:r>
      <w:r>
        <w:rPr>
          <w:rFonts w:eastAsia="仿宋"/>
          <w:sz w:val="28"/>
          <w:szCs w:val="28"/>
          <w:lang w:bidi="ar"/>
        </w:rPr>
        <w:t>确定风险等级。</w:t>
      </w:r>
    </w:p>
    <w:p>
      <w:pPr>
        <w:ind w:firstLine="562" w:firstLineChars="200"/>
        <w:rPr>
          <w:b/>
          <w:sz w:val="28"/>
          <w:szCs w:val="28"/>
        </w:rPr>
      </w:pPr>
      <w:r>
        <w:rPr>
          <w:b/>
          <w:sz w:val="28"/>
          <w:szCs w:val="28"/>
          <w:lang w:bidi="ar"/>
        </w:rPr>
        <w:t>表</w:t>
      </w:r>
      <w:r>
        <w:rPr>
          <w:rFonts w:hint="eastAsia"/>
          <w:b/>
          <w:sz w:val="28"/>
          <w:szCs w:val="28"/>
          <w:lang w:bidi="ar"/>
        </w:rPr>
        <w:t>5</w:t>
      </w:r>
      <w:r>
        <w:rPr>
          <w:b/>
          <w:sz w:val="28"/>
          <w:szCs w:val="28"/>
          <w:lang w:bidi="ar"/>
        </w:rPr>
        <w:t xml:space="preserve">  一般危险源风险等级划分标准表-风险矩阵法（LS法）</w:t>
      </w:r>
    </w:p>
    <w:tbl>
      <w:tblPr>
        <w:tblStyle w:val="34"/>
        <w:tblW w:w="0" w:type="auto"/>
        <w:jc w:val="center"/>
        <w:tblLayout w:type="fixed"/>
        <w:tblCellMar>
          <w:top w:w="0" w:type="dxa"/>
          <w:left w:w="108" w:type="dxa"/>
          <w:bottom w:w="0" w:type="dxa"/>
          <w:right w:w="108" w:type="dxa"/>
        </w:tblCellMar>
      </w:tblPr>
      <w:tblGrid>
        <w:gridCol w:w="2094"/>
        <w:gridCol w:w="2412"/>
        <w:gridCol w:w="2269"/>
        <w:gridCol w:w="1747"/>
      </w:tblGrid>
      <w:tr>
        <w:tblPrEx>
          <w:tblCellMar>
            <w:top w:w="0" w:type="dxa"/>
            <w:left w:w="108" w:type="dxa"/>
            <w:bottom w:w="0" w:type="dxa"/>
            <w:right w:w="108" w:type="dxa"/>
          </w:tblCellMar>
        </w:tblPrEx>
        <w:trPr>
          <w:trHeight w:val="567" w:hRule="atLeast"/>
          <w:jc w:val="center"/>
        </w:trPr>
        <w:tc>
          <w:tcPr>
            <w:tcW w:w="209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eastAsia="宋体"/>
                <w:b/>
                <w:sz w:val="28"/>
                <w:szCs w:val="28"/>
              </w:rPr>
            </w:pPr>
            <w:r>
              <w:rPr>
                <w:rFonts w:ascii="Times New Roman" w:eastAsia="宋体"/>
                <w:b/>
                <w:sz w:val="28"/>
                <w:szCs w:val="28"/>
              </w:rPr>
              <w:t>R值区间</w:t>
            </w:r>
          </w:p>
        </w:tc>
        <w:tc>
          <w:tcPr>
            <w:tcW w:w="2412" w:type="dxa"/>
            <w:tcBorders>
              <w:top w:val="single" w:color="auto" w:sz="4" w:space="0"/>
              <w:left w:val="nil"/>
              <w:bottom w:val="single" w:color="auto" w:sz="4" w:space="0"/>
              <w:right w:val="single" w:color="000000" w:sz="4" w:space="0"/>
            </w:tcBorders>
            <w:vAlign w:val="center"/>
          </w:tcPr>
          <w:p>
            <w:pPr>
              <w:jc w:val="center"/>
              <w:rPr>
                <w:rFonts w:ascii="Times New Roman" w:eastAsia="宋体"/>
                <w:b/>
                <w:sz w:val="28"/>
                <w:szCs w:val="28"/>
              </w:rPr>
            </w:pPr>
            <w:r>
              <w:rPr>
                <w:rFonts w:ascii="Times New Roman" w:eastAsia="宋体"/>
                <w:b/>
                <w:sz w:val="28"/>
                <w:szCs w:val="28"/>
              </w:rPr>
              <w:t>风险程度</w:t>
            </w:r>
          </w:p>
        </w:tc>
        <w:tc>
          <w:tcPr>
            <w:tcW w:w="2269"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eastAsia="宋体"/>
                <w:b/>
                <w:sz w:val="28"/>
                <w:szCs w:val="28"/>
              </w:rPr>
            </w:pPr>
            <w:r>
              <w:rPr>
                <w:rFonts w:ascii="Times New Roman" w:eastAsia="宋体"/>
                <w:b/>
                <w:sz w:val="28"/>
                <w:szCs w:val="28"/>
              </w:rPr>
              <w:t>风险等级</w:t>
            </w:r>
          </w:p>
        </w:tc>
        <w:tc>
          <w:tcPr>
            <w:tcW w:w="1747"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eastAsia="宋体"/>
                <w:b/>
                <w:sz w:val="28"/>
                <w:szCs w:val="28"/>
              </w:rPr>
            </w:pPr>
            <w:r>
              <w:rPr>
                <w:rFonts w:ascii="Times New Roman" w:eastAsia="宋体"/>
                <w:b/>
                <w:sz w:val="28"/>
                <w:szCs w:val="28"/>
              </w:rPr>
              <w:t>颜色标示</w:t>
            </w:r>
          </w:p>
        </w:tc>
      </w:tr>
      <w:tr>
        <w:tblPrEx>
          <w:tblCellMar>
            <w:top w:w="0" w:type="dxa"/>
            <w:left w:w="108" w:type="dxa"/>
            <w:bottom w:w="0" w:type="dxa"/>
            <w:right w:w="108" w:type="dxa"/>
          </w:tblCellMar>
        </w:tblPrEx>
        <w:trPr>
          <w:trHeight w:val="567" w:hRule="atLeast"/>
          <w:jc w:val="center"/>
        </w:trPr>
        <w:tc>
          <w:tcPr>
            <w:tcW w:w="2094" w:type="dxa"/>
            <w:tcBorders>
              <w:top w:val="nil"/>
              <w:left w:val="single" w:color="auto" w:sz="4" w:space="0"/>
              <w:bottom w:val="single" w:color="auto" w:sz="4" w:space="0"/>
              <w:right w:val="single" w:color="auto" w:sz="4" w:space="0"/>
            </w:tcBorders>
            <w:vAlign w:val="center"/>
          </w:tcPr>
          <w:p>
            <w:pPr>
              <w:jc w:val="center"/>
              <w:rPr>
                <w:rFonts w:ascii="宋体" w:hAnsi="宋体" w:eastAsia="宋体"/>
                <w:bCs/>
                <w:sz w:val="28"/>
                <w:szCs w:val="28"/>
              </w:rPr>
            </w:pPr>
            <w:r>
              <w:rPr>
                <w:rFonts w:ascii="宋体" w:hAnsi="宋体" w:eastAsia="宋体"/>
                <w:sz w:val="28"/>
                <w:szCs w:val="28"/>
              </w:rPr>
              <w:t>R＞</w:t>
            </w:r>
            <w:r>
              <w:rPr>
                <w:rFonts w:ascii="宋体" w:hAnsi="宋体" w:eastAsia="宋体"/>
                <w:bCs/>
                <w:sz w:val="28"/>
                <w:szCs w:val="28"/>
              </w:rPr>
              <w:t>320</w:t>
            </w:r>
          </w:p>
        </w:tc>
        <w:tc>
          <w:tcPr>
            <w:tcW w:w="2412" w:type="dxa"/>
            <w:tcBorders>
              <w:top w:val="nil"/>
              <w:left w:val="nil"/>
              <w:bottom w:val="single" w:color="auto" w:sz="4" w:space="0"/>
              <w:right w:val="single" w:color="auto" w:sz="4" w:space="0"/>
            </w:tcBorders>
            <w:vAlign w:val="center"/>
          </w:tcPr>
          <w:p>
            <w:pPr>
              <w:jc w:val="center"/>
              <w:rPr>
                <w:rFonts w:ascii="宋体" w:hAnsi="宋体" w:eastAsia="宋体"/>
                <w:sz w:val="28"/>
                <w:szCs w:val="28"/>
              </w:rPr>
            </w:pPr>
            <w:r>
              <w:rPr>
                <w:rFonts w:ascii="宋体" w:hAnsi="宋体" w:eastAsia="宋体"/>
                <w:sz w:val="28"/>
                <w:szCs w:val="28"/>
                <w:lang w:bidi="ar"/>
              </w:rPr>
              <w:t>极其危险</w:t>
            </w:r>
          </w:p>
        </w:tc>
        <w:tc>
          <w:tcPr>
            <w:tcW w:w="2269" w:type="dxa"/>
            <w:tcBorders>
              <w:top w:val="single" w:color="000000" w:sz="4" w:space="0"/>
              <w:left w:val="single" w:color="auto" w:sz="4" w:space="0"/>
              <w:bottom w:val="single" w:color="auto" w:sz="4" w:space="0"/>
              <w:right w:val="single" w:color="auto" w:sz="4" w:space="0"/>
            </w:tcBorders>
            <w:vAlign w:val="center"/>
          </w:tcPr>
          <w:p>
            <w:pPr>
              <w:jc w:val="center"/>
              <w:rPr>
                <w:rFonts w:ascii="宋体" w:hAnsi="宋体" w:eastAsia="宋体"/>
                <w:bCs/>
                <w:sz w:val="28"/>
                <w:szCs w:val="28"/>
              </w:rPr>
            </w:pPr>
            <w:r>
              <w:rPr>
                <w:rFonts w:ascii="宋体" w:hAnsi="宋体" w:eastAsia="宋体"/>
                <w:bCs/>
                <w:sz w:val="28"/>
                <w:szCs w:val="28"/>
              </w:rPr>
              <w:t>重大风险</w:t>
            </w:r>
          </w:p>
        </w:tc>
        <w:tc>
          <w:tcPr>
            <w:tcW w:w="1747" w:type="dxa"/>
            <w:tcBorders>
              <w:top w:val="single" w:color="000000" w:sz="4" w:space="0"/>
              <w:left w:val="single" w:color="auto" w:sz="4" w:space="0"/>
              <w:bottom w:val="single" w:color="auto" w:sz="4" w:space="0"/>
              <w:right w:val="single" w:color="auto" w:sz="4" w:space="0"/>
            </w:tcBorders>
            <w:vAlign w:val="center"/>
          </w:tcPr>
          <w:p>
            <w:pPr>
              <w:jc w:val="center"/>
              <w:rPr>
                <w:rFonts w:ascii="宋体" w:hAnsi="宋体" w:eastAsia="宋体"/>
                <w:bCs/>
                <w:sz w:val="28"/>
                <w:szCs w:val="28"/>
              </w:rPr>
            </w:pPr>
            <w:r>
              <w:rPr>
                <w:rFonts w:ascii="宋体" w:hAnsi="宋体" w:eastAsia="宋体"/>
                <w:bCs/>
                <w:sz w:val="28"/>
                <w:szCs w:val="28"/>
              </w:rPr>
              <w:t>红</w:t>
            </w:r>
          </w:p>
        </w:tc>
      </w:tr>
      <w:tr>
        <w:tblPrEx>
          <w:tblCellMar>
            <w:top w:w="0" w:type="dxa"/>
            <w:left w:w="108" w:type="dxa"/>
            <w:bottom w:w="0" w:type="dxa"/>
            <w:right w:w="108" w:type="dxa"/>
          </w:tblCellMar>
        </w:tblPrEx>
        <w:trPr>
          <w:trHeight w:val="567" w:hRule="atLeast"/>
          <w:jc w:val="center"/>
        </w:trPr>
        <w:tc>
          <w:tcPr>
            <w:tcW w:w="2094" w:type="dxa"/>
            <w:tcBorders>
              <w:top w:val="nil"/>
              <w:left w:val="single" w:color="auto" w:sz="4" w:space="0"/>
              <w:bottom w:val="single" w:color="auto" w:sz="4" w:space="0"/>
              <w:right w:val="single" w:color="auto" w:sz="4" w:space="0"/>
            </w:tcBorders>
            <w:vAlign w:val="center"/>
          </w:tcPr>
          <w:p>
            <w:pPr>
              <w:jc w:val="center"/>
              <w:rPr>
                <w:rFonts w:ascii="宋体" w:hAnsi="宋体" w:eastAsia="宋体"/>
                <w:bCs/>
                <w:sz w:val="28"/>
                <w:szCs w:val="28"/>
              </w:rPr>
            </w:pPr>
            <w:r>
              <w:rPr>
                <w:rFonts w:ascii="宋体" w:hAnsi="宋体" w:eastAsia="宋体"/>
                <w:bCs/>
                <w:sz w:val="28"/>
                <w:szCs w:val="28"/>
              </w:rPr>
              <w:t>160＜</w:t>
            </w:r>
            <w:r>
              <w:rPr>
                <w:rFonts w:ascii="宋体" w:hAnsi="宋体" w:eastAsia="宋体"/>
                <w:sz w:val="28"/>
                <w:szCs w:val="28"/>
              </w:rPr>
              <w:t>R</w:t>
            </w:r>
            <w:r>
              <w:rPr>
                <w:rFonts w:hint="eastAsia" w:ascii="宋体" w:hAnsi="宋体" w:eastAsia="宋体"/>
                <w:sz w:val="28"/>
                <w:szCs w:val="28"/>
              </w:rPr>
              <w:t>≤</w:t>
            </w:r>
            <w:r>
              <w:rPr>
                <w:rFonts w:ascii="宋体" w:hAnsi="宋体" w:eastAsia="宋体"/>
                <w:bCs/>
                <w:sz w:val="28"/>
                <w:szCs w:val="28"/>
              </w:rPr>
              <w:t>320</w:t>
            </w:r>
          </w:p>
        </w:tc>
        <w:tc>
          <w:tcPr>
            <w:tcW w:w="2412" w:type="dxa"/>
            <w:tcBorders>
              <w:top w:val="nil"/>
              <w:left w:val="nil"/>
              <w:bottom w:val="single" w:color="auto" w:sz="4" w:space="0"/>
              <w:right w:val="single" w:color="auto" w:sz="4" w:space="0"/>
            </w:tcBorders>
            <w:vAlign w:val="center"/>
          </w:tcPr>
          <w:p>
            <w:pPr>
              <w:jc w:val="center"/>
              <w:rPr>
                <w:rFonts w:ascii="宋体" w:hAnsi="宋体" w:eastAsia="宋体"/>
                <w:sz w:val="28"/>
                <w:szCs w:val="28"/>
              </w:rPr>
            </w:pPr>
            <w:r>
              <w:rPr>
                <w:rFonts w:ascii="宋体" w:hAnsi="宋体" w:eastAsia="宋体"/>
                <w:sz w:val="28"/>
                <w:szCs w:val="28"/>
                <w:lang w:bidi="ar"/>
              </w:rPr>
              <w:t>高度危险</w:t>
            </w:r>
          </w:p>
        </w:tc>
        <w:tc>
          <w:tcPr>
            <w:tcW w:w="226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bCs/>
                <w:sz w:val="28"/>
                <w:szCs w:val="28"/>
              </w:rPr>
            </w:pPr>
            <w:r>
              <w:rPr>
                <w:rFonts w:ascii="宋体" w:hAnsi="宋体" w:eastAsia="宋体"/>
                <w:bCs/>
                <w:sz w:val="28"/>
                <w:szCs w:val="28"/>
              </w:rPr>
              <w:t>较大风险</w:t>
            </w:r>
          </w:p>
        </w:tc>
        <w:tc>
          <w:tcPr>
            <w:tcW w:w="174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bCs/>
                <w:sz w:val="28"/>
                <w:szCs w:val="28"/>
              </w:rPr>
            </w:pPr>
            <w:r>
              <w:rPr>
                <w:rFonts w:ascii="宋体" w:hAnsi="宋体" w:eastAsia="宋体"/>
                <w:bCs/>
                <w:sz w:val="28"/>
                <w:szCs w:val="28"/>
              </w:rPr>
              <w:t>橙</w:t>
            </w:r>
          </w:p>
        </w:tc>
      </w:tr>
      <w:tr>
        <w:tblPrEx>
          <w:tblCellMar>
            <w:top w:w="0" w:type="dxa"/>
            <w:left w:w="108" w:type="dxa"/>
            <w:bottom w:w="0" w:type="dxa"/>
            <w:right w:w="108" w:type="dxa"/>
          </w:tblCellMar>
        </w:tblPrEx>
        <w:trPr>
          <w:trHeight w:val="567" w:hRule="atLeast"/>
          <w:jc w:val="center"/>
        </w:trPr>
        <w:tc>
          <w:tcPr>
            <w:tcW w:w="2094" w:type="dxa"/>
            <w:tcBorders>
              <w:top w:val="nil"/>
              <w:left w:val="single" w:color="auto" w:sz="4" w:space="0"/>
              <w:bottom w:val="single" w:color="auto" w:sz="4" w:space="0"/>
              <w:right w:val="single" w:color="auto" w:sz="4" w:space="0"/>
            </w:tcBorders>
            <w:vAlign w:val="center"/>
          </w:tcPr>
          <w:p>
            <w:pPr>
              <w:jc w:val="center"/>
              <w:rPr>
                <w:rFonts w:ascii="宋体" w:hAnsi="宋体" w:eastAsia="宋体"/>
                <w:bCs/>
                <w:sz w:val="28"/>
                <w:szCs w:val="28"/>
              </w:rPr>
            </w:pPr>
            <w:r>
              <w:rPr>
                <w:rFonts w:ascii="宋体" w:hAnsi="宋体" w:eastAsia="宋体"/>
                <w:bCs/>
                <w:sz w:val="28"/>
                <w:szCs w:val="28"/>
              </w:rPr>
              <w:t>7</w:t>
            </w:r>
            <w:bookmarkStart w:id="197" w:name="_Hlk24399706"/>
            <w:r>
              <w:rPr>
                <w:rFonts w:ascii="宋体" w:hAnsi="宋体" w:eastAsia="宋体"/>
                <w:bCs/>
                <w:sz w:val="28"/>
                <w:szCs w:val="28"/>
              </w:rPr>
              <w:t>0＜</w:t>
            </w:r>
            <w:bookmarkEnd w:id="197"/>
            <w:r>
              <w:rPr>
                <w:rFonts w:ascii="宋体" w:hAnsi="宋体" w:eastAsia="宋体"/>
                <w:sz w:val="28"/>
                <w:szCs w:val="28"/>
              </w:rPr>
              <w:t>R</w:t>
            </w:r>
            <w:r>
              <w:rPr>
                <w:rFonts w:hint="eastAsia" w:ascii="宋体" w:hAnsi="宋体" w:eastAsia="宋体"/>
                <w:sz w:val="28"/>
                <w:szCs w:val="28"/>
              </w:rPr>
              <w:t>≤</w:t>
            </w:r>
            <w:r>
              <w:rPr>
                <w:rFonts w:ascii="宋体" w:hAnsi="宋体" w:eastAsia="宋体"/>
                <w:bCs/>
                <w:sz w:val="28"/>
                <w:szCs w:val="28"/>
              </w:rPr>
              <w:t>160</w:t>
            </w:r>
          </w:p>
        </w:tc>
        <w:tc>
          <w:tcPr>
            <w:tcW w:w="2412" w:type="dxa"/>
            <w:tcBorders>
              <w:top w:val="nil"/>
              <w:left w:val="nil"/>
              <w:bottom w:val="single" w:color="auto" w:sz="4" w:space="0"/>
              <w:right w:val="single" w:color="auto" w:sz="4" w:space="0"/>
            </w:tcBorders>
            <w:vAlign w:val="center"/>
          </w:tcPr>
          <w:p>
            <w:pPr>
              <w:jc w:val="center"/>
              <w:rPr>
                <w:rFonts w:ascii="宋体" w:hAnsi="宋体" w:eastAsia="宋体"/>
                <w:sz w:val="28"/>
                <w:szCs w:val="28"/>
              </w:rPr>
            </w:pPr>
            <w:r>
              <w:rPr>
                <w:rFonts w:ascii="宋体" w:hAnsi="宋体" w:eastAsia="宋体"/>
                <w:sz w:val="28"/>
                <w:szCs w:val="28"/>
                <w:lang w:bidi="ar"/>
              </w:rPr>
              <w:t>中度危险</w:t>
            </w:r>
          </w:p>
        </w:tc>
        <w:tc>
          <w:tcPr>
            <w:tcW w:w="226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bCs/>
                <w:sz w:val="28"/>
                <w:szCs w:val="28"/>
              </w:rPr>
            </w:pPr>
            <w:r>
              <w:rPr>
                <w:rFonts w:ascii="宋体" w:hAnsi="宋体" w:eastAsia="宋体"/>
                <w:bCs/>
                <w:sz w:val="28"/>
                <w:szCs w:val="28"/>
                <w:lang w:bidi="ar"/>
              </w:rPr>
              <w:t>一般风险</w:t>
            </w:r>
          </w:p>
        </w:tc>
        <w:tc>
          <w:tcPr>
            <w:tcW w:w="174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bCs/>
                <w:sz w:val="28"/>
                <w:szCs w:val="28"/>
              </w:rPr>
            </w:pPr>
            <w:r>
              <w:rPr>
                <w:rFonts w:ascii="宋体" w:hAnsi="宋体" w:eastAsia="宋体"/>
                <w:bCs/>
                <w:sz w:val="28"/>
                <w:szCs w:val="28"/>
                <w:lang w:bidi="ar"/>
              </w:rPr>
              <w:t>黄</w:t>
            </w:r>
          </w:p>
        </w:tc>
      </w:tr>
      <w:tr>
        <w:tblPrEx>
          <w:tblCellMar>
            <w:top w:w="0" w:type="dxa"/>
            <w:left w:w="108" w:type="dxa"/>
            <w:bottom w:w="0" w:type="dxa"/>
            <w:right w:w="108" w:type="dxa"/>
          </w:tblCellMar>
        </w:tblPrEx>
        <w:trPr>
          <w:trHeight w:val="567" w:hRule="atLeast"/>
          <w:jc w:val="center"/>
        </w:trPr>
        <w:tc>
          <w:tcPr>
            <w:tcW w:w="209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bCs/>
                <w:sz w:val="28"/>
                <w:szCs w:val="28"/>
              </w:rPr>
            </w:pPr>
            <w:r>
              <w:rPr>
                <w:rFonts w:ascii="宋体" w:hAnsi="宋体" w:eastAsia="宋体"/>
                <w:sz w:val="28"/>
                <w:szCs w:val="28"/>
              </w:rPr>
              <w:t>R</w:t>
            </w:r>
            <w:r>
              <w:rPr>
                <w:rFonts w:hint="eastAsia" w:ascii="宋体" w:hAnsi="宋体" w:eastAsia="宋体"/>
                <w:sz w:val="28"/>
                <w:szCs w:val="28"/>
              </w:rPr>
              <w:t>≤</w:t>
            </w:r>
            <w:r>
              <w:rPr>
                <w:rFonts w:ascii="宋体" w:hAnsi="宋体" w:eastAsia="宋体"/>
                <w:bCs/>
                <w:sz w:val="28"/>
                <w:szCs w:val="28"/>
              </w:rPr>
              <w:t>70</w:t>
            </w:r>
          </w:p>
        </w:tc>
        <w:tc>
          <w:tcPr>
            <w:tcW w:w="241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sz w:val="28"/>
                <w:szCs w:val="28"/>
              </w:rPr>
            </w:pPr>
            <w:r>
              <w:rPr>
                <w:rFonts w:ascii="宋体" w:hAnsi="宋体" w:eastAsia="宋体"/>
                <w:sz w:val="28"/>
                <w:szCs w:val="28"/>
                <w:lang w:bidi="ar"/>
              </w:rPr>
              <w:t>轻度危险</w:t>
            </w:r>
          </w:p>
        </w:tc>
        <w:tc>
          <w:tcPr>
            <w:tcW w:w="226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bCs/>
                <w:sz w:val="28"/>
                <w:szCs w:val="28"/>
              </w:rPr>
            </w:pPr>
            <w:r>
              <w:rPr>
                <w:rFonts w:ascii="宋体" w:hAnsi="宋体" w:eastAsia="宋体"/>
                <w:bCs/>
                <w:sz w:val="28"/>
                <w:szCs w:val="28"/>
                <w:lang w:bidi="ar"/>
              </w:rPr>
              <w:t>低风险</w:t>
            </w:r>
          </w:p>
        </w:tc>
        <w:tc>
          <w:tcPr>
            <w:tcW w:w="174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bCs/>
                <w:sz w:val="28"/>
                <w:szCs w:val="28"/>
              </w:rPr>
            </w:pPr>
            <w:r>
              <w:rPr>
                <w:rFonts w:ascii="宋体" w:hAnsi="宋体" w:eastAsia="宋体"/>
                <w:bCs/>
                <w:sz w:val="28"/>
                <w:szCs w:val="28"/>
                <w:lang w:bidi="ar"/>
              </w:rPr>
              <w:t>蓝</w:t>
            </w:r>
          </w:p>
        </w:tc>
      </w:tr>
    </w:tbl>
    <w:p>
      <w:pPr>
        <w:spacing w:line="360" w:lineRule="auto"/>
        <w:ind w:firstLine="640" w:firstLineChars="200"/>
        <w:rPr>
          <w:rFonts w:eastAsia="仿宋"/>
          <w:lang w:bidi="ar"/>
        </w:rPr>
      </w:pPr>
    </w:p>
    <w:p>
      <w:pPr>
        <w:widowControl w:val="0"/>
        <w:adjustRightInd w:val="0"/>
        <w:snapToGrid w:val="0"/>
        <w:spacing w:line="360" w:lineRule="auto"/>
        <w:ind w:firstLine="400" w:firstLineChars="200"/>
        <w:jc w:val="center"/>
        <w:rPr>
          <w:rFonts w:ascii="Times New Roman" w:eastAsia="黑体"/>
          <w:bCs/>
          <w:sz w:val="20"/>
          <w:szCs w:val="20"/>
        </w:rPr>
      </w:pPr>
    </w:p>
    <w:p>
      <w:pPr>
        <w:rPr>
          <w:rFonts w:cs="宋体" w:asciiTheme="minorEastAsia" w:hAnsiTheme="minorEastAsia" w:eastAsiaTheme="minorEastAsia"/>
          <w:sz w:val="21"/>
          <w:szCs w:val="21"/>
        </w:rPr>
        <w:sectPr>
          <w:pgSz w:w="11906" w:h="16838"/>
          <w:pgMar w:top="1440" w:right="1797" w:bottom="1440" w:left="1797" w:header="851" w:footer="992" w:gutter="0"/>
          <w:cols w:space="425" w:num="1"/>
          <w:docGrid w:type="lines" w:linePitch="435" w:charSpace="0"/>
        </w:sectPr>
      </w:pPr>
    </w:p>
    <w:p>
      <w:pPr>
        <w:jc w:val="center"/>
        <w:outlineLvl w:val="0"/>
        <w:rPr>
          <w:rFonts w:ascii="方正小标宋_GBK" w:hAnsi="黑体" w:eastAsia="方正小标宋_GBK"/>
          <w:b/>
          <w:bCs/>
          <w:sz w:val="28"/>
          <w:szCs w:val="28"/>
        </w:rPr>
      </w:pPr>
      <w:bookmarkStart w:id="198" w:name="_Toc119336625"/>
      <w:bookmarkStart w:id="199" w:name="_Toc117541343"/>
      <w:r>
        <w:rPr>
          <w:rFonts w:hint="eastAsia" w:ascii="方正小标宋_GBK" w:hAnsi="黑体" w:eastAsia="方正小标宋_GBK"/>
          <w:b/>
          <w:bCs/>
          <w:sz w:val="28"/>
          <w:szCs w:val="28"/>
        </w:rPr>
        <w:t>附录F.4</w:t>
      </w:r>
      <w:bookmarkEnd w:id="198"/>
      <w:bookmarkEnd w:id="199"/>
    </w:p>
    <w:p>
      <w:pPr>
        <w:jc w:val="center"/>
        <w:rPr>
          <w:rFonts w:ascii="方正小标宋_GBK" w:hAnsi="黑体" w:eastAsia="方正小标宋_GBK"/>
          <w:b/>
          <w:bCs/>
          <w:sz w:val="28"/>
          <w:szCs w:val="28"/>
        </w:rPr>
      </w:pPr>
      <w:r>
        <w:rPr>
          <w:rFonts w:hint="eastAsia" w:ascii="方正小标宋_GBK" w:hAnsi="黑体" w:eastAsia="方正小标宋_GBK"/>
          <w:b/>
          <w:bCs/>
          <w:sz w:val="28"/>
          <w:szCs w:val="28"/>
        </w:rPr>
        <w:t xml:space="preserve">（资料性附录） </w:t>
      </w:r>
    </w:p>
    <w:p>
      <w:pPr>
        <w:jc w:val="center"/>
        <w:rPr>
          <w:rFonts w:ascii="方正小标宋_GBK" w:hAnsi="黑体" w:eastAsia="方正小标宋_GBK"/>
          <w:b/>
          <w:bCs/>
          <w:sz w:val="28"/>
          <w:szCs w:val="28"/>
        </w:rPr>
      </w:pPr>
    </w:p>
    <w:p>
      <w:pPr>
        <w:jc w:val="center"/>
        <w:outlineLvl w:val="1"/>
        <w:rPr>
          <w:rFonts w:ascii="方正小标宋_GBK" w:hAnsi="黑体" w:eastAsia="方正小标宋_GBK"/>
          <w:b/>
          <w:bCs/>
          <w:sz w:val="28"/>
          <w:szCs w:val="28"/>
        </w:rPr>
      </w:pPr>
      <w:bookmarkStart w:id="200" w:name="_Toc117541344"/>
      <w:bookmarkStart w:id="201" w:name="_Toc119336626"/>
      <w:r>
        <w:rPr>
          <w:rFonts w:hint="eastAsia" w:ascii="方正小标宋_GBK" w:hAnsi="黑体" w:eastAsia="方正小标宋_GBK"/>
          <w:b/>
          <w:bCs/>
          <w:sz w:val="28"/>
          <w:szCs w:val="28"/>
        </w:rPr>
        <w:t>堤防、淤地坝运行一般危险源风险评价方法—风险矩阵法（LS法）</w:t>
      </w:r>
      <w:bookmarkEnd w:id="200"/>
      <w:bookmarkEnd w:id="201"/>
    </w:p>
    <w:p>
      <w:pPr>
        <w:jc w:val="center"/>
        <w:rPr>
          <w:rFonts w:ascii="方正小标宋_GBK" w:hAnsi="黑体" w:eastAsia="方正小标宋_GBK"/>
          <w:b/>
          <w:bCs/>
          <w:sz w:val="28"/>
          <w:szCs w:val="28"/>
        </w:rPr>
      </w:pPr>
    </w:p>
    <w:p>
      <w:pPr>
        <w:widowControl w:val="0"/>
        <w:spacing w:line="360" w:lineRule="auto"/>
        <w:ind w:firstLine="640" w:firstLineChars="200"/>
        <w:rPr>
          <w:rFonts w:ascii="黑体" w:hAnsi="黑体" w:eastAsia="黑体" w:cs="黑体"/>
          <w:bCs/>
        </w:rPr>
      </w:pPr>
      <w:r>
        <w:rPr>
          <w:rFonts w:hint="eastAsia" w:ascii="黑体" w:hAnsi="黑体" w:eastAsia="黑体" w:cs="黑体"/>
          <w:bCs/>
        </w:rPr>
        <w:t>一、风险矩阵法（LS法）的数学表达式为：</w:t>
      </w:r>
    </w:p>
    <w:p>
      <w:pPr>
        <w:widowControl w:val="0"/>
        <w:spacing w:line="360" w:lineRule="auto"/>
        <w:ind w:firstLine="960" w:firstLineChars="300"/>
        <w:rPr>
          <w:rFonts w:ascii="Calibri" w:hAnsi="Calibri" w:eastAsia="仿宋" w:cs="Calibri"/>
        </w:rPr>
      </w:pPr>
      <w:r>
        <w:rPr>
          <w:rFonts w:hint="eastAsia" w:ascii="黑体" w:hAnsi="黑体" w:eastAsia="黑体" w:cs="黑体"/>
        </w:rPr>
        <w:t>R = L×S</w:t>
      </w:r>
      <w:r>
        <w:rPr>
          <w:rFonts w:ascii="Calibri" w:hAnsi="Calibri" w:eastAsia="仿宋" w:cs="Calibri"/>
        </w:rPr>
        <w:t xml:space="preserve">                           （公式</w:t>
      </w:r>
      <w:r>
        <w:rPr>
          <w:rFonts w:hint="eastAsia" w:ascii="黑体" w:hAnsi="黑体" w:eastAsia="黑体" w:cs="黑体"/>
        </w:rPr>
        <w:t>1</w:t>
      </w:r>
      <w:r>
        <w:rPr>
          <w:rFonts w:ascii="Calibri" w:hAnsi="Calibri" w:eastAsia="仿宋" w:cs="Calibri"/>
        </w:rPr>
        <w:t>）</w:t>
      </w:r>
    </w:p>
    <w:p>
      <w:pPr>
        <w:widowControl w:val="0"/>
        <w:spacing w:line="360" w:lineRule="auto"/>
        <w:ind w:firstLine="640" w:firstLineChars="200"/>
        <w:rPr>
          <w:rFonts w:ascii="Calibri" w:hAnsi="Calibri" w:eastAsia="仿宋" w:cs="Calibri"/>
          <w:bCs/>
        </w:rPr>
      </w:pPr>
      <w:r>
        <w:rPr>
          <w:rFonts w:ascii="Calibri" w:hAnsi="Calibri" w:eastAsia="仿宋" w:cs="Calibri"/>
        </w:rPr>
        <w:t>式中：</w:t>
      </w:r>
      <w:r>
        <w:rPr>
          <w:rFonts w:hint="eastAsia" w:ascii="黑体" w:hAnsi="黑体" w:eastAsia="黑体" w:cs="黑体"/>
          <w:bCs/>
        </w:rPr>
        <w:t>R</w:t>
      </w:r>
      <w:r>
        <w:rPr>
          <w:rFonts w:ascii="Calibri" w:hAnsi="Calibri" w:eastAsia="仿宋" w:cs="Calibri"/>
          <w:bCs/>
        </w:rPr>
        <w:t>—风险值；</w:t>
      </w:r>
    </w:p>
    <w:p>
      <w:pPr>
        <w:widowControl w:val="0"/>
        <w:spacing w:line="360" w:lineRule="auto"/>
        <w:ind w:firstLine="1600" w:firstLineChars="500"/>
        <w:rPr>
          <w:rFonts w:ascii="Calibri" w:hAnsi="Calibri" w:eastAsia="仿宋" w:cs="Calibri"/>
          <w:bCs/>
        </w:rPr>
      </w:pPr>
      <w:r>
        <w:rPr>
          <w:rFonts w:hint="eastAsia" w:ascii="黑体" w:hAnsi="黑体" w:eastAsia="黑体" w:cs="黑体"/>
          <w:bCs/>
        </w:rPr>
        <w:t>L</w:t>
      </w:r>
      <w:r>
        <w:rPr>
          <w:rFonts w:ascii="Calibri" w:hAnsi="Calibri" w:eastAsia="仿宋" w:cs="Calibri"/>
          <w:bCs/>
        </w:rPr>
        <w:t>—事故发生的可能性；</w:t>
      </w:r>
    </w:p>
    <w:p>
      <w:pPr>
        <w:widowControl w:val="0"/>
        <w:spacing w:line="360" w:lineRule="auto"/>
        <w:ind w:firstLine="1600" w:firstLineChars="500"/>
        <w:rPr>
          <w:rFonts w:ascii="Calibri" w:hAnsi="Calibri" w:eastAsia="仿宋" w:cs="Calibri"/>
          <w:bCs/>
        </w:rPr>
      </w:pPr>
      <w:r>
        <w:rPr>
          <w:rFonts w:hint="eastAsia" w:ascii="黑体" w:hAnsi="黑体" w:eastAsia="黑体" w:cs="黑体"/>
          <w:bCs/>
        </w:rPr>
        <w:t>S</w:t>
      </w:r>
      <w:r>
        <w:rPr>
          <w:rFonts w:ascii="Calibri" w:hAnsi="Calibri" w:eastAsia="仿宋" w:cs="Calibri"/>
          <w:bCs/>
        </w:rPr>
        <w:t>—事故造成危害的严重程度。</w:t>
      </w:r>
    </w:p>
    <w:p>
      <w:pPr>
        <w:widowControl w:val="0"/>
        <w:spacing w:line="360" w:lineRule="auto"/>
        <w:ind w:firstLine="640" w:firstLineChars="200"/>
        <w:rPr>
          <w:rFonts w:ascii="黑体" w:hAnsi="黑体" w:eastAsia="黑体" w:cs="黑体"/>
          <w:bCs/>
        </w:rPr>
      </w:pPr>
      <w:r>
        <w:rPr>
          <w:rFonts w:hint="eastAsia" w:ascii="黑体" w:hAnsi="黑体" w:eastAsia="黑体" w:cs="黑体"/>
          <w:bCs/>
        </w:rPr>
        <w:t>二、L值的取值过程与标准</w:t>
      </w:r>
    </w:p>
    <w:p>
      <w:pPr>
        <w:widowControl w:val="0"/>
        <w:spacing w:line="360" w:lineRule="auto"/>
        <w:ind w:firstLine="643" w:firstLineChars="200"/>
        <w:rPr>
          <w:rFonts w:ascii="Calibri" w:hAnsi="Calibri" w:eastAsia="仿宋" w:cs="Calibri"/>
          <w:b/>
          <w:bCs/>
        </w:rPr>
      </w:pPr>
      <w:r>
        <w:rPr>
          <w:rFonts w:hint="eastAsia" w:ascii="黑体" w:hAnsi="黑体" w:eastAsia="黑体" w:cs="黑体"/>
          <w:b/>
          <w:bCs/>
          <w:lang w:bidi="ar"/>
        </w:rPr>
        <w:t>1.</w:t>
      </w:r>
      <w:r>
        <w:rPr>
          <w:rFonts w:hint="eastAsia" w:ascii="Calibri" w:hAnsi="Calibri" w:eastAsia="仿宋" w:cs="Calibri"/>
          <w:b/>
          <w:bCs/>
          <w:lang w:bidi="ar"/>
        </w:rPr>
        <w:t>堤防工程：</w:t>
      </w:r>
    </w:p>
    <w:p>
      <w:pPr>
        <w:widowControl w:val="0"/>
        <w:spacing w:line="360" w:lineRule="auto"/>
        <w:ind w:firstLine="640" w:firstLineChars="200"/>
        <w:rPr>
          <w:rFonts w:ascii="Calibri" w:hAnsi="Calibri" w:eastAsia="仿宋" w:cs="Calibri"/>
          <w:lang w:bidi="ar"/>
        </w:rPr>
      </w:pPr>
      <w:r>
        <w:rPr>
          <w:rFonts w:hint="eastAsia" w:ascii="黑体" w:hAnsi="黑体" w:eastAsia="黑体" w:cs="黑体"/>
          <w:lang w:bidi="ar"/>
        </w:rPr>
        <w:t>L</w:t>
      </w:r>
      <w:r>
        <w:rPr>
          <w:rFonts w:ascii="Calibri" w:hAnsi="Calibri" w:eastAsia="仿宋" w:cs="Calibri"/>
        </w:rPr>
        <w:t>值应由管理单位</w:t>
      </w:r>
      <w:r>
        <w:rPr>
          <w:rFonts w:ascii="Calibri" w:hAnsi="Calibri" w:eastAsia="仿宋" w:cs="Calibri"/>
          <w:lang w:bidi="ar"/>
        </w:rPr>
        <w:t>三个管理层级（分管负责人、部门负责人、运行管理人员）、多个相关部门（运管、安全或有关部门）人员按照以下过程和标准共同确定：</w:t>
      </w:r>
    </w:p>
    <w:p>
      <w:pPr>
        <w:widowControl w:val="0"/>
        <w:spacing w:line="360" w:lineRule="auto"/>
        <w:ind w:firstLine="643" w:firstLineChars="200"/>
        <w:rPr>
          <w:rFonts w:ascii="Calibri" w:hAnsi="Calibri" w:eastAsia="仿宋" w:cs="Calibri"/>
          <w:lang w:bidi="ar"/>
        </w:rPr>
      </w:pPr>
      <w:r>
        <w:rPr>
          <w:rFonts w:ascii="Calibri" w:hAnsi="Calibri" w:eastAsia="仿宋" w:cs="Calibri"/>
          <w:b/>
          <w:bCs/>
          <w:lang w:bidi="ar"/>
        </w:rPr>
        <w:t>第一步</w:t>
      </w:r>
      <w:r>
        <w:rPr>
          <w:rFonts w:ascii="Calibri" w:hAnsi="Calibri" w:eastAsia="仿宋" w:cs="Calibri"/>
          <w:lang w:bidi="ar"/>
        </w:rPr>
        <w:t>：由每位评价人员</w:t>
      </w:r>
      <w:r>
        <w:rPr>
          <w:rFonts w:ascii="Calibri" w:hAnsi="Calibri" w:eastAsia="仿宋" w:cs="Calibri"/>
        </w:rPr>
        <w:t>根据实际情况和表</w:t>
      </w:r>
      <w:r>
        <w:rPr>
          <w:rFonts w:hint="eastAsia" w:ascii="黑体" w:hAnsi="黑体" w:eastAsia="黑体" w:cs="黑体"/>
        </w:rPr>
        <w:t>1</w:t>
      </w:r>
      <w:r>
        <w:rPr>
          <w:rFonts w:hint="eastAsia" w:ascii="仿宋" w:hAnsi="仿宋" w:eastAsia="仿宋" w:cs="仿宋"/>
        </w:rPr>
        <w:t>，</w:t>
      </w:r>
      <w:r>
        <w:rPr>
          <w:rFonts w:ascii="Calibri" w:hAnsi="Calibri" w:eastAsia="仿宋" w:cs="Calibri"/>
        </w:rPr>
        <w:t>参照附件5初步</w:t>
      </w:r>
      <w:r>
        <w:rPr>
          <w:rFonts w:ascii="Calibri" w:hAnsi="Calibri" w:eastAsia="仿宋" w:cs="Calibri"/>
          <w:lang w:bidi="ar"/>
        </w:rPr>
        <w:t>选取</w:t>
      </w:r>
      <w:r>
        <w:rPr>
          <w:rFonts w:ascii="Calibri" w:hAnsi="Calibri" w:eastAsia="仿宋" w:cs="Calibri"/>
          <w:bCs/>
        </w:rPr>
        <w:t>事故发生的可能性数值</w:t>
      </w:r>
      <w:r>
        <w:rPr>
          <w:rFonts w:ascii="Calibri" w:hAnsi="Calibri" w:eastAsia="仿宋" w:cs="Calibri"/>
          <w:lang w:bidi="ar"/>
        </w:rPr>
        <w:t>（以下用L</w:t>
      </w:r>
      <w:r>
        <w:rPr>
          <w:rFonts w:ascii="Calibri" w:hAnsi="Calibri" w:eastAsia="仿宋" w:cs="Calibri"/>
          <w:vertAlign w:val="subscript"/>
          <w:lang w:bidi="ar"/>
        </w:rPr>
        <w:t>c</w:t>
      </w:r>
      <w:r>
        <w:rPr>
          <w:rFonts w:ascii="Calibri" w:hAnsi="Calibri" w:eastAsia="仿宋" w:cs="Calibri"/>
          <w:lang w:bidi="ar"/>
        </w:rPr>
        <w:t>表示）；</w:t>
      </w:r>
    </w:p>
    <w:p>
      <w:pPr>
        <w:widowControl w:val="0"/>
        <w:spacing w:line="360" w:lineRule="auto"/>
        <w:ind w:firstLine="560" w:firstLineChars="200"/>
        <w:rPr>
          <w:rFonts w:ascii="黑体" w:hAnsi="黑体" w:eastAsia="黑体" w:cs="黑体"/>
          <w:bCs/>
          <w:kern w:val="2"/>
          <w:sz w:val="28"/>
          <w:szCs w:val="28"/>
        </w:rPr>
      </w:pPr>
      <w:r>
        <w:rPr>
          <w:rFonts w:hint="eastAsia" w:ascii="黑体" w:hAnsi="黑体" w:eastAsia="黑体" w:cs="黑体"/>
          <w:bCs/>
          <w:kern w:val="2"/>
          <w:sz w:val="28"/>
          <w:szCs w:val="28"/>
          <w:lang w:bidi="ar"/>
        </w:rPr>
        <w:t>表1                L值取值标准表</w:t>
      </w:r>
    </w:p>
    <w:tbl>
      <w:tblPr>
        <w:tblStyle w:val="3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7"/>
        <w:gridCol w:w="1417"/>
        <w:gridCol w:w="1418"/>
        <w:gridCol w:w="1417"/>
        <w:gridCol w:w="1701"/>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37" w:type="dxa"/>
            <w:vAlign w:val="center"/>
          </w:tcPr>
          <w:p>
            <w:pPr>
              <w:spacing w:line="360" w:lineRule="auto"/>
              <w:jc w:val="center"/>
              <w:rPr>
                <w:rFonts w:ascii="黑体" w:hAnsi="黑体" w:eastAsia="黑体" w:cs="黑体"/>
                <w:bCs/>
                <w:sz w:val="21"/>
                <w:szCs w:val="24"/>
              </w:rPr>
            </w:pPr>
            <w:r>
              <w:rPr>
                <w:rFonts w:hint="eastAsia" w:ascii="黑体" w:hAnsi="黑体" w:eastAsia="黑体" w:cs="黑体"/>
                <w:bCs/>
                <w:sz w:val="21"/>
                <w:szCs w:val="24"/>
              </w:rPr>
              <w:t>可能性</w:t>
            </w:r>
          </w:p>
        </w:tc>
        <w:tc>
          <w:tcPr>
            <w:tcW w:w="1417" w:type="dxa"/>
            <w:vAlign w:val="center"/>
          </w:tcPr>
          <w:p>
            <w:pPr>
              <w:spacing w:line="360" w:lineRule="auto"/>
              <w:jc w:val="center"/>
              <w:rPr>
                <w:rFonts w:ascii="黑体" w:hAnsi="黑体" w:eastAsia="黑体" w:cs="黑体"/>
                <w:bCs/>
                <w:sz w:val="21"/>
                <w:szCs w:val="24"/>
              </w:rPr>
            </w:pPr>
            <w:r>
              <w:rPr>
                <w:rFonts w:hint="eastAsia" w:ascii="黑体" w:hAnsi="黑体" w:eastAsia="黑体" w:cs="黑体"/>
                <w:bCs/>
                <w:sz w:val="21"/>
                <w:szCs w:val="24"/>
              </w:rPr>
              <w:t>一般情况下不会发生</w:t>
            </w:r>
          </w:p>
        </w:tc>
        <w:tc>
          <w:tcPr>
            <w:tcW w:w="1418" w:type="dxa"/>
            <w:vAlign w:val="center"/>
          </w:tcPr>
          <w:p>
            <w:pPr>
              <w:spacing w:line="360" w:lineRule="auto"/>
              <w:jc w:val="center"/>
              <w:rPr>
                <w:rFonts w:ascii="黑体" w:hAnsi="黑体" w:eastAsia="黑体" w:cs="黑体"/>
                <w:bCs/>
                <w:sz w:val="21"/>
                <w:szCs w:val="24"/>
              </w:rPr>
            </w:pPr>
            <w:r>
              <w:rPr>
                <w:rFonts w:hint="eastAsia" w:ascii="黑体" w:hAnsi="黑体" w:eastAsia="黑体" w:cs="黑体"/>
                <w:bCs/>
                <w:sz w:val="21"/>
                <w:szCs w:val="24"/>
              </w:rPr>
              <w:t>极少情况下才发生</w:t>
            </w:r>
          </w:p>
        </w:tc>
        <w:tc>
          <w:tcPr>
            <w:tcW w:w="1417" w:type="dxa"/>
            <w:vAlign w:val="center"/>
          </w:tcPr>
          <w:p>
            <w:pPr>
              <w:spacing w:line="360" w:lineRule="auto"/>
              <w:jc w:val="center"/>
              <w:rPr>
                <w:rFonts w:ascii="黑体" w:hAnsi="黑体" w:eastAsia="黑体" w:cs="黑体"/>
                <w:bCs/>
                <w:sz w:val="21"/>
                <w:szCs w:val="24"/>
              </w:rPr>
            </w:pPr>
            <w:r>
              <w:rPr>
                <w:rFonts w:hint="eastAsia" w:ascii="黑体" w:hAnsi="黑体" w:eastAsia="黑体" w:cs="黑体"/>
                <w:bCs/>
                <w:sz w:val="21"/>
                <w:szCs w:val="24"/>
              </w:rPr>
              <w:t>某些情况下发生</w:t>
            </w:r>
          </w:p>
        </w:tc>
        <w:tc>
          <w:tcPr>
            <w:tcW w:w="1701" w:type="dxa"/>
            <w:vAlign w:val="center"/>
          </w:tcPr>
          <w:p>
            <w:pPr>
              <w:spacing w:line="360" w:lineRule="auto"/>
              <w:jc w:val="center"/>
              <w:rPr>
                <w:rFonts w:ascii="黑体" w:hAnsi="黑体" w:eastAsia="黑体" w:cs="黑体"/>
                <w:bCs/>
                <w:sz w:val="21"/>
                <w:szCs w:val="24"/>
              </w:rPr>
            </w:pPr>
            <w:r>
              <w:rPr>
                <w:rFonts w:hint="eastAsia" w:ascii="黑体" w:hAnsi="黑体" w:eastAsia="黑体" w:cs="黑体"/>
                <w:bCs/>
                <w:sz w:val="21"/>
                <w:szCs w:val="24"/>
              </w:rPr>
              <w:t>较多情况下发生</w:t>
            </w:r>
          </w:p>
        </w:tc>
        <w:tc>
          <w:tcPr>
            <w:tcW w:w="1418" w:type="dxa"/>
            <w:vAlign w:val="center"/>
          </w:tcPr>
          <w:p>
            <w:pPr>
              <w:spacing w:line="360" w:lineRule="auto"/>
              <w:jc w:val="center"/>
              <w:rPr>
                <w:rFonts w:ascii="黑体" w:hAnsi="黑体" w:eastAsia="黑体" w:cs="黑体"/>
                <w:bCs/>
                <w:sz w:val="21"/>
                <w:szCs w:val="24"/>
              </w:rPr>
            </w:pPr>
            <w:r>
              <w:rPr>
                <w:rFonts w:hint="eastAsia" w:ascii="黑体" w:hAnsi="黑体" w:eastAsia="黑体" w:cs="黑体"/>
                <w:bCs/>
                <w:sz w:val="21"/>
                <w:szCs w:val="24"/>
              </w:rPr>
              <w:t>常常会发生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9" w:hRule="atLeast"/>
          <w:jc w:val="center"/>
        </w:trPr>
        <w:tc>
          <w:tcPr>
            <w:tcW w:w="937" w:type="dxa"/>
            <w:vAlign w:val="center"/>
          </w:tcPr>
          <w:p>
            <w:pPr>
              <w:spacing w:line="360" w:lineRule="auto"/>
              <w:jc w:val="center"/>
              <w:rPr>
                <w:rFonts w:ascii="Calibri" w:hAnsi="Calibri" w:eastAsia="宋体" w:cs="Calibri"/>
                <w:b/>
                <w:sz w:val="21"/>
                <w:szCs w:val="24"/>
              </w:rPr>
            </w:pPr>
            <w:r>
              <w:rPr>
                <w:rFonts w:hint="eastAsia" w:ascii="黑体" w:hAnsi="黑体" w:eastAsia="黑体" w:cs="黑体"/>
                <w:bCs/>
                <w:sz w:val="22"/>
                <w:szCs w:val="22"/>
              </w:rPr>
              <w:t>L</w:t>
            </w:r>
            <w:r>
              <w:rPr>
                <w:rFonts w:ascii="Calibri" w:hAnsi="Calibri" w:eastAsia="宋体" w:cs="Calibri"/>
                <w:bCs/>
                <w:sz w:val="21"/>
                <w:szCs w:val="24"/>
              </w:rPr>
              <w:t>值</w:t>
            </w:r>
          </w:p>
        </w:tc>
        <w:tc>
          <w:tcPr>
            <w:tcW w:w="1417" w:type="dxa"/>
            <w:vAlign w:val="center"/>
          </w:tcPr>
          <w:p>
            <w:pPr>
              <w:spacing w:line="360" w:lineRule="auto"/>
              <w:jc w:val="center"/>
              <w:rPr>
                <w:rFonts w:ascii="Calibri" w:hAnsi="Calibri" w:eastAsia="宋体" w:cs="Calibri"/>
                <w:bCs/>
                <w:sz w:val="21"/>
                <w:szCs w:val="24"/>
              </w:rPr>
            </w:pPr>
            <w:r>
              <w:rPr>
                <w:rFonts w:ascii="Calibri" w:hAnsi="Calibri" w:eastAsia="宋体" w:cs="Calibri"/>
                <w:bCs/>
                <w:sz w:val="21"/>
                <w:szCs w:val="24"/>
              </w:rPr>
              <w:t>5</w:t>
            </w:r>
          </w:p>
        </w:tc>
        <w:tc>
          <w:tcPr>
            <w:tcW w:w="1418" w:type="dxa"/>
            <w:vAlign w:val="center"/>
          </w:tcPr>
          <w:p>
            <w:pPr>
              <w:spacing w:line="360" w:lineRule="auto"/>
              <w:jc w:val="center"/>
              <w:rPr>
                <w:rFonts w:ascii="Calibri" w:hAnsi="Calibri" w:eastAsia="宋体" w:cs="Calibri"/>
                <w:bCs/>
                <w:sz w:val="21"/>
                <w:szCs w:val="24"/>
              </w:rPr>
            </w:pPr>
            <w:r>
              <w:rPr>
                <w:rFonts w:ascii="Calibri" w:hAnsi="Calibri" w:eastAsia="宋体" w:cs="Calibri"/>
                <w:bCs/>
                <w:sz w:val="21"/>
                <w:szCs w:val="24"/>
              </w:rPr>
              <w:t>10</w:t>
            </w:r>
          </w:p>
        </w:tc>
        <w:tc>
          <w:tcPr>
            <w:tcW w:w="1417" w:type="dxa"/>
            <w:vAlign w:val="center"/>
          </w:tcPr>
          <w:p>
            <w:pPr>
              <w:spacing w:line="360" w:lineRule="auto"/>
              <w:jc w:val="center"/>
              <w:rPr>
                <w:rFonts w:ascii="Calibri" w:hAnsi="Calibri" w:eastAsia="宋体" w:cs="Calibri"/>
                <w:bCs/>
                <w:sz w:val="21"/>
                <w:szCs w:val="24"/>
              </w:rPr>
            </w:pPr>
            <w:r>
              <w:rPr>
                <w:rFonts w:ascii="Calibri" w:hAnsi="Calibri" w:eastAsia="宋体" w:cs="Calibri"/>
                <w:bCs/>
                <w:sz w:val="21"/>
                <w:szCs w:val="24"/>
              </w:rPr>
              <w:t>30</w:t>
            </w:r>
          </w:p>
        </w:tc>
        <w:tc>
          <w:tcPr>
            <w:tcW w:w="1701" w:type="dxa"/>
            <w:vAlign w:val="center"/>
          </w:tcPr>
          <w:p>
            <w:pPr>
              <w:spacing w:line="360" w:lineRule="auto"/>
              <w:jc w:val="center"/>
              <w:rPr>
                <w:rFonts w:ascii="Calibri" w:hAnsi="Calibri" w:eastAsia="宋体" w:cs="Calibri"/>
                <w:bCs/>
                <w:sz w:val="21"/>
                <w:szCs w:val="24"/>
              </w:rPr>
            </w:pPr>
            <w:r>
              <w:rPr>
                <w:rFonts w:ascii="Calibri" w:hAnsi="Calibri" w:eastAsia="宋体" w:cs="Calibri"/>
                <w:bCs/>
                <w:sz w:val="21"/>
                <w:szCs w:val="24"/>
              </w:rPr>
              <w:t>60</w:t>
            </w:r>
          </w:p>
        </w:tc>
        <w:tc>
          <w:tcPr>
            <w:tcW w:w="1418" w:type="dxa"/>
            <w:vAlign w:val="center"/>
          </w:tcPr>
          <w:p>
            <w:pPr>
              <w:spacing w:line="360" w:lineRule="auto"/>
              <w:jc w:val="center"/>
              <w:rPr>
                <w:rFonts w:ascii="Calibri" w:hAnsi="Calibri" w:eastAsia="宋体" w:cs="Calibri"/>
                <w:bCs/>
                <w:sz w:val="21"/>
                <w:szCs w:val="24"/>
              </w:rPr>
            </w:pPr>
            <w:r>
              <w:rPr>
                <w:rFonts w:ascii="Calibri" w:hAnsi="Calibri" w:eastAsia="宋体" w:cs="Calibri"/>
                <w:bCs/>
                <w:sz w:val="21"/>
                <w:szCs w:val="24"/>
              </w:rPr>
              <w:t>100</w:t>
            </w:r>
          </w:p>
        </w:tc>
      </w:tr>
    </w:tbl>
    <w:p>
      <w:pPr>
        <w:widowControl w:val="0"/>
        <w:spacing w:line="360" w:lineRule="auto"/>
        <w:ind w:firstLine="643" w:firstLineChars="200"/>
        <w:rPr>
          <w:rFonts w:ascii="Calibri" w:hAnsi="Calibri" w:eastAsia="仿宋" w:cs="Calibri"/>
          <w:lang w:bidi="ar"/>
        </w:rPr>
      </w:pPr>
      <w:r>
        <w:rPr>
          <w:rFonts w:ascii="Calibri" w:hAnsi="Calibri" w:eastAsia="仿宋" w:cs="Calibri"/>
          <w:b/>
          <w:bCs/>
          <w:lang w:bidi="ar"/>
        </w:rPr>
        <w:t>第二步：</w:t>
      </w:r>
      <w:r>
        <w:rPr>
          <w:rFonts w:ascii="Calibri" w:hAnsi="Calibri" w:eastAsia="仿宋" w:cs="Calibri"/>
          <w:lang w:bidi="ar"/>
        </w:rPr>
        <w:t>分别计算出三个管理层级中，每一层级内所有人员所取</w:t>
      </w:r>
      <w:r>
        <w:rPr>
          <w:rFonts w:hint="eastAsia" w:ascii="黑体" w:hAnsi="黑体" w:eastAsia="黑体" w:cs="黑体"/>
          <w:lang w:bidi="ar"/>
        </w:rPr>
        <w:t>L</w:t>
      </w:r>
      <w:r>
        <w:rPr>
          <w:rFonts w:hint="eastAsia" w:ascii="黑体" w:hAnsi="黑体" w:eastAsia="黑体" w:cs="黑体"/>
          <w:vertAlign w:val="subscript"/>
          <w:lang w:bidi="ar"/>
        </w:rPr>
        <w:t>c</w:t>
      </w:r>
      <w:r>
        <w:rPr>
          <w:rFonts w:ascii="Calibri" w:hAnsi="Calibri" w:eastAsia="仿宋" w:cs="Calibri"/>
          <w:lang w:bidi="ar"/>
        </w:rPr>
        <w:t>值的算术平均数</w:t>
      </w:r>
      <w:r>
        <w:rPr>
          <w:rFonts w:hint="eastAsia" w:ascii="黑体" w:hAnsi="黑体" w:eastAsia="黑体" w:cs="黑体"/>
          <w:lang w:bidi="ar"/>
        </w:rPr>
        <w:t>L</w:t>
      </w:r>
      <w:r>
        <w:rPr>
          <w:rFonts w:ascii="Calibri" w:hAnsi="Calibri" w:eastAsia="仿宋" w:cs="Calibri"/>
          <w:vertAlign w:val="subscript"/>
          <w:lang w:bidi="ar"/>
        </w:rPr>
        <w:t>j1</w:t>
      </w:r>
      <w:r>
        <w:rPr>
          <w:rFonts w:ascii="Calibri" w:hAnsi="Calibri" w:eastAsia="仿宋" w:cs="Calibri"/>
          <w:lang w:bidi="ar"/>
        </w:rPr>
        <w:t>、</w:t>
      </w:r>
      <w:r>
        <w:rPr>
          <w:rFonts w:hint="eastAsia" w:ascii="黑体" w:hAnsi="黑体" w:eastAsia="黑体" w:cs="黑体"/>
          <w:lang w:bidi="ar"/>
        </w:rPr>
        <w:t>L</w:t>
      </w:r>
      <w:r>
        <w:rPr>
          <w:rFonts w:ascii="Calibri" w:hAnsi="Calibri" w:eastAsia="仿宋" w:cs="Calibri"/>
          <w:vertAlign w:val="subscript"/>
          <w:lang w:bidi="ar"/>
        </w:rPr>
        <w:t>j2</w:t>
      </w:r>
      <w:r>
        <w:rPr>
          <w:rFonts w:ascii="Calibri" w:hAnsi="Calibri" w:eastAsia="仿宋" w:cs="Calibri"/>
          <w:lang w:bidi="ar"/>
        </w:rPr>
        <w:t>、</w:t>
      </w:r>
      <w:r>
        <w:rPr>
          <w:rFonts w:hint="eastAsia" w:ascii="黑体" w:hAnsi="黑体" w:eastAsia="黑体" w:cs="黑体"/>
          <w:lang w:bidi="ar"/>
        </w:rPr>
        <w:t>L</w:t>
      </w:r>
      <w:r>
        <w:rPr>
          <w:rFonts w:ascii="Calibri" w:hAnsi="Calibri" w:eastAsia="仿宋" w:cs="Calibri"/>
          <w:vertAlign w:val="subscript"/>
          <w:lang w:bidi="ar"/>
        </w:rPr>
        <w:t>j3</w:t>
      </w:r>
      <w:r>
        <w:rPr>
          <w:rFonts w:ascii="Calibri" w:hAnsi="Calibri" w:eastAsia="仿宋" w:cs="Calibri"/>
          <w:lang w:bidi="ar"/>
        </w:rPr>
        <w:t>。</w:t>
      </w:r>
    </w:p>
    <w:p>
      <w:pPr>
        <w:widowControl w:val="0"/>
        <w:spacing w:line="360" w:lineRule="auto"/>
        <w:ind w:firstLine="640" w:firstLineChars="200"/>
        <w:rPr>
          <w:rFonts w:ascii="Calibri" w:hAnsi="Calibri" w:eastAsia="仿宋" w:cs="Calibri"/>
          <w:lang w:bidi="ar"/>
        </w:rPr>
      </w:pPr>
      <w:r>
        <w:rPr>
          <w:rFonts w:ascii="Calibri" w:hAnsi="Calibri" w:eastAsia="仿宋" w:cs="Calibri"/>
          <w:lang w:bidi="ar"/>
        </w:rPr>
        <w:t>其中：</w:t>
      </w:r>
      <w:r>
        <w:rPr>
          <w:rFonts w:hint="eastAsia" w:ascii="黑体" w:hAnsi="黑体" w:eastAsia="黑体" w:cs="黑体"/>
        </w:rPr>
        <w:t>j1</w:t>
      </w:r>
      <w:r>
        <w:rPr>
          <w:rFonts w:ascii="Calibri" w:hAnsi="Calibri" w:eastAsia="仿宋" w:cs="Calibri"/>
          <w:lang w:bidi="ar"/>
        </w:rPr>
        <w:t>代表分管负责人层级；</w:t>
      </w:r>
    </w:p>
    <w:p>
      <w:pPr>
        <w:widowControl w:val="0"/>
        <w:spacing w:line="360" w:lineRule="auto"/>
        <w:ind w:firstLine="1600" w:firstLineChars="500"/>
        <w:rPr>
          <w:rFonts w:ascii="Calibri" w:hAnsi="Calibri" w:eastAsia="仿宋" w:cs="Calibri"/>
          <w:lang w:bidi="ar"/>
        </w:rPr>
      </w:pPr>
      <w:r>
        <w:rPr>
          <w:rFonts w:hint="eastAsia" w:ascii="黑体" w:hAnsi="黑体" w:eastAsia="黑体" w:cs="黑体"/>
        </w:rPr>
        <w:t>j2</w:t>
      </w:r>
      <w:r>
        <w:rPr>
          <w:rFonts w:ascii="Calibri" w:hAnsi="Calibri" w:eastAsia="仿宋" w:cs="Calibri"/>
          <w:lang w:bidi="ar"/>
        </w:rPr>
        <w:t>代表部门负责人层级；</w:t>
      </w:r>
    </w:p>
    <w:p>
      <w:pPr>
        <w:widowControl w:val="0"/>
        <w:spacing w:line="360" w:lineRule="auto"/>
        <w:ind w:firstLine="1600" w:firstLineChars="500"/>
        <w:rPr>
          <w:rFonts w:ascii="Calibri" w:hAnsi="Calibri" w:eastAsia="仿宋" w:cs="Calibri"/>
          <w:lang w:bidi="ar"/>
        </w:rPr>
      </w:pPr>
      <w:r>
        <w:rPr>
          <w:rFonts w:hint="eastAsia" w:ascii="黑体" w:hAnsi="黑体" w:eastAsia="黑体" w:cs="黑体"/>
        </w:rPr>
        <w:t>j3</w:t>
      </w:r>
      <w:r>
        <w:rPr>
          <w:rFonts w:ascii="Calibri" w:hAnsi="Calibri" w:eastAsia="仿宋" w:cs="Calibri"/>
          <w:lang w:bidi="ar"/>
        </w:rPr>
        <w:t>代表</w:t>
      </w:r>
      <w:r>
        <w:rPr>
          <w:rFonts w:hint="eastAsia" w:ascii="Calibri" w:hAnsi="Calibri" w:eastAsia="仿宋" w:cs="Calibri"/>
          <w:lang w:bidi="ar"/>
        </w:rPr>
        <w:t>运行</w:t>
      </w:r>
      <w:r>
        <w:rPr>
          <w:rFonts w:ascii="Calibri" w:hAnsi="Calibri" w:eastAsia="仿宋" w:cs="Calibri"/>
          <w:lang w:bidi="ar"/>
        </w:rPr>
        <w:t>管理人员层级；</w:t>
      </w:r>
    </w:p>
    <w:p>
      <w:pPr>
        <w:widowControl w:val="0"/>
        <w:spacing w:line="360" w:lineRule="auto"/>
        <w:ind w:firstLine="643" w:firstLineChars="200"/>
        <w:rPr>
          <w:rFonts w:ascii="Calibri" w:hAnsi="Calibri" w:eastAsia="仿宋" w:cs="Calibri"/>
          <w:lang w:bidi="ar"/>
        </w:rPr>
      </w:pPr>
      <w:r>
        <w:rPr>
          <w:rFonts w:ascii="Calibri" w:hAnsi="Calibri" w:eastAsia="仿宋" w:cs="Calibri"/>
          <w:b/>
          <w:bCs/>
          <w:lang w:bidi="ar"/>
        </w:rPr>
        <w:t>第三步</w:t>
      </w:r>
      <w:r>
        <w:rPr>
          <w:rFonts w:ascii="Calibri" w:hAnsi="Calibri" w:eastAsia="仿宋" w:cs="Calibri"/>
          <w:lang w:bidi="ar"/>
        </w:rPr>
        <w:t>：按照下式计算得出L的最终值。</w:t>
      </w:r>
    </w:p>
    <w:p>
      <w:pPr>
        <w:widowControl w:val="0"/>
        <w:spacing w:line="360" w:lineRule="auto"/>
        <w:ind w:firstLine="1600" w:firstLineChars="500"/>
        <w:rPr>
          <w:rFonts w:ascii="Calibri" w:hAnsi="Calibri" w:eastAsia="仿宋" w:cs="Calibri"/>
          <w:lang w:bidi="ar"/>
        </w:rPr>
      </w:pPr>
      <w:r>
        <w:rPr>
          <w:rFonts w:hint="eastAsia" w:ascii="黑体" w:hAnsi="黑体" w:eastAsia="黑体" w:cs="黑体"/>
        </w:rPr>
        <w:t>L</w:t>
      </w:r>
      <w:r>
        <w:rPr>
          <w:rFonts w:ascii="Calibri" w:hAnsi="Calibri" w:eastAsia="仿宋" w:cs="Calibri"/>
        </w:rPr>
        <w:t>=0.3×</w:t>
      </w:r>
      <w:r>
        <w:rPr>
          <w:rFonts w:hint="eastAsia" w:ascii="黑体" w:hAnsi="黑体" w:eastAsia="黑体" w:cs="黑体"/>
          <w:lang w:bidi="ar"/>
        </w:rPr>
        <w:t>L</w:t>
      </w:r>
      <w:r>
        <w:rPr>
          <w:rFonts w:ascii="Calibri" w:hAnsi="Calibri" w:eastAsia="仿宋" w:cs="Calibri"/>
          <w:vertAlign w:val="subscript"/>
          <w:lang w:bidi="ar"/>
        </w:rPr>
        <w:t>j1</w:t>
      </w:r>
      <w:r>
        <w:rPr>
          <w:rFonts w:ascii="Calibri" w:hAnsi="Calibri" w:eastAsia="仿宋" w:cs="Calibri"/>
        </w:rPr>
        <w:t>+</w:t>
      </w:r>
      <w:r>
        <w:rPr>
          <w:rFonts w:hint="eastAsia" w:ascii="黑体" w:hAnsi="黑体" w:eastAsia="黑体" w:cs="黑体"/>
          <w:lang w:bidi="ar"/>
        </w:rPr>
        <w:t>0.5×L</w:t>
      </w:r>
      <w:r>
        <w:rPr>
          <w:rFonts w:ascii="Calibri" w:hAnsi="Calibri" w:eastAsia="仿宋" w:cs="Calibri"/>
          <w:vertAlign w:val="subscript"/>
          <w:lang w:bidi="ar"/>
        </w:rPr>
        <w:t>j2</w:t>
      </w:r>
      <w:r>
        <w:rPr>
          <w:rFonts w:ascii="Calibri" w:hAnsi="Calibri" w:eastAsia="仿宋" w:cs="Calibri"/>
        </w:rPr>
        <w:t>+</w:t>
      </w:r>
      <w:r>
        <w:rPr>
          <w:rFonts w:hint="eastAsia" w:ascii="黑体" w:hAnsi="黑体" w:eastAsia="黑体" w:cs="黑体"/>
          <w:lang w:bidi="ar"/>
        </w:rPr>
        <w:t>0.2×L</w:t>
      </w:r>
      <w:r>
        <w:rPr>
          <w:rFonts w:ascii="Calibri" w:hAnsi="Calibri" w:eastAsia="仿宋" w:cs="Calibri"/>
          <w:vertAlign w:val="subscript"/>
          <w:lang w:bidi="ar"/>
        </w:rPr>
        <w:t>j3</w:t>
      </w:r>
      <w:r>
        <w:rPr>
          <w:rFonts w:ascii="Calibri" w:hAnsi="Calibri" w:eastAsia="仿宋" w:cs="Calibri"/>
          <w:lang w:bidi="ar"/>
        </w:rPr>
        <w:t xml:space="preserve">          （公式</w:t>
      </w:r>
      <w:r>
        <w:rPr>
          <w:rFonts w:hint="eastAsia" w:ascii="黑体" w:hAnsi="黑体" w:eastAsia="黑体" w:cs="黑体"/>
          <w:lang w:bidi="ar"/>
        </w:rPr>
        <w:t>2</w:t>
      </w:r>
      <w:r>
        <w:rPr>
          <w:rFonts w:ascii="Calibri" w:hAnsi="Calibri" w:eastAsia="仿宋" w:cs="Calibri"/>
          <w:lang w:bidi="ar"/>
        </w:rPr>
        <w:t>）</w:t>
      </w:r>
    </w:p>
    <w:p>
      <w:pPr>
        <w:widowControl w:val="0"/>
        <w:spacing w:line="360" w:lineRule="auto"/>
        <w:ind w:firstLine="643" w:firstLineChars="200"/>
        <w:rPr>
          <w:rFonts w:ascii="Calibri" w:hAnsi="Calibri" w:eastAsia="仿宋" w:cs="Calibri"/>
          <w:b/>
          <w:bCs/>
          <w:lang w:bidi="ar"/>
        </w:rPr>
      </w:pPr>
      <w:r>
        <w:rPr>
          <w:rFonts w:hint="eastAsia" w:ascii="Calibri" w:hAnsi="Calibri" w:eastAsia="仿宋" w:cs="Calibri"/>
          <w:b/>
          <w:bCs/>
          <w:lang w:bidi="ar"/>
        </w:rPr>
        <w:t>2.淤地坝工程：</w:t>
      </w:r>
    </w:p>
    <w:p>
      <w:pPr>
        <w:widowControl w:val="0"/>
        <w:spacing w:line="360" w:lineRule="auto"/>
        <w:ind w:firstLine="640" w:firstLineChars="200"/>
        <w:rPr>
          <w:rFonts w:ascii="Calibri" w:hAnsi="Calibri" w:eastAsia="宋体" w:cs="Calibri"/>
          <w:kern w:val="2"/>
          <w:sz w:val="21"/>
          <w:szCs w:val="21"/>
          <w:lang w:bidi="ar"/>
        </w:rPr>
      </w:pPr>
      <w:r>
        <w:rPr>
          <w:rFonts w:hint="eastAsia" w:ascii="Calibri" w:hAnsi="Calibri" w:eastAsia="仿宋" w:cs="Calibri"/>
          <w:lang w:bidi="ar"/>
        </w:rPr>
        <w:t>管理单位按照上述堤防工程的取值过程与标准施行，L值应由评价人员</w:t>
      </w:r>
      <w:r>
        <w:rPr>
          <w:rFonts w:ascii="Calibri" w:hAnsi="Calibri" w:eastAsia="仿宋" w:cs="Calibri"/>
        </w:rPr>
        <w:t>根据实际情况和表</w:t>
      </w:r>
      <w:r>
        <w:rPr>
          <w:rFonts w:hint="eastAsia" w:ascii="黑体" w:hAnsi="黑体" w:eastAsia="黑体" w:cs="黑体"/>
          <w:lang w:bidi="ar"/>
        </w:rPr>
        <w:t>1</w:t>
      </w:r>
      <w:r>
        <w:rPr>
          <w:rFonts w:ascii="Calibri" w:hAnsi="Calibri" w:eastAsia="仿宋" w:cs="Calibri"/>
        </w:rPr>
        <w:t>，参照附件</w:t>
      </w:r>
      <w:r>
        <w:rPr>
          <w:rFonts w:hint="eastAsia" w:ascii="黑体" w:hAnsi="黑体" w:eastAsia="黑体" w:cs="黑体"/>
          <w:lang w:bidi="ar"/>
        </w:rPr>
        <w:t>6</w:t>
      </w:r>
      <w:r>
        <w:rPr>
          <w:rFonts w:ascii="Calibri" w:hAnsi="Calibri" w:eastAsia="仿宋" w:cs="Calibri"/>
        </w:rPr>
        <w:t>初步</w:t>
      </w:r>
      <w:r>
        <w:rPr>
          <w:rFonts w:ascii="Calibri" w:hAnsi="Calibri" w:eastAsia="仿宋" w:cs="Calibri"/>
          <w:lang w:bidi="ar"/>
        </w:rPr>
        <w:t>选取</w:t>
      </w:r>
      <w:r>
        <w:rPr>
          <w:rFonts w:ascii="Calibri" w:hAnsi="Calibri" w:eastAsia="仿宋" w:cs="Calibri"/>
          <w:bCs/>
        </w:rPr>
        <w:t>事故发生的可能性数值</w:t>
      </w:r>
      <w:r>
        <w:rPr>
          <w:rFonts w:hint="eastAsia" w:ascii="Calibri" w:hAnsi="Calibri" w:eastAsia="仿宋" w:cs="Calibri"/>
          <w:bCs/>
        </w:rPr>
        <w:t>。</w:t>
      </w:r>
      <w:r>
        <w:rPr>
          <w:rFonts w:hint="eastAsia" w:ascii="Calibri" w:hAnsi="Calibri" w:eastAsia="仿宋" w:cs="Calibri"/>
          <w:lang w:bidi="ar"/>
        </w:rPr>
        <w:t>如无管理层级，</w:t>
      </w:r>
      <w:r>
        <w:rPr>
          <w:rFonts w:hint="eastAsia" w:ascii="黑体" w:hAnsi="黑体" w:eastAsia="黑体" w:cs="黑体"/>
          <w:lang w:bidi="ar"/>
        </w:rPr>
        <w:t>L</w:t>
      </w:r>
      <w:r>
        <w:rPr>
          <w:rFonts w:hint="eastAsia" w:ascii="Calibri" w:hAnsi="Calibri" w:eastAsia="仿宋" w:cs="Calibri"/>
          <w:lang w:bidi="ar"/>
        </w:rPr>
        <w:t>值为所有评价人员取值的算术平均数。</w:t>
      </w:r>
    </w:p>
    <w:p>
      <w:pPr>
        <w:widowControl w:val="0"/>
        <w:spacing w:line="360" w:lineRule="auto"/>
        <w:ind w:firstLine="640" w:firstLineChars="200"/>
        <w:rPr>
          <w:rFonts w:ascii="黑体" w:hAnsi="黑体" w:eastAsia="黑体" w:cs="黑体"/>
          <w:bCs/>
        </w:rPr>
      </w:pPr>
      <w:r>
        <w:rPr>
          <w:rFonts w:hint="eastAsia" w:ascii="黑体" w:hAnsi="黑体" w:eastAsia="黑体" w:cs="黑体"/>
          <w:bCs/>
        </w:rPr>
        <w:t>三、S值取值标准</w:t>
      </w:r>
    </w:p>
    <w:p>
      <w:pPr>
        <w:widowControl w:val="0"/>
        <w:spacing w:line="360" w:lineRule="auto"/>
        <w:ind w:firstLine="640" w:firstLineChars="200"/>
        <w:rPr>
          <w:rFonts w:ascii="Calibri" w:hAnsi="Calibri" w:eastAsia="仿宋" w:cs="Calibri"/>
          <w:lang w:bidi="ar"/>
        </w:rPr>
      </w:pPr>
      <w:r>
        <w:rPr>
          <w:rFonts w:hint="eastAsia" w:ascii="Calibri" w:hAnsi="Calibri" w:eastAsia="仿宋" w:cs="Calibri"/>
          <w:lang w:bidi="ar"/>
        </w:rPr>
        <w:t>堤防</w:t>
      </w:r>
      <w:r>
        <w:rPr>
          <w:rFonts w:ascii="Calibri" w:hAnsi="Calibri" w:eastAsia="仿宋" w:cs="Calibri"/>
          <w:lang w:bidi="ar"/>
        </w:rPr>
        <w:t>工程</w:t>
      </w:r>
      <w:r>
        <w:rPr>
          <w:rFonts w:hint="eastAsia" w:ascii="Calibri" w:hAnsi="Calibri" w:eastAsia="仿宋" w:cs="Calibri"/>
          <w:lang w:bidi="ar"/>
        </w:rPr>
        <w:t>以</w:t>
      </w:r>
      <w:r>
        <w:rPr>
          <w:rFonts w:ascii="Calibri" w:hAnsi="Calibri" w:eastAsia="仿宋" w:cs="Calibri"/>
          <w:lang w:bidi="ar"/>
        </w:rPr>
        <w:t>级别</w:t>
      </w:r>
      <w:r>
        <w:rPr>
          <w:rFonts w:hint="eastAsia" w:ascii="Calibri" w:hAnsi="Calibri" w:eastAsia="仿宋" w:cs="Calibri"/>
          <w:lang w:bidi="ar"/>
        </w:rPr>
        <w:t>作为</w:t>
      </w:r>
      <w:r>
        <w:rPr>
          <w:rFonts w:hint="eastAsia" w:ascii="黑体" w:hAnsi="黑体" w:eastAsia="黑体" w:cs="黑体"/>
          <w:lang w:bidi="ar"/>
        </w:rPr>
        <w:t>S</w:t>
      </w:r>
      <w:r>
        <w:rPr>
          <w:rFonts w:hint="eastAsia" w:ascii="Calibri" w:hAnsi="Calibri" w:eastAsia="仿宋" w:cs="Calibri"/>
          <w:lang w:bidi="ar"/>
        </w:rPr>
        <w:t>取值的依据</w:t>
      </w:r>
      <w:r>
        <w:rPr>
          <w:rFonts w:ascii="Calibri" w:hAnsi="Calibri" w:eastAsia="仿宋" w:cs="Calibri"/>
          <w:lang w:bidi="ar"/>
        </w:rPr>
        <w:t>，</w:t>
      </w:r>
      <w:r>
        <w:rPr>
          <w:rFonts w:hint="eastAsia" w:ascii="黑体" w:hAnsi="黑体" w:eastAsia="黑体" w:cs="黑体"/>
          <w:lang w:bidi="ar"/>
        </w:rPr>
        <w:t>S</w:t>
      </w:r>
      <w:r>
        <w:rPr>
          <w:rFonts w:ascii="Calibri" w:hAnsi="Calibri" w:eastAsia="仿宋" w:cs="Calibri"/>
          <w:lang w:bidi="ar"/>
        </w:rPr>
        <w:t>值应按照表</w:t>
      </w:r>
      <w:r>
        <w:rPr>
          <w:rFonts w:hint="eastAsia" w:ascii="黑体" w:hAnsi="黑体" w:eastAsia="黑体" w:cs="黑体"/>
          <w:lang w:bidi="ar"/>
        </w:rPr>
        <w:t>2</w:t>
      </w:r>
      <w:r>
        <w:rPr>
          <w:rFonts w:ascii="Calibri" w:hAnsi="Calibri" w:eastAsia="仿宋" w:cs="Calibri"/>
          <w:lang w:bidi="ar"/>
        </w:rPr>
        <w:t>取值。</w:t>
      </w:r>
    </w:p>
    <w:p>
      <w:pPr>
        <w:widowControl w:val="0"/>
        <w:spacing w:line="360" w:lineRule="auto"/>
        <w:ind w:firstLine="560" w:firstLineChars="200"/>
        <w:rPr>
          <w:rFonts w:ascii="黑体" w:hAnsi="黑体" w:eastAsia="黑体" w:cs="黑体"/>
          <w:sz w:val="28"/>
          <w:szCs w:val="28"/>
          <w:lang w:bidi="ar"/>
        </w:rPr>
      </w:pPr>
      <w:r>
        <w:rPr>
          <w:rFonts w:hint="eastAsia" w:ascii="黑体" w:hAnsi="黑体" w:eastAsia="黑体" w:cs="黑体"/>
          <w:sz w:val="28"/>
          <w:szCs w:val="28"/>
          <w:lang w:bidi="ar"/>
        </w:rPr>
        <w:t>表2            堤防工程S值取值标准表</w:t>
      </w:r>
    </w:p>
    <w:tbl>
      <w:tblPr>
        <w:tblStyle w:val="3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15"/>
        <w:gridCol w:w="1380"/>
        <w:gridCol w:w="1381"/>
        <w:gridCol w:w="1381"/>
        <w:gridCol w:w="1381"/>
        <w:gridCol w:w="13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615" w:type="dxa"/>
            <w:vAlign w:val="center"/>
          </w:tcPr>
          <w:p>
            <w:pPr>
              <w:spacing w:line="360" w:lineRule="auto"/>
              <w:jc w:val="center"/>
              <w:rPr>
                <w:rFonts w:ascii="黑体" w:hAnsi="黑体" w:eastAsia="黑体" w:cs="黑体"/>
                <w:bCs/>
                <w:sz w:val="21"/>
                <w:szCs w:val="24"/>
              </w:rPr>
            </w:pPr>
            <w:r>
              <w:rPr>
                <w:rFonts w:hint="eastAsia" w:ascii="黑体" w:hAnsi="黑体" w:eastAsia="黑体" w:cs="黑体"/>
                <w:bCs/>
                <w:sz w:val="21"/>
                <w:szCs w:val="24"/>
              </w:rPr>
              <w:t>级别</w:t>
            </w:r>
          </w:p>
        </w:tc>
        <w:tc>
          <w:tcPr>
            <w:tcW w:w="1380" w:type="dxa"/>
            <w:vAlign w:val="center"/>
          </w:tcPr>
          <w:p>
            <w:pPr>
              <w:spacing w:line="360" w:lineRule="auto"/>
              <w:jc w:val="center"/>
              <w:rPr>
                <w:rFonts w:ascii="黑体" w:hAnsi="黑体" w:eastAsia="黑体" w:cs="黑体"/>
                <w:bCs/>
                <w:sz w:val="21"/>
                <w:szCs w:val="24"/>
              </w:rPr>
            </w:pPr>
            <w:r>
              <w:rPr>
                <w:rFonts w:hint="eastAsia" w:ascii="黑体" w:hAnsi="黑体" w:eastAsia="黑体" w:cs="黑体"/>
                <w:bCs/>
                <w:sz w:val="21"/>
                <w:szCs w:val="24"/>
              </w:rPr>
              <w:t>5级</w:t>
            </w:r>
          </w:p>
        </w:tc>
        <w:tc>
          <w:tcPr>
            <w:tcW w:w="1381" w:type="dxa"/>
            <w:vAlign w:val="center"/>
          </w:tcPr>
          <w:p>
            <w:pPr>
              <w:spacing w:line="360" w:lineRule="auto"/>
              <w:jc w:val="center"/>
              <w:rPr>
                <w:rFonts w:ascii="黑体" w:hAnsi="黑体" w:eastAsia="黑体" w:cs="黑体"/>
                <w:b/>
                <w:sz w:val="21"/>
                <w:szCs w:val="24"/>
              </w:rPr>
            </w:pPr>
            <w:r>
              <w:rPr>
                <w:rFonts w:hint="eastAsia" w:ascii="黑体" w:hAnsi="黑体" w:eastAsia="黑体" w:cs="黑体"/>
                <w:bCs/>
                <w:sz w:val="21"/>
                <w:szCs w:val="24"/>
              </w:rPr>
              <w:t>4级</w:t>
            </w:r>
          </w:p>
        </w:tc>
        <w:tc>
          <w:tcPr>
            <w:tcW w:w="1381" w:type="dxa"/>
            <w:vAlign w:val="center"/>
          </w:tcPr>
          <w:p>
            <w:pPr>
              <w:spacing w:line="360" w:lineRule="auto"/>
              <w:jc w:val="center"/>
              <w:rPr>
                <w:rFonts w:ascii="黑体" w:hAnsi="黑体" w:eastAsia="黑体" w:cs="黑体"/>
                <w:b/>
                <w:sz w:val="21"/>
                <w:szCs w:val="24"/>
              </w:rPr>
            </w:pPr>
            <w:r>
              <w:rPr>
                <w:rFonts w:hint="eastAsia" w:ascii="黑体" w:hAnsi="黑体" w:eastAsia="黑体" w:cs="黑体"/>
                <w:bCs/>
                <w:sz w:val="21"/>
                <w:szCs w:val="24"/>
              </w:rPr>
              <w:t>3级</w:t>
            </w:r>
          </w:p>
        </w:tc>
        <w:tc>
          <w:tcPr>
            <w:tcW w:w="1381" w:type="dxa"/>
            <w:vAlign w:val="center"/>
          </w:tcPr>
          <w:p>
            <w:pPr>
              <w:spacing w:line="360" w:lineRule="auto"/>
              <w:jc w:val="center"/>
              <w:rPr>
                <w:rFonts w:ascii="黑体" w:hAnsi="黑体" w:eastAsia="黑体" w:cs="黑体"/>
                <w:b/>
                <w:sz w:val="21"/>
                <w:szCs w:val="24"/>
              </w:rPr>
            </w:pPr>
            <w:r>
              <w:rPr>
                <w:rFonts w:hint="eastAsia" w:ascii="黑体" w:hAnsi="黑体" w:eastAsia="黑体" w:cs="黑体"/>
                <w:bCs/>
                <w:sz w:val="21"/>
                <w:szCs w:val="24"/>
              </w:rPr>
              <w:t>2级</w:t>
            </w:r>
          </w:p>
        </w:tc>
        <w:tc>
          <w:tcPr>
            <w:tcW w:w="1384" w:type="dxa"/>
            <w:vAlign w:val="center"/>
          </w:tcPr>
          <w:p>
            <w:pPr>
              <w:spacing w:line="360" w:lineRule="auto"/>
              <w:jc w:val="center"/>
              <w:rPr>
                <w:rFonts w:ascii="黑体" w:hAnsi="黑体" w:eastAsia="黑体" w:cs="黑体"/>
                <w:b/>
                <w:sz w:val="21"/>
                <w:szCs w:val="24"/>
              </w:rPr>
            </w:pPr>
            <w:r>
              <w:rPr>
                <w:rFonts w:hint="eastAsia" w:ascii="黑体" w:hAnsi="黑体" w:eastAsia="黑体" w:cs="黑体"/>
                <w:bCs/>
                <w:sz w:val="21"/>
                <w:szCs w:val="24"/>
              </w:rPr>
              <w:t>1级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615" w:type="dxa"/>
            <w:vAlign w:val="center"/>
          </w:tcPr>
          <w:p>
            <w:pPr>
              <w:spacing w:line="360" w:lineRule="auto"/>
              <w:jc w:val="center"/>
              <w:rPr>
                <w:rFonts w:ascii="Calibri" w:hAnsi="Calibri" w:eastAsia="宋体" w:cs="Calibri"/>
                <w:b/>
                <w:sz w:val="21"/>
                <w:szCs w:val="24"/>
              </w:rPr>
            </w:pPr>
            <w:r>
              <w:rPr>
                <w:rFonts w:hint="eastAsia" w:asciiTheme="minorEastAsia" w:hAnsiTheme="minorEastAsia" w:eastAsiaTheme="minorEastAsia" w:cstheme="minorEastAsia"/>
                <w:bCs/>
                <w:sz w:val="21"/>
                <w:szCs w:val="24"/>
              </w:rPr>
              <w:t>S值</w:t>
            </w:r>
          </w:p>
        </w:tc>
        <w:tc>
          <w:tcPr>
            <w:tcW w:w="1380" w:type="dxa"/>
            <w:vAlign w:val="center"/>
          </w:tcPr>
          <w:p>
            <w:pPr>
              <w:spacing w:line="360" w:lineRule="auto"/>
              <w:jc w:val="center"/>
              <w:rPr>
                <w:rFonts w:ascii="Calibri" w:hAnsi="Calibri" w:eastAsia="宋体" w:cs="Calibri"/>
                <w:bCs/>
                <w:sz w:val="21"/>
                <w:szCs w:val="24"/>
              </w:rPr>
            </w:pPr>
            <w:r>
              <w:rPr>
                <w:rFonts w:ascii="Calibri" w:hAnsi="Calibri" w:eastAsia="宋体" w:cs="Calibri"/>
                <w:bCs/>
                <w:sz w:val="21"/>
                <w:szCs w:val="24"/>
              </w:rPr>
              <w:t>3</w:t>
            </w:r>
          </w:p>
        </w:tc>
        <w:tc>
          <w:tcPr>
            <w:tcW w:w="1381" w:type="dxa"/>
            <w:vAlign w:val="center"/>
          </w:tcPr>
          <w:p>
            <w:pPr>
              <w:spacing w:line="360" w:lineRule="auto"/>
              <w:jc w:val="center"/>
              <w:rPr>
                <w:rFonts w:ascii="Calibri" w:hAnsi="Calibri" w:eastAsia="宋体" w:cs="Calibri"/>
                <w:bCs/>
                <w:sz w:val="21"/>
                <w:szCs w:val="24"/>
              </w:rPr>
            </w:pPr>
            <w:r>
              <w:rPr>
                <w:rFonts w:ascii="Calibri" w:hAnsi="Calibri" w:eastAsia="宋体" w:cs="Calibri"/>
                <w:bCs/>
                <w:sz w:val="21"/>
                <w:szCs w:val="24"/>
              </w:rPr>
              <w:t>5</w:t>
            </w:r>
          </w:p>
        </w:tc>
        <w:tc>
          <w:tcPr>
            <w:tcW w:w="1381" w:type="dxa"/>
            <w:vAlign w:val="center"/>
          </w:tcPr>
          <w:p>
            <w:pPr>
              <w:spacing w:line="360" w:lineRule="auto"/>
              <w:jc w:val="center"/>
              <w:rPr>
                <w:rFonts w:ascii="Calibri" w:hAnsi="Calibri" w:eastAsia="宋体" w:cs="Calibri"/>
                <w:bCs/>
                <w:sz w:val="21"/>
                <w:szCs w:val="24"/>
              </w:rPr>
            </w:pPr>
            <w:r>
              <w:rPr>
                <w:rFonts w:ascii="Calibri" w:hAnsi="Calibri" w:eastAsia="宋体" w:cs="Calibri"/>
                <w:bCs/>
                <w:sz w:val="21"/>
                <w:szCs w:val="24"/>
              </w:rPr>
              <w:t>7</w:t>
            </w:r>
          </w:p>
        </w:tc>
        <w:tc>
          <w:tcPr>
            <w:tcW w:w="1381" w:type="dxa"/>
            <w:vAlign w:val="center"/>
          </w:tcPr>
          <w:p>
            <w:pPr>
              <w:spacing w:line="360" w:lineRule="auto"/>
              <w:jc w:val="center"/>
              <w:rPr>
                <w:rFonts w:ascii="Calibri" w:hAnsi="Calibri" w:eastAsia="宋体" w:cs="Calibri"/>
                <w:bCs/>
                <w:sz w:val="21"/>
                <w:szCs w:val="24"/>
              </w:rPr>
            </w:pPr>
            <w:r>
              <w:rPr>
                <w:rFonts w:ascii="Calibri" w:hAnsi="Calibri" w:eastAsia="宋体" w:cs="Calibri"/>
                <w:bCs/>
                <w:sz w:val="21"/>
                <w:szCs w:val="24"/>
              </w:rPr>
              <w:t>10</w:t>
            </w:r>
          </w:p>
        </w:tc>
        <w:tc>
          <w:tcPr>
            <w:tcW w:w="1384" w:type="dxa"/>
            <w:vAlign w:val="center"/>
          </w:tcPr>
          <w:p>
            <w:pPr>
              <w:spacing w:line="360" w:lineRule="auto"/>
              <w:jc w:val="center"/>
              <w:rPr>
                <w:rFonts w:ascii="Calibri" w:hAnsi="Calibri" w:eastAsia="宋体" w:cs="Calibri"/>
                <w:bCs/>
                <w:sz w:val="21"/>
                <w:szCs w:val="24"/>
              </w:rPr>
            </w:pPr>
            <w:r>
              <w:rPr>
                <w:rFonts w:ascii="Calibri" w:hAnsi="Calibri" w:eastAsia="宋体" w:cs="Calibri"/>
                <w:bCs/>
                <w:sz w:val="21"/>
                <w:szCs w:val="24"/>
              </w:rPr>
              <w:t>15</w:t>
            </w:r>
          </w:p>
        </w:tc>
      </w:tr>
    </w:tbl>
    <w:p>
      <w:pPr>
        <w:widowControl w:val="0"/>
        <w:spacing w:line="360" w:lineRule="auto"/>
        <w:ind w:firstLine="640" w:firstLineChars="200"/>
        <w:rPr>
          <w:rFonts w:ascii="Calibri" w:hAnsi="Calibri" w:eastAsia="仿宋" w:cs="Calibri"/>
          <w:lang w:bidi="ar"/>
        </w:rPr>
      </w:pPr>
      <w:r>
        <w:rPr>
          <w:rFonts w:hint="eastAsia" w:ascii="Calibri" w:hAnsi="Calibri" w:eastAsia="仿宋" w:cs="Calibri"/>
          <w:lang w:bidi="ar"/>
        </w:rPr>
        <w:t>淤地坝工程以</w:t>
      </w:r>
      <w:r>
        <w:rPr>
          <w:rFonts w:ascii="Calibri" w:hAnsi="Calibri" w:eastAsia="仿宋" w:cs="Calibri"/>
          <w:lang w:bidi="ar"/>
        </w:rPr>
        <w:t>工程规模</w:t>
      </w:r>
      <w:r>
        <w:rPr>
          <w:rFonts w:hint="eastAsia" w:ascii="Calibri" w:hAnsi="Calibri" w:eastAsia="仿宋" w:cs="Calibri"/>
          <w:lang w:bidi="ar"/>
        </w:rPr>
        <w:t>作为</w:t>
      </w:r>
      <w:r>
        <w:rPr>
          <w:rFonts w:hint="eastAsia" w:ascii="黑体" w:hAnsi="黑体" w:eastAsia="黑体" w:cs="黑体"/>
          <w:lang w:bidi="ar"/>
        </w:rPr>
        <w:t>S</w:t>
      </w:r>
      <w:r>
        <w:rPr>
          <w:rFonts w:hint="eastAsia" w:ascii="Calibri" w:hAnsi="Calibri" w:eastAsia="仿宋" w:cs="Calibri"/>
          <w:lang w:bidi="ar"/>
        </w:rPr>
        <w:t>取值的依据</w:t>
      </w:r>
      <w:r>
        <w:rPr>
          <w:rFonts w:ascii="Calibri" w:hAnsi="Calibri" w:eastAsia="仿宋" w:cs="Calibri"/>
          <w:lang w:bidi="ar"/>
        </w:rPr>
        <w:t>，</w:t>
      </w:r>
      <w:r>
        <w:rPr>
          <w:rFonts w:hint="eastAsia" w:ascii="黑体" w:hAnsi="黑体" w:eastAsia="黑体" w:cs="黑体"/>
          <w:lang w:bidi="ar"/>
        </w:rPr>
        <w:t>S</w:t>
      </w:r>
      <w:r>
        <w:rPr>
          <w:rFonts w:ascii="Calibri" w:hAnsi="Calibri" w:eastAsia="仿宋" w:cs="Calibri"/>
          <w:lang w:bidi="ar"/>
        </w:rPr>
        <w:t>值应按照表</w:t>
      </w:r>
      <w:r>
        <w:rPr>
          <w:rFonts w:hint="eastAsia" w:ascii="黑体" w:hAnsi="黑体" w:eastAsia="黑体" w:cs="黑体"/>
          <w:lang w:bidi="ar"/>
        </w:rPr>
        <w:t>3</w:t>
      </w:r>
      <w:r>
        <w:rPr>
          <w:rFonts w:ascii="Calibri" w:hAnsi="Calibri" w:eastAsia="仿宋" w:cs="Calibri"/>
          <w:lang w:bidi="ar"/>
        </w:rPr>
        <w:t>取值。</w:t>
      </w:r>
    </w:p>
    <w:p>
      <w:pPr>
        <w:widowControl w:val="0"/>
        <w:spacing w:line="360" w:lineRule="auto"/>
        <w:ind w:firstLine="560" w:firstLineChars="200"/>
        <w:rPr>
          <w:rFonts w:ascii="黑体" w:hAnsi="黑体" w:eastAsia="黑体" w:cs="黑体"/>
          <w:sz w:val="28"/>
          <w:szCs w:val="28"/>
          <w:lang w:bidi="ar"/>
        </w:rPr>
      </w:pPr>
      <w:r>
        <w:rPr>
          <w:rFonts w:hint="eastAsia" w:ascii="黑体" w:hAnsi="黑体" w:eastAsia="黑体" w:cs="黑体"/>
          <w:sz w:val="28"/>
          <w:szCs w:val="28"/>
          <w:lang w:bidi="ar"/>
        </w:rPr>
        <w:t>表3            淤地坝工程S值取值标准表</w:t>
      </w:r>
    </w:p>
    <w:tbl>
      <w:tblPr>
        <w:tblStyle w:val="3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28"/>
        <w:gridCol w:w="1650"/>
        <w:gridCol w:w="1650"/>
        <w:gridCol w:w="1650"/>
        <w:gridCol w:w="16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131" w:type="pct"/>
            <w:vAlign w:val="center"/>
          </w:tcPr>
          <w:p>
            <w:pPr>
              <w:spacing w:line="360" w:lineRule="auto"/>
              <w:jc w:val="center"/>
              <w:rPr>
                <w:rFonts w:ascii="黑体" w:hAnsi="黑体" w:eastAsia="黑体" w:cs="黑体"/>
                <w:bCs/>
                <w:sz w:val="21"/>
                <w:szCs w:val="24"/>
              </w:rPr>
            </w:pPr>
            <w:r>
              <w:rPr>
                <w:rFonts w:hint="eastAsia" w:ascii="黑体" w:hAnsi="黑体" w:eastAsia="黑体" w:cs="黑体"/>
                <w:bCs/>
                <w:sz w:val="21"/>
                <w:szCs w:val="24"/>
              </w:rPr>
              <w:t>工程规模</w:t>
            </w:r>
          </w:p>
        </w:tc>
        <w:tc>
          <w:tcPr>
            <w:tcW w:w="967" w:type="pct"/>
            <w:vAlign w:val="center"/>
          </w:tcPr>
          <w:p>
            <w:pPr>
              <w:widowControl w:val="0"/>
              <w:jc w:val="center"/>
              <w:rPr>
                <w:rFonts w:ascii="黑体" w:hAnsi="黑体" w:eastAsia="黑体" w:cs="黑体"/>
                <w:kern w:val="2"/>
                <w:sz w:val="21"/>
                <w:szCs w:val="21"/>
              </w:rPr>
            </w:pPr>
            <w:r>
              <w:rPr>
                <w:rFonts w:hint="eastAsia" w:ascii="黑体" w:hAnsi="黑体" w:eastAsia="黑体" w:cs="黑体"/>
                <w:kern w:val="2"/>
                <w:sz w:val="21"/>
                <w:szCs w:val="21"/>
                <w:lang w:bidi="ar"/>
              </w:rPr>
              <w:t>小型</w:t>
            </w:r>
          </w:p>
        </w:tc>
        <w:tc>
          <w:tcPr>
            <w:tcW w:w="967" w:type="pct"/>
            <w:vAlign w:val="center"/>
          </w:tcPr>
          <w:p>
            <w:pPr>
              <w:widowControl w:val="0"/>
              <w:jc w:val="center"/>
              <w:rPr>
                <w:rFonts w:ascii="黑体" w:hAnsi="黑体" w:eastAsia="黑体" w:cs="黑体"/>
                <w:kern w:val="2"/>
                <w:sz w:val="21"/>
                <w:szCs w:val="21"/>
              </w:rPr>
            </w:pPr>
            <w:r>
              <w:rPr>
                <w:rFonts w:hint="eastAsia" w:ascii="黑体" w:hAnsi="黑体" w:eastAsia="黑体" w:cs="黑体"/>
                <w:kern w:val="2"/>
                <w:sz w:val="21"/>
                <w:szCs w:val="21"/>
                <w:lang w:bidi="ar"/>
              </w:rPr>
              <w:t>中型</w:t>
            </w:r>
          </w:p>
        </w:tc>
        <w:tc>
          <w:tcPr>
            <w:tcW w:w="967" w:type="pct"/>
            <w:vAlign w:val="center"/>
          </w:tcPr>
          <w:p>
            <w:pPr>
              <w:widowControl w:val="0"/>
              <w:jc w:val="center"/>
              <w:rPr>
                <w:rFonts w:ascii="黑体" w:hAnsi="黑体" w:eastAsia="黑体" w:cs="黑体"/>
                <w:kern w:val="2"/>
                <w:sz w:val="21"/>
                <w:szCs w:val="21"/>
              </w:rPr>
            </w:pPr>
            <w:r>
              <w:rPr>
                <w:rFonts w:hint="eastAsia" w:ascii="黑体" w:hAnsi="黑体" w:eastAsia="黑体" w:cs="黑体"/>
                <w:kern w:val="2"/>
                <w:sz w:val="21"/>
                <w:szCs w:val="21"/>
                <w:lang w:bidi="ar"/>
              </w:rPr>
              <w:t>大（2）型</w:t>
            </w:r>
          </w:p>
        </w:tc>
        <w:tc>
          <w:tcPr>
            <w:tcW w:w="967" w:type="pct"/>
            <w:vAlign w:val="center"/>
          </w:tcPr>
          <w:p>
            <w:pPr>
              <w:widowControl w:val="0"/>
              <w:jc w:val="center"/>
              <w:rPr>
                <w:rFonts w:ascii="黑体" w:hAnsi="黑体" w:eastAsia="黑体" w:cs="黑体"/>
                <w:kern w:val="2"/>
                <w:sz w:val="21"/>
                <w:szCs w:val="21"/>
              </w:rPr>
            </w:pPr>
            <w:r>
              <w:rPr>
                <w:rFonts w:hint="eastAsia" w:ascii="黑体" w:hAnsi="黑体" w:eastAsia="黑体" w:cs="黑体"/>
                <w:kern w:val="2"/>
                <w:sz w:val="21"/>
                <w:szCs w:val="21"/>
                <w:lang w:bidi="ar"/>
              </w:rPr>
              <w:t>大（1）型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131" w:type="pct"/>
            <w:vAlign w:val="center"/>
          </w:tcPr>
          <w:p>
            <w:pPr>
              <w:spacing w:line="360" w:lineRule="auto"/>
              <w:jc w:val="center"/>
              <w:rPr>
                <w:rFonts w:ascii="Calibri" w:hAnsi="Calibri" w:eastAsia="宋体" w:cs="Calibri"/>
                <w:b/>
                <w:sz w:val="21"/>
                <w:szCs w:val="24"/>
              </w:rPr>
            </w:pPr>
            <w:r>
              <w:rPr>
                <w:rFonts w:hint="eastAsia" w:asciiTheme="minorEastAsia" w:hAnsiTheme="minorEastAsia" w:eastAsiaTheme="minorEastAsia" w:cstheme="minorEastAsia"/>
                <w:bCs/>
                <w:sz w:val="21"/>
                <w:szCs w:val="24"/>
              </w:rPr>
              <w:t>S值</w:t>
            </w:r>
          </w:p>
        </w:tc>
        <w:tc>
          <w:tcPr>
            <w:tcW w:w="967" w:type="pct"/>
            <w:vAlign w:val="center"/>
          </w:tcPr>
          <w:p>
            <w:pPr>
              <w:spacing w:line="360" w:lineRule="auto"/>
              <w:jc w:val="center"/>
              <w:rPr>
                <w:rFonts w:ascii="Calibri" w:hAnsi="Calibri" w:eastAsia="宋体" w:cs="Calibri"/>
                <w:bCs/>
                <w:sz w:val="21"/>
                <w:szCs w:val="24"/>
              </w:rPr>
            </w:pPr>
            <w:r>
              <w:rPr>
                <w:rFonts w:ascii="Calibri" w:hAnsi="Calibri" w:eastAsia="宋体" w:cs="Calibri"/>
                <w:bCs/>
                <w:sz w:val="21"/>
                <w:szCs w:val="24"/>
              </w:rPr>
              <w:t>3</w:t>
            </w:r>
          </w:p>
        </w:tc>
        <w:tc>
          <w:tcPr>
            <w:tcW w:w="967" w:type="pct"/>
            <w:vAlign w:val="center"/>
          </w:tcPr>
          <w:p>
            <w:pPr>
              <w:spacing w:line="360" w:lineRule="auto"/>
              <w:jc w:val="center"/>
              <w:rPr>
                <w:rFonts w:ascii="Calibri" w:hAnsi="Calibri" w:eastAsia="宋体" w:cs="Calibri"/>
                <w:bCs/>
                <w:sz w:val="21"/>
                <w:szCs w:val="24"/>
              </w:rPr>
            </w:pPr>
            <w:r>
              <w:rPr>
                <w:rFonts w:ascii="Calibri" w:hAnsi="Calibri" w:eastAsia="宋体" w:cs="Calibri"/>
                <w:bCs/>
                <w:sz w:val="21"/>
                <w:szCs w:val="24"/>
              </w:rPr>
              <w:t>5</w:t>
            </w:r>
          </w:p>
        </w:tc>
        <w:tc>
          <w:tcPr>
            <w:tcW w:w="967" w:type="pct"/>
            <w:vAlign w:val="center"/>
          </w:tcPr>
          <w:p>
            <w:pPr>
              <w:spacing w:line="360" w:lineRule="auto"/>
              <w:jc w:val="center"/>
              <w:rPr>
                <w:rFonts w:ascii="Calibri" w:hAnsi="Calibri" w:eastAsia="宋体" w:cs="Calibri"/>
                <w:bCs/>
                <w:sz w:val="21"/>
                <w:szCs w:val="24"/>
              </w:rPr>
            </w:pPr>
            <w:r>
              <w:rPr>
                <w:rFonts w:ascii="Calibri" w:hAnsi="Calibri" w:eastAsia="宋体" w:cs="Calibri"/>
                <w:bCs/>
                <w:sz w:val="21"/>
                <w:szCs w:val="24"/>
              </w:rPr>
              <w:t>7</w:t>
            </w:r>
          </w:p>
        </w:tc>
        <w:tc>
          <w:tcPr>
            <w:tcW w:w="967" w:type="pct"/>
            <w:vAlign w:val="center"/>
          </w:tcPr>
          <w:p>
            <w:pPr>
              <w:spacing w:line="360" w:lineRule="auto"/>
              <w:jc w:val="center"/>
              <w:rPr>
                <w:rFonts w:ascii="Calibri" w:hAnsi="Calibri" w:eastAsia="宋体" w:cs="Calibri"/>
                <w:bCs/>
                <w:sz w:val="21"/>
                <w:szCs w:val="24"/>
              </w:rPr>
            </w:pPr>
            <w:r>
              <w:rPr>
                <w:rFonts w:ascii="Calibri" w:hAnsi="Calibri" w:eastAsia="宋体" w:cs="Calibri"/>
                <w:bCs/>
                <w:sz w:val="21"/>
                <w:szCs w:val="24"/>
              </w:rPr>
              <w:t>10</w:t>
            </w:r>
          </w:p>
        </w:tc>
      </w:tr>
    </w:tbl>
    <w:p>
      <w:pPr>
        <w:widowControl w:val="0"/>
        <w:spacing w:line="360" w:lineRule="auto"/>
        <w:ind w:firstLine="640" w:firstLineChars="200"/>
        <w:rPr>
          <w:rFonts w:ascii="黑体" w:hAnsi="黑体" w:eastAsia="黑体" w:cs="黑体"/>
          <w:bCs/>
        </w:rPr>
      </w:pPr>
      <w:r>
        <w:rPr>
          <w:rFonts w:hint="eastAsia" w:ascii="黑体" w:hAnsi="黑体" w:eastAsia="黑体" w:cs="黑体"/>
          <w:bCs/>
        </w:rPr>
        <w:t>四、一般危险源风险等级划分</w:t>
      </w:r>
    </w:p>
    <w:p>
      <w:pPr>
        <w:widowControl w:val="0"/>
        <w:spacing w:line="360" w:lineRule="auto"/>
        <w:ind w:firstLine="640" w:firstLineChars="200"/>
        <w:rPr>
          <w:rFonts w:ascii="Calibri" w:hAnsi="Calibri" w:eastAsia="仿宋" w:cs="Calibri"/>
          <w:lang w:bidi="ar"/>
        </w:rPr>
      </w:pPr>
      <w:r>
        <w:rPr>
          <w:rFonts w:ascii="Calibri" w:hAnsi="Calibri" w:eastAsia="仿宋" w:cs="Calibri"/>
          <w:lang w:bidi="ar"/>
        </w:rPr>
        <w:t>按照上述内容，选取或计算确定一般危险源的</w:t>
      </w:r>
      <w:r>
        <w:rPr>
          <w:rFonts w:hint="eastAsia" w:ascii="黑体" w:hAnsi="黑体" w:eastAsia="黑体" w:cs="黑体"/>
          <w:lang w:bidi="ar"/>
        </w:rPr>
        <w:t>L</w:t>
      </w:r>
      <w:r>
        <w:rPr>
          <w:rFonts w:ascii="Calibri" w:hAnsi="Calibri" w:eastAsia="仿宋" w:cs="Calibri"/>
          <w:lang w:bidi="ar"/>
        </w:rPr>
        <w:t>、</w:t>
      </w:r>
      <w:r>
        <w:rPr>
          <w:rFonts w:hint="eastAsia" w:ascii="黑体" w:hAnsi="黑体" w:eastAsia="黑体" w:cs="黑体"/>
          <w:lang w:bidi="ar"/>
        </w:rPr>
        <w:t>S</w:t>
      </w:r>
      <w:r>
        <w:rPr>
          <w:rFonts w:ascii="Calibri" w:hAnsi="Calibri" w:eastAsia="仿宋" w:cs="Calibri"/>
          <w:lang w:bidi="ar"/>
        </w:rPr>
        <w:t>值，由公式</w:t>
      </w:r>
      <w:r>
        <w:rPr>
          <w:rFonts w:hint="eastAsia" w:ascii="黑体" w:hAnsi="黑体" w:eastAsia="黑体" w:cs="黑体"/>
          <w:lang w:bidi="ar"/>
        </w:rPr>
        <w:t>1</w:t>
      </w:r>
      <w:r>
        <w:rPr>
          <w:rFonts w:ascii="Calibri" w:hAnsi="Calibri" w:eastAsia="仿宋" w:cs="Calibri"/>
          <w:lang w:bidi="ar"/>
        </w:rPr>
        <w:t>计算</w:t>
      </w:r>
      <w:r>
        <w:rPr>
          <w:rFonts w:hint="eastAsia" w:ascii="黑体" w:hAnsi="黑体" w:eastAsia="黑体" w:cs="黑体"/>
          <w:lang w:bidi="ar"/>
        </w:rPr>
        <w:t>R</w:t>
      </w:r>
      <w:r>
        <w:rPr>
          <w:rFonts w:ascii="Calibri" w:hAnsi="Calibri" w:eastAsia="仿宋" w:cs="Calibri"/>
          <w:lang w:bidi="ar"/>
        </w:rPr>
        <w:t>值，再按照表</w:t>
      </w:r>
      <w:r>
        <w:rPr>
          <w:rFonts w:hint="eastAsia" w:ascii="黑体" w:hAnsi="黑体" w:eastAsia="黑体" w:cs="黑体"/>
          <w:lang w:bidi="ar"/>
        </w:rPr>
        <w:t>4</w:t>
      </w:r>
      <w:r>
        <w:rPr>
          <w:rFonts w:ascii="Calibri" w:hAnsi="Calibri" w:eastAsia="仿宋" w:cs="Calibri"/>
          <w:lang w:bidi="ar"/>
        </w:rPr>
        <w:t>确定风险等级。</w:t>
      </w:r>
    </w:p>
    <w:p>
      <w:pPr>
        <w:widowControl w:val="0"/>
        <w:spacing w:line="360" w:lineRule="auto"/>
        <w:ind w:firstLine="560" w:firstLineChars="200"/>
        <w:rPr>
          <w:rFonts w:ascii="黑体" w:hAnsi="黑体" w:eastAsia="黑体" w:cs="黑体"/>
          <w:sz w:val="28"/>
          <w:szCs w:val="28"/>
          <w:lang w:bidi="ar"/>
        </w:rPr>
      </w:pPr>
      <w:r>
        <w:rPr>
          <w:rFonts w:hint="eastAsia" w:ascii="黑体" w:hAnsi="黑体" w:eastAsia="黑体" w:cs="黑体"/>
          <w:sz w:val="28"/>
          <w:szCs w:val="28"/>
          <w:lang w:bidi="ar"/>
        </w:rPr>
        <w:t>表4  一般危险源风险等级划分标准表-风险矩阵法（LS法）</w:t>
      </w:r>
    </w:p>
    <w:tbl>
      <w:tblPr>
        <w:tblStyle w:val="34"/>
        <w:tblW w:w="0" w:type="auto"/>
        <w:jc w:val="center"/>
        <w:tblLayout w:type="fixed"/>
        <w:tblCellMar>
          <w:top w:w="0" w:type="dxa"/>
          <w:left w:w="108" w:type="dxa"/>
          <w:bottom w:w="0" w:type="dxa"/>
          <w:right w:w="108" w:type="dxa"/>
        </w:tblCellMar>
      </w:tblPr>
      <w:tblGrid>
        <w:gridCol w:w="2094"/>
        <w:gridCol w:w="2412"/>
        <w:gridCol w:w="2269"/>
        <w:gridCol w:w="1747"/>
      </w:tblGrid>
      <w:tr>
        <w:tblPrEx>
          <w:tblCellMar>
            <w:top w:w="0" w:type="dxa"/>
            <w:left w:w="108" w:type="dxa"/>
            <w:bottom w:w="0" w:type="dxa"/>
            <w:right w:w="108" w:type="dxa"/>
          </w:tblCellMar>
        </w:tblPrEx>
        <w:trPr>
          <w:trHeight w:val="567" w:hRule="atLeast"/>
          <w:jc w:val="center"/>
        </w:trPr>
        <w:tc>
          <w:tcPr>
            <w:tcW w:w="209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黑体" w:hAnsi="黑体" w:eastAsia="黑体" w:cs="黑体"/>
                <w:bCs/>
                <w:sz w:val="21"/>
                <w:szCs w:val="24"/>
              </w:rPr>
            </w:pPr>
            <w:r>
              <w:rPr>
                <w:rFonts w:hint="eastAsia" w:ascii="黑体" w:hAnsi="黑体" w:eastAsia="黑体" w:cs="黑体"/>
                <w:bCs/>
                <w:sz w:val="21"/>
                <w:szCs w:val="24"/>
              </w:rPr>
              <w:t>R值区间</w:t>
            </w:r>
          </w:p>
        </w:tc>
        <w:tc>
          <w:tcPr>
            <w:tcW w:w="2412" w:type="dxa"/>
            <w:tcBorders>
              <w:top w:val="single" w:color="auto" w:sz="4" w:space="0"/>
              <w:left w:val="nil"/>
              <w:bottom w:val="single" w:color="auto" w:sz="4" w:space="0"/>
              <w:right w:val="single" w:color="000000" w:sz="4" w:space="0"/>
            </w:tcBorders>
            <w:vAlign w:val="center"/>
          </w:tcPr>
          <w:p>
            <w:pPr>
              <w:spacing w:line="360" w:lineRule="auto"/>
              <w:jc w:val="center"/>
              <w:rPr>
                <w:rFonts w:ascii="黑体" w:hAnsi="黑体" w:eastAsia="黑体" w:cs="黑体"/>
                <w:bCs/>
                <w:sz w:val="21"/>
                <w:szCs w:val="24"/>
              </w:rPr>
            </w:pPr>
            <w:r>
              <w:rPr>
                <w:rFonts w:hint="eastAsia" w:ascii="黑体" w:hAnsi="黑体" w:eastAsia="黑体" w:cs="黑体"/>
                <w:bCs/>
                <w:sz w:val="21"/>
                <w:szCs w:val="24"/>
              </w:rPr>
              <w:t>风险程度</w:t>
            </w:r>
          </w:p>
        </w:tc>
        <w:tc>
          <w:tcPr>
            <w:tcW w:w="2269"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黑体" w:hAnsi="黑体" w:eastAsia="黑体" w:cs="黑体"/>
                <w:bCs/>
                <w:sz w:val="21"/>
                <w:szCs w:val="24"/>
              </w:rPr>
            </w:pPr>
            <w:r>
              <w:rPr>
                <w:rFonts w:hint="eastAsia" w:ascii="黑体" w:hAnsi="黑体" w:eastAsia="黑体" w:cs="黑体"/>
                <w:bCs/>
                <w:sz w:val="21"/>
                <w:szCs w:val="24"/>
              </w:rPr>
              <w:t>风险等级</w:t>
            </w:r>
          </w:p>
        </w:tc>
        <w:tc>
          <w:tcPr>
            <w:tcW w:w="1747"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黑体" w:hAnsi="黑体" w:eastAsia="黑体" w:cs="黑体"/>
                <w:bCs/>
                <w:sz w:val="21"/>
                <w:szCs w:val="24"/>
              </w:rPr>
            </w:pPr>
            <w:r>
              <w:rPr>
                <w:rFonts w:hint="eastAsia" w:ascii="黑体" w:hAnsi="黑体" w:eastAsia="黑体" w:cs="黑体"/>
                <w:bCs/>
                <w:sz w:val="21"/>
                <w:szCs w:val="24"/>
              </w:rPr>
              <w:t>颜色标示</w:t>
            </w:r>
          </w:p>
        </w:tc>
      </w:tr>
      <w:tr>
        <w:tblPrEx>
          <w:tblCellMar>
            <w:top w:w="0" w:type="dxa"/>
            <w:left w:w="108" w:type="dxa"/>
            <w:bottom w:w="0" w:type="dxa"/>
            <w:right w:w="108" w:type="dxa"/>
          </w:tblCellMar>
        </w:tblPrEx>
        <w:trPr>
          <w:trHeight w:val="567" w:hRule="atLeast"/>
          <w:jc w:val="center"/>
        </w:trPr>
        <w:tc>
          <w:tcPr>
            <w:tcW w:w="2094" w:type="dxa"/>
            <w:tcBorders>
              <w:top w:val="nil"/>
              <w:left w:val="single" w:color="auto" w:sz="4" w:space="0"/>
              <w:bottom w:val="single" w:color="auto" w:sz="4" w:space="0"/>
              <w:right w:val="single" w:color="auto" w:sz="4" w:space="0"/>
            </w:tcBorders>
            <w:vAlign w:val="center"/>
          </w:tcPr>
          <w:p>
            <w:pPr>
              <w:spacing w:line="360" w:lineRule="auto"/>
              <w:jc w:val="center"/>
              <w:rPr>
                <w:rFonts w:ascii="Calibri" w:hAnsi="Calibri" w:eastAsia="宋体" w:cs="Calibri"/>
                <w:bCs/>
                <w:sz w:val="21"/>
                <w:szCs w:val="24"/>
              </w:rPr>
            </w:pPr>
            <w:r>
              <w:rPr>
                <w:rFonts w:ascii="Calibri" w:hAnsi="Calibri" w:eastAsia="宋体" w:cs="Calibri"/>
                <w:sz w:val="21"/>
                <w:szCs w:val="24"/>
              </w:rPr>
              <w:t>R＞</w:t>
            </w:r>
            <w:r>
              <w:rPr>
                <w:rFonts w:ascii="Calibri" w:hAnsi="Calibri" w:eastAsia="宋体" w:cs="Calibri"/>
                <w:bCs/>
                <w:sz w:val="21"/>
                <w:szCs w:val="24"/>
              </w:rPr>
              <w:t>320</w:t>
            </w:r>
          </w:p>
        </w:tc>
        <w:tc>
          <w:tcPr>
            <w:tcW w:w="2412" w:type="dxa"/>
            <w:tcBorders>
              <w:top w:val="nil"/>
              <w:left w:val="nil"/>
              <w:bottom w:val="single" w:color="auto" w:sz="4" w:space="0"/>
              <w:right w:val="single" w:color="auto" w:sz="4" w:space="0"/>
            </w:tcBorders>
            <w:vAlign w:val="center"/>
          </w:tcPr>
          <w:p>
            <w:pPr>
              <w:widowControl w:val="0"/>
              <w:jc w:val="center"/>
              <w:rPr>
                <w:rFonts w:ascii="Calibri" w:hAnsi="Calibri" w:eastAsia="宋体" w:cs="Calibri"/>
                <w:kern w:val="2"/>
                <w:sz w:val="21"/>
                <w:szCs w:val="21"/>
              </w:rPr>
            </w:pPr>
            <w:r>
              <w:rPr>
                <w:rFonts w:ascii="Calibri" w:hAnsi="Calibri" w:eastAsia="宋体" w:cs="Calibri"/>
                <w:kern w:val="2"/>
                <w:sz w:val="21"/>
                <w:szCs w:val="21"/>
                <w:lang w:bidi="ar"/>
              </w:rPr>
              <w:t>极其危险</w:t>
            </w:r>
          </w:p>
        </w:tc>
        <w:tc>
          <w:tcPr>
            <w:tcW w:w="2269" w:type="dxa"/>
            <w:tcBorders>
              <w:top w:val="single" w:color="000000" w:sz="4" w:space="0"/>
              <w:left w:val="single" w:color="auto" w:sz="4" w:space="0"/>
              <w:bottom w:val="single" w:color="auto" w:sz="4" w:space="0"/>
              <w:right w:val="single" w:color="auto" w:sz="4" w:space="0"/>
            </w:tcBorders>
            <w:vAlign w:val="center"/>
          </w:tcPr>
          <w:p>
            <w:pPr>
              <w:spacing w:line="360" w:lineRule="auto"/>
              <w:jc w:val="center"/>
              <w:rPr>
                <w:rFonts w:ascii="Calibri" w:hAnsi="Calibri" w:eastAsia="宋体" w:cs="Calibri"/>
                <w:bCs/>
                <w:sz w:val="21"/>
                <w:szCs w:val="24"/>
              </w:rPr>
            </w:pPr>
            <w:r>
              <w:rPr>
                <w:rFonts w:ascii="Calibri" w:hAnsi="Calibri" w:eastAsia="宋体" w:cs="Calibri"/>
                <w:bCs/>
                <w:sz w:val="21"/>
                <w:szCs w:val="24"/>
              </w:rPr>
              <w:t>重大风险</w:t>
            </w:r>
          </w:p>
        </w:tc>
        <w:tc>
          <w:tcPr>
            <w:tcW w:w="1747" w:type="dxa"/>
            <w:tcBorders>
              <w:top w:val="single" w:color="000000" w:sz="4" w:space="0"/>
              <w:left w:val="single" w:color="auto" w:sz="4" w:space="0"/>
              <w:bottom w:val="single" w:color="auto" w:sz="4" w:space="0"/>
              <w:right w:val="single" w:color="auto" w:sz="4" w:space="0"/>
            </w:tcBorders>
            <w:vAlign w:val="center"/>
          </w:tcPr>
          <w:p>
            <w:pPr>
              <w:spacing w:line="360" w:lineRule="auto"/>
              <w:jc w:val="center"/>
              <w:rPr>
                <w:rFonts w:ascii="Calibri" w:hAnsi="Calibri" w:eastAsia="宋体" w:cs="Calibri"/>
                <w:bCs/>
                <w:sz w:val="21"/>
                <w:szCs w:val="24"/>
              </w:rPr>
            </w:pPr>
            <w:r>
              <w:rPr>
                <w:rFonts w:ascii="Calibri" w:hAnsi="Calibri" w:eastAsia="宋体" w:cs="Calibri"/>
                <w:bCs/>
                <w:sz w:val="21"/>
                <w:szCs w:val="24"/>
              </w:rPr>
              <w:t>红</w:t>
            </w:r>
          </w:p>
        </w:tc>
      </w:tr>
      <w:tr>
        <w:tblPrEx>
          <w:tblCellMar>
            <w:top w:w="0" w:type="dxa"/>
            <w:left w:w="108" w:type="dxa"/>
            <w:bottom w:w="0" w:type="dxa"/>
            <w:right w:w="108" w:type="dxa"/>
          </w:tblCellMar>
        </w:tblPrEx>
        <w:trPr>
          <w:trHeight w:val="567" w:hRule="atLeast"/>
          <w:jc w:val="center"/>
        </w:trPr>
        <w:tc>
          <w:tcPr>
            <w:tcW w:w="2094" w:type="dxa"/>
            <w:tcBorders>
              <w:top w:val="nil"/>
              <w:left w:val="single" w:color="auto" w:sz="4" w:space="0"/>
              <w:bottom w:val="single" w:color="auto" w:sz="4" w:space="0"/>
              <w:right w:val="single" w:color="auto" w:sz="4" w:space="0"/>
            </w:tcBorders>
            <w:vAlign w:val="center"/>
          </w:tcPr>
          <w:p>
            <w:pPr>
              <w:spacing w:line="360" w:lineRule="auto"/>
              <w:jc w:val="center"/>
              <w:rPr>
                <w:rFonts w:ascii="Calibri" w:hAnsi="Calibri" w:eastAsia="宋体" w:cs="Calibri"/>
                <w:bCs/>
                <w:sz w:val="21"/>
                <w:szCs w:val="24"/>
              </w:rPr>
            </w:pPr>
            <w:r>
              <w:rPr>
                <w:rFonts w:ascii="Calibri" w:hAnsi="Calibri" w:eastAsia="宋体" w:cs="Calibri"/>
                <w:bCs/>
                <w:sz w:val="21"/>
                <w:szCs w:val="24"/>
              </w:rPr>
              <w:t>160＜</w:t>
            </w:r>
            <w:r>
              <w:rPr>
                <w:rFonts w:ascii="Calibri" w:hAnsi="Calibri" w:eastAsia="宋体" w:cs="Calibri"/>
                <w:sz w:val="21"/>
                <w:szCs w:val="24"/>
              </w:rPr>
              <w:t>R</w:t>
            </w:r>
            <w:r>
              <w:rPr>
                <w:rFonts w:hint="eastAsia" w:ascii="Calibri" w:hAnsi="Calibri" w:eastAsia="宋体" w:cs="Calibri"/>
                <w:sz w:val="21"/>
                <w:szCs w:val="24"/>
              </w:rPr>
              <w:t>≤</w:t>
            </w:r>
            <w:r>
              <w:rPr>
                <w:rFonts w:ascii="Calibri" w:hAnsi="Calibri" w:eastAsia="宋体" w:cs="Calibri"/>
                <w:bCs/>
                <w:sz w:val="21"/>
                <w:szCs w:val="24"/>
              </w:rPr>
              <w:t>320</w:t>
            </w:r>
          </w:p>
        </w:tc>
        <w:tc>
          <w:tcPr>
            <w:tcW w:w="2412" w:type="dxa"/>
            <w:tcBorders>
              <w:top w:val="nil"/>
              <w:left w:val="nil"/>
              <w:bottom w:val="single" w:color="auto" w:sz="4" w:space="0"/>
              <w:right w:val="single" w:color="auto" w:sz="4" w:space="0"/>
            </w:tcBorders>
            <w:vAlign w:val="center"/>
          </w:tcPr>
          <w:p>
            <w:pPr>
              <w:widowControl w:val="0"/>
              <w:jc w:val="center"/>
              <w:rPr>
                <w:rFonts w:ascii="Calibri" w:hAnsi="Calibri" w:eastAsia="宋体" w:cs="Calibri"/>
                <w:kern w:val="2"/>
                <w:sz w:val="21"/>
                <w:szCs w:val="21"/>
              </w:rPr>
            </w:pPr>
            <w:r>
              <w:rPr>
                <w:rFonts w:ascii="Calibri" w:hAnsi="Calibri" w:eastAsia="宋体" w:cs="Calibri"/>
                <w:kern w:val="2"/>
                <w:sz w:val="21"/>
                <w:szCs w:val="21"/>
                <w:lang w:bidi="ar"/>
              </w:rPr>
              <w:t>高度危险</w:t>
            </w:r>
          </w:p>
        </w:tc>
        <w:tc>
          <w:tcPr>
            <w:tcW w:w="226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eastAsia="宋体" w:cs="Calibri"/>
                <w:bCs/>
                <w:sz w:val="21"/>
                <w:szCs w:val="24"/>
              </w:rPr>
            </w:pPr>
            <w:r>
              <w:rPr>
                <w:rFonts w:ascii="Calibri" w:hAnsi="Calibri" w:eastAsia="宋体" w:cs="Calibri"/>
                <w:bCs/>
                <w:sz w:val="21"/>
                <w:szCs w:val="24"/>
              </w:rPr>
              <w:t>较大风险</w:t>
            </w:r>
          </w:p>
        </w:tc>
        <w:tc>
          <w:tcPr>
            <w:tcW w:w="174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eastAsia="宋体" w:cs="Calibri"/>
                <w:bCs/>
                <w:sz w:val="21"/>
                <w:szCs w:val="24"/>
              </w:rPr>
            </w:pPr>
            <w:r>
              <w:rPr>
                <w:rFonts w:ascii="Calibri" w:hAnsi="Calibri" w:eastAsia="宋体" w:cs="Calibri"/>
                <w:bCs/>
                <w:sz w:val="21"/>
                <w:szCs w:val="24"/>
              </w:rPr>
              <w:t>橙</w:t>
            </w:r>
          </w:p>
        </w:tc>
      </w:tr>
      <w:tr>
        <w:tblPrEx>
          <w:tblCellMar>
            <w:top w:w="0" w:type="dxa"/>
            <w:left w:w="108" w:type="dxa"/>
            <w:bottom w:w="0" w:type="dxa"/>
            <w:right w:w="108" w:type="dxa"/>
          </w:tblCellMar>
        </w:tblPrEx>
        <w:trPr>
          <w:trHeight w:val="567" w:hRule="atLeast"/>
          <w:jc w:val="center"/>
        </w:trPr>
        <w:tc>
          <w:tcPr>
            <w:tcW w:w="2094" w:type="dxa"/>
            <w:tcBorders>
              <w:top w:val="nil"/>
              <w:left w:val="single" w:color="auto" w:sz="4" w:space="0"/>
              <w:bottom w:val="single" w:color="auto" w:sz="4" w:space="0"/>
              <w:right w:val="single" w:color="auto" w:sz="4" w:space="0"/>
            </w:tcBorders>
            <w:vAlign w:val="center"/>
          </w:tcPr>
          <w:p>
            <w:pPr>
              <w:spacing w:line="360" w:lineRule="auto"/>
              <w:jc w:val="center"/>
              <w:rPr>
                <w:rFonts w:ascii="Calibri" w:hAnsi="Calibri" w:eastAsia="宋体" w:cs="Calibri"/>
                <w:bCs/>
                <w:sz w:val="21"/>
                <w:szCs w:val="24"/>
              </w:rPr>
            </w:pPr>
            <w:r>
              <w:rPr>
                <w:rFonts w:ascii="Calibri" w:hAnsi="Calibri" w:eastAsia="宋体" w:cs="Calibri"/>
                <w:bCs/>
                <w:sz w:val="21"/>
                <w:szCs w:val="24"/>
              </w:rPr>
              <w:t>70＜</w:t>
            </w:r>
            <w:r>
              <w:rPr>
                <w:rFonts w:ascii="Calibri" w:hAnsi="Calibri" w:eastAsia="宋体" w:cs="Calibri"/>
                <w:sz w:val="21"/>
                <w:szCs w:val="24"/>
              </w:rPr>
              <w:t>R</w:t>
            </w:r>
            <w:r>
              <w:rPr>
                <w:rFonts w:hint="eastAsia" w:ascii="Calibri" w:hAnsi="Calibri" w:eastAsia="宋体" w:cs="Calibri"/>
                <w:sz w:val="21"/>
                <w:szCs w:val="24"/>
              </w:rPr>
              <w:t>≤</w:t>
            </w:r>
            <w:r>
              <w:rPr>
                <w:rFonts w:ascii="Calibri" w:hAnsi="Calibri" w:eastAsia="宋体" w:cs="Calibri"/>
                <w:bCs/>
                <w:sz w:val="21"/>
                <w:szCs w:val="24"/>
              </w:rPr>
              <w:t>160</w:t>
            </w:r>
          </w:p>
        </w:tc>
        <w:tc>
          <w:tcPr>
            <w:tcW w:w="2412" w:type="dxa"/>
            <w:tcBorders>
              <w:top w:val="nil"/>
              <w:left w:val="nil"/>
              <w:bottom w:val="single" w:color="auto" w:sz="4" w:space="0"/>
              <w:right w:val="single" w:color="auto" w:sz="4" w:space="0"/>
            </w:tcBorders>
            <w:vAlign w:val="center"/>
          </w:tcPr>
          <w:p>
            <w:pPr>
              <w:widowControl w:val="0"/>
              <w:jc w:val="center"/>
              <w:rPr>
                <w:rFonts w:ascii="Calibri" w:hAnsi="Calibri" w:eastAsia="宋体" w:cs="Calibri"/>
                <w:kern w:val="2"/>
                <w:sz w:val="21"/>
                <w:szCs w:val="21"/>
              </w:rPr>
            </w:pPr>
            <w:r>
              <w:rPr>
                <w:rFonts w:ascii="Calibri" w:hAnsi="Calibri" w:eastAsia="宋体" w:cs="Calibri"/>
                <w:kern w:val="2"/>
                <w:sz w:val="21"/>
                <w:szCs w:val="21"/>
                <w:lang w:bidi="ar"/>
              </w:rPr>
              <w:t>中度危险</w:t>
            </w:r>
          </w:p>
        </w:tc>
        <w:tc>
          <w:tcPr>
            <w:tcW w:w="226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eastAsia="宋体" w:cs="Calibri"/>
                <w:bCs/>
                <w:sz w:val="21"/>
                <w:szCs w:val="21"/>
              </w:rPr>
            </w:pPr>
            <w:r>
              <w:rPr>
                <w:rFonts w:ascii="Calibri" w:hAnsi="Calibri" w:eastAsia="宋体" w:cs="Calibri"/>
                <w:bCs/>
                <w:sz w:val="21"/>
                <w:szCs w:val="21"/>
                <w:lang w:bidi="ar"/>
              </w:rPr>
              <w:t>一般风险</w:t>
            </w:r>
          </w:p>
        </w:tc>
        <w:tc>
          <w:tcPr>
            <w:tcW w:w="174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eastAsia="宋体" w:cs="Calibri"/>
                <w:bCs/>
                <w:sz w:val="21"/>
                <w:szCs w:val="21"/>
              </w:rPr>
            </w:pPr>
            <w:r>
              <w:rPr>
                <w:rFonts w:ascii="Calibri" w:hAnsi="Calibri" w:eastAsia="宋体" w:cs="Calibri"/>
                <w:bCs/>
                <w:sz w:val="21"/>
                <w:szCs w:val="21"/>
                <w:lang w:bidi="ar"/>
              </w:rPr>
              <w:t>黄</w:t>
            </w:r>
          </w:p>
        </w:tc>
      </w:tr>
      <w:tr>
        <w:tblPrEx>
          <w:tblCellMar>
            <w:top w:w="0" w:type="dxa"/>
            <w:left w:w="108" w:type="dxa"/>
            <w:bottom w:w="0" w:type="dxa"/>
            <w:right w:w="108" w:type="dxa"/>
          </w:tblCellMar>
        </w:tblPrEx>
        <w:trPr>
          <w:trHeight w:val="567" w:hRule="atLeast"/>
          <w:jc w:val="center"/>
        </w:trPr>
        <w:tc>
          <w:tcPr>
            <w:tcW w:w="209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eastAsia="宋体" w:cs="Calibri"/>
                <w:bCs/>
                <w:sz w:val="21"/>
                <w:szCs w:val="24"/>
              </w:rPr>
            </w:pPr>
            <w:r>
              <w:rPr>
                <w:rFonts w:ascii="Calibri" w:hAnsi="Calibri" w:eastAsia="宋体" w:cs="Calibri"/>
                <w:sz w:val="21"/>
                <w:szCs w:val="24"/>
              </w:rPr>
              <w:t>R</w:t>
            </w:r>
            <w:r>
              <w:rPr>
                <w:rFonts w:hint="eastAsia" w:ascii="Calibri" w:hAnsi="Calibri" w:eastAsia="宋体" w:cs="Calibri"/>
                <w:sz w:val="21"/>
                <w:szCs w:val="24"/>
              </w:rPr>
              <w:t>≤</w:t>
            </w:r>
            <w:r>
              <w:rPr>
                <w:rFonts w:ascii="Calibri" w:hAnsi="Calibri" w:eastAsia="宋体" w:cs="Calibri"/>
                <w:bCs/>
                <w:sz w:val="21"/>
                <w:szCs w:val="24"/>
              </w:rPr>
              <w:t>70</w:t>
            </w:r>
          </w:p>
        </w:tc>
        <w:tc>
          <w:tcPr>
            <w:tcW w:w="2412" w:type="dxa"/>
            <w:tcBorders>
              <w:top w:val="single" w:color="auto" w:sz="4" w:space="0"/>
              <w:left w:val="single" w:color="auto" w:sz="4" w:space="0"/>
              <w:bottom w:val="single" w:color="auto" w:sz="4" w:space="0"/>
              <w:right w:val="single" w:color="auto" w:sz="4" w:space="0"/>
            </w:tcBorders>
            <w:vAlign w:val="center"/>
          </w:tcPr>
          <w:p>
            <w:pPr>
              <w:widowControl w:val="0"/>
              <w:jc w:val="center"/>
              <w:rPr>
                <w:rFonts w:ascii="Calibri" w:hAnsi="Calibri" w:eastAsia="宋体" w:cs="Calibri"/>
                <w:kern w:val="2"/>
                <w:sz w:val="21"/>
                <w:szCs w:val="21"/>
              </w:rPr>
            </w:pPr>
            <w:r>
              <w:rPr>
                <w:rFonts w:ascii="Calibri" w:hAnsi="Calibri" w:eastAsia="宋体" w:cs="Calibri"/>
                <w:kern w:val="2"/>
                <w:sz w:val="21"/>
                <w:szCs w:val="21"/>
                <w:lang w:bidi="ar"/>
              </w:rPr>
              <w:t>轻度危险</w:t>
            </w:r>
          </w:p>
        </w:tc>
        <w:tc>
          <w:tcPr>
            <w:tcW w:w="226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eastAsia="宋体" w:cs="Calibri"/>
                <w:bCs/>
                <w:sz w:val="21"/>
                <w:szCs w:val="21"/>
              </w:rPr>
            </w:pPr>
            <w:r>
              <w:rPr>
                <w:rFonts w:ascii="Calibri" w:hAnsi="Calibri" w:eastAsia="宋体" w:cs="Calibri"/>
                <w:bCs/>
                <w:sz w:val="21"/>
                <w:szCs w:val="21"/>
                <w:lang w:bidi="ar"/>
              </w:rPr>
              <w:t>低风险</w:t>
            </w:r>
          </w:p>
        </w:tc>
        <w:tc>
          <w:tcPr>
            <w:tcW w:w="174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eastAsia="宋体" w:cs="Calibri"/>
                <w:bCs/>
                <w:sz w:val="21"/>
                <w:szCs w:val="21"/>
              </w:rPr>
            </w:pPr>
            <w:r>
              <w:rPr>
                <w:rFonts w:ascii="Calibri" w:hAnsi="Calibri" w:eastAsia="宋体" w:cs="Calibri"/>
                <w:bCs/>
                <w:sz w:val="21"/>
                <w:szCs w:val="21"/>
                <w:lang w:bidi="ar"/>
              </w:rPr>
              <w:t>蓝</w:t>
            </w:r>
          </w:p>
        </w:tc>
      </w:tr>
    </w:tbl>
    <w:p>
      <w:pPr>
        <w:widowControl w:val="0"/>
        <w:spacing w:line="360" w:lineRule="auto"/>
        <w:ind w:firstLine="640" w:firstLineChars="200"/>
        <w:rPr>
          <w:rFonts w:ascii="Calibri" w:hAnsi="Calibri" w:eastAsia="仿宋" w:cs="Calibri"/>
          <w:lang w:bidi="ar"/>
        </w:rPr>
      </w:pPr>
    </w:p>
    <w:p>
      <w:pPr>
        <w:widowControl w:val="0"/>
        <w:adjustRightInd w:val="0"/>
        <w:snapToGrid w:val="0"/>
        <w:spacing w:line="360" w:lineRule="auto"/>
        <w:ind w:firstLine="400" w:firstLineChars="200"/>
        <w:jc w:val="center"/>
        <w:rPr>
          <w:rFonts w:ascii="Calibri" w:hAnsi="Calibri" w:eastAsia="黑体" w:cs="Calibri"/>
          <w:bCs/>
          <w:sz w:val="20"/>
          <w:szCs w:val="20"/>
        </w:rPr>
      </w:pPr>
    </w:p>
    <w:p>
      <w:pPr>
        <w:widowControl w:val="0"/>
        <w:rPr>
          <w:rFonts w:ascii="仿宋" w:hAnsi="仿宋" w:eastAsia="仿宋" w:cs="仿宋"/>
          <w:kern w:val="2"/>
        </w:rPr>
      </w:pPr>
    </w:p>
    <w:p>
      <w:pPr>
        <w:rPr>
          <w:rFonts w:asciiTheme="minorEastAsia" w:hAnsiTheme="minorEastAsia" w:eastAsiaTheme="minorEastAsia"/>
          <w:sz w:val="21"/>
          <w:szCs w:val="21"/>
        </w:rPr>
        <w:sectPr>
          <w:pgSz w:w="11906" w:h="16838"/>
          <w:pgMar w:top="1440" w:right="1797" w:bottom="1440" w:left="1797" w:header="851" w:footer="992" w:gutter="0"/>
          <w:cols w:space="425" w:num="1"/>
          <w:docGrid w:type="lines" w:linePitch="435" w:charSpace="0"/>
        </w:sectPr>
      </w:pPr>
    </w:p>
    <w:p>
      <w:pPr>
        <w:jc w:val="center"/>
        <w:outlineLvl w:val="0"/>
        <w:rPr>
          <w:rFonts w:ascii="方正小标宋_GBK" w:hAnsi="黑体" w:eastAsia="方正小标宋_GBK"/>
          <w:b/>
          <w:bCs/>
          <w:sz w:val="28"/>
          <w:szCs w:val="28"/>
        </w:rPr>
      </w:pPr>
      <w:bookmarkStart w:id="202" w:name="_Toc117541345"/>
      <w:bookmarkStart w:id="203" w:name="_Toc119336627"/>
      <w:r>
        <w:rPr>
          <w:rFonts w:hint="eastAsia" w:ascii="方正小标宋_GBK" w:hAnsi="黑体" w:eastAsia="方正小标宋_GBK"/>
          <w:b/>
          <w:bCs/>
          <w:sz w:val="28"/>
          <w:szCs w:val="28"/>
        </w:rPr>
        <w:t>附录F.5</w:t>
      </w:r>
      <w:bookmarkEnd w:id="202"/>
      <w:bookmarkEnd w:id="203"/>
    </w:p>
    <w:p>
      <w:pPr>
        <w:jc w:val="center"/>
        <w:rPr>
          <w:rFonts w:ascii="方正小标宋_GBK" w:hAnsi="黑体" w:eastAsia="方正小标宋_GBK"/>
          <w:b/>
          <w:bCs/>
          <w:sz w:val="28"/>
          <w:szCs w:val="28"/>
        </w:rPr>
      </w:pPr>
      <w:r>
        <w:rPr>
          <w:rFonts w:hint="eastAsia" w:ascii="方正小标宋_GBK" w:hAnsi="黑体" w:eastAsia="方正小标宋_GBK"/>
          <w:b/>
          <w:bCs/>
          <w:sz w:val="28"/>
          <w:szCs w:val="28"/>
        </w:rPr>
        <w:t>（资料性附录）</w:t>
      </w:r>
    </w:p>
    <w:p>
      <w:pPr>
        <w:jc w:val="center"/>
        <w:rPr>
          <w:rFonts w:ascii="方正小标宋_GBK" w:hAnsi="黑体" w:eastAsia="方正小标宋_GBK"/>
          <w:b/>
          <w:bCs/>
          <w:sz w:val="28"/>
          <w:szCs w:val="28"/>
        </w:rPr>
      </w:pPr>
      <w:r>
        <w:rPr>
          <w:rFonts w:hint="eastAsia" w:ascii="方正小标宋_GBK" w:hAnsi="黑体" w:eastAsia="方正小标宋_GBK"/>
          <w:b/>
          <w:bCs/>
          <w:sz w:val="28"/>
          <w:szCs w:val="28"/>
        </w:rPr>
        <w:t>风险矩阵法（LS法）</w:t>
      </w:r>
    </w:p>
    <w:p>
      <w:pPr>
        <w:jc w:val="center"/>
        <w:rPr>
          <w:rFonts w:ascii="方正小标宋_GBK" w:hAnsi="黑体" w:eastAsia="方正小标宋_GBK"/>
          <w:b/>
          <w:bCs/>
          <w:sz w:val="28"/>
          <w:szCs w:val="28"/>
        </w:rPr>
      </w:pPr>
    </w:p>
    <w:p>
      <w:pPr>
        <w:jc w:val="center"/>
        <w:outlineLvl w:val="1"/>
        <w:rPr>
          <w:rFonts w:ascii="方正小标宋_GBK" w:hAnsi="黑体" w:eastAsia="方正小标宋_GBK"/>
          <w:b/>
          <w:bCs/>
          <w:sz w:val="28"/>
          <w:szCs w:val="28"/>
        </w:rPr>
      </w:pPr>
      <w:bookmarkStart w:id="204" w:name="_Toc119336628"/>
      <w:bookmarkStart w:id="205" w:name="_Toc117541346"/>
      <w:r>
        <w:rPr>
          <w:rFonts w:hint="eastAsia" w:ascii="方正小标宋_GBK" w:hAnsi="黑体" w:eastAsia="方正小标宋_GBK"/>
          <w:b/>
          <w:bCs/>
          <w:sz w:val="28"/>
          <w:szCs w:val="28"/>
        </w:rPr>
        <w:t>风险矩阵表</w:t>
      </w:r>
      <w:bookmarkEnd w:id="204"/>
      <w:bookmarkEnd w:id="205"/>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2"/>
        <w:gridCol w:w="426"/>
        <w:gridCol w:w="1462"/>
        <w:gridCol w:w="1463"/>
        <w:gridCol w:w="1463"/>
        <w:gridCol w:w="1463"/>
        <w:gridCol w:w="14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Merge w:val="restart"/>
            <w:vAlign w:val="center"/>
          </w:tcPr>
          <w:p>
            <w:pPr>
              <w:widowControl w:val="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后果等级</w:t>
            </w:r>
          </w:p>
        </w:tc>
        <w:tc>
          <w:tcPr>
            <w:tcW w:w="426" w:type="dxa"/>
            <w:vAlign w:val="center"/>
          </w:tcPr>
          <w:p>
            <w:pPr>
              <w:widowControl w:val="0"/>
              <w:rPr>
                <w:rFonts w:asciiTheme="minorEastAsia" w:hAnsiTheme="minorEastAsia" w:eastAsiaTheme="minorEastAsia"/>
                <w:sz w:val="21"/>
                <w:szCs w:val="21"/>
              </w:rPr>
            </w:pPr>
            <w:r>
              <w:rPr>
                <w:rFonts w:hint="eastAsia" w:asciiTheme="minorEastAsia" w:hAnsiTheme="minorEastAsia" w:eastAsiaTheme="minorEastAsia"/>
                <w:sz w:val="21"/>
                <w:szCs w:val="21"/>
              </w:rPr>
              <w:t>5</w:t>
            </w:r>
          </w:p>
        </w:tc>
        <w:tc>
          <w:tcPr>
            <w:tcW w:w="1462" w:type="dxa"/>
            <w:shd w:val="clear" w:color="auto" w:fill="0070C0"/>
            <w:vAlign w:val="center"/>
          </w:tcPr>
          <w:p>
            <w:pPr>
              <w:widowControl w:val="0"/>
              <w:jc w:val="center"/>
              <w:rPr>
                <w:rFonts w:asciiTheme="minorEastAsia" w:hAnsiTheme="minorEastAsia" w:eastAsiaTheme="minorEastAsia"/>
                <w:b/>
                <w:bCs/>
                <w:sz w:val="28"/>
                <w:szCs w:val="28"/>
              </w:rPr>
            </w:pPr>
            <w:r>
              <w:rPr>
                <w:rFonts w:hint="eastAsia" w:asciiTheme="minorEastAsia" w:hAnsiTheme="minorEastAsia" w:eastAsiaTheme="minorEastAsia"/>
                <w:b/>
                <w:bCs/>
                <w:sz w:val="28"/>
                <w:szCs w:val="28"/>
              </w:rPr>
              <w:t>轻度危险</w:t>
            </w:r>
          </w:p>
        </w:tc>
        <w:tc>
          <w:tcPr>
            <w:tcW w:w="1463" w:type="dxa"/>
            <w:shd w:val="clear" w:color="auto" w:fill="FFFF00"/>
            <w:vAlign w:val="center"/>
          </w:tcPr>
          <w:p>
            <w:pPr>
              <w:widowControl w:val="0"/>
              <w:jc w:val="center"/>
              <w:rPr>
                <w:rFonts w:asciiTheme="minorEastAsia" w:hAnsiTheme="minorEastAsia" w:eastAsiaTheme="minorEastAsia"/>
                <w:b/>
                <w:bCs/>
                <w:sz w:val="28"/>
                <w:szCs w:val="28"/>
              </w:rPr>
            </w:pPr>
            <w:r>
              <w:rPr>
                <w:rFonts w:hint="eastAsia" w:asciiTheme="minorEastAsia" w:hAnsiTheme="minorEastAsia" w:eastAsiaTheme="minorEastAsia"/>
                <w:b/>
                <w:bCs/>
                <w:sz w:val="28"/>
                <w:szCs w:val="28"/>
              </w:rPr>
              <w:t>显著危险</w:t>
            </w:r>
          </w:p>
        </w:tc>
        <w:tc>
          <w:tcPr>
            <w:tcW w:w="1463" w:type="dxa"/>
            <w:shd w:val="clear" w:color="auto" w:fill="FFC000"/>
            <w:vAlign w:val="center"/>
          </w:tcPr>
          <w:p>
            <w:pPr>
              <w:widowControl w:val="0"/>
              <w:jc w:val="center"/>
              <w:rPr>
                <w:rFonts w:asciiTheme="minorEastAsia" w:hAnsiTheme="minorEastAsia" w:eastAsiaTheme="minorEastAsia"/>
                <w:b/>
                <w:bCs/>
                <w:sz w:val="28"/>
                <w:szCs w:val="28"/>
              </w:rPr>
            </w:pPr>
            <w:r>
              <w:rPr>
                <w:rFonts w:hint="eastAsia" w:asciiTheme="minorEastAsia" w:hAnsiTheme="minorEastAsia" w:eastAsiaTheme="minorEastAsia"/>
                <w:b/>
                <w:bCs/>
                <w:sz w:val="28"/>
                <w:szCs w:val="28"/>
              </w:rPr>
              <w:t>高度危险</w:t>
            </w:r>
          </w:p>
        </w:tc>
        <w:tc>
          <w:tcPr>
            <w:tcW w:w="1463" w:type="dxa"/>
            <w:shd w:val="clear" w:color="auto" w:fill="FF0000"/>
            <w:vAlign w:val="center"/>
          </w:tcPr>
          <w:p>
            <w:pPr>
              <w:widowControl w:val="0"/>
              <w:jc w:val="center"/>
              <w:rPr>
                <w:rFonts w:asciiTheme="minorEastAsia" w:hAnsiTheme="minorEastAsia" w:eastAsiaTheme="minorEastAsia"/>
                <w:b/>
                <w:bCs/>
                <w:sz w:val="28"/>
                <w:szCs w:val="28"/>
              </w:rPr>
            </w:pPr>
            <w:r>
              <w:rPr>
                <w:rFonts w:hint="eastAsia" w:asciiTheme="minorEastAsia" w:hAnsiTheme="minorEastAsia" w:eastAsiaTheme="minorEastAsia"/>
                <w:b/>
                <w:bCs/>
                <w:sz w:val="28"/>
                <w:szCs w:val="28"/>
              </w:rPr>
              <w:t>极其危险</w:t>
            </w:r>
          </w:p>
        </w:tc>
        <w:tc>
          <w:tcPr>
            <w:tcW w:w="1463" w:type="dxa"/>
            <w:shd w:val="clear" w:color="auto" w:fill="FF0000"/>
            <w:vAlign w:val="center"/>
          </w:tcPr>
          <w:p>
            <w:pPr>
              <w:widowControl w:val="0"/>
              <w:jc w:val="center"/>
              <w:rPr>
                <w:rFonts w:asciiTheme="minorEastAsia" w:hAnsiTheme="minorEastAsia" w:eastAsiaTheme="minorEastAsia"/>
                <w:b/>
                <w:bCs/>
                <w:sz w:val="28"/>
                <w:szCs w:val="28"/>
              </w:rPr>
            </w:pPr>
            <w:r>
              <w:rPr>
                <w:rFonts w:hint="eastAsia" w:asciiTheme="minorEastAsia" w:hAnsiTheme="minorEastAsia" w:eastAsiaTheme="minorEastAsia"/>
                <w:b/>
                <w:bCs/>
                <w:sz w:val="28"/>
                <w:szCs w:val="28"/>
              </w:rPr>
              <w:t>极其危险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Merge w:val="continue"/>
            <w:vAlign w:val="center"/>
          </w:tcPr>
          <w:p>
            <w:pPr>
              <w:widowControl w:val="0"/>
              <w:jc w:val="center"/>
              <w:rPr>
                <w:rFonts w:asciiTheme="minorEastAsia" w:hAnsiTheme="minorEastAsia" w:eastAsiaTheme="minorEastAsia"/>
                <w:sz w:val="21"/>
                <w:szCs w:val="21"/>
              </w:rPr>
            </w:pPr>
          </w:p>
        </w:tc>
        <w:tc>
          <w:tcPr>
            <w:tcW w:w="426" w:type="dxa"/>
            <w:vAlign w:val="center"/>
          </w:tcPr>
          <w:p>
            <w:pPr>
              <w:widowControl w:val="0"/>
              <w:rPr>
                <w:rFonts w:asciiTheme="minorEastAsia" w:hAnsiTheme="minorEastAsia" w:eastAsiaTheme="minorEastAsia"/>
                <w:sz w:val="21"/>
                <w:szCs w:val="21"/>
              </w:rPr>
            </w:pPr>
            <w:r>
              <w:rPr>
                <w:rFonts w:hint="eastAsia" w:asciiTheme="minorEastAsia" w:hAnsiTheme="minorEastAsia" w:eastAsiaTheme="minorEastAsia"/>
                <w:sz w:val="21"/>
                <w:szCs w:val="21"/>
              </w:rPr>
              <w:t>4</w:t>
            </w:r>
          </w:p>
        </w:tc>
        <w:tc>
          <w:tcPr>
            <w:tcW w:w="1462" w:type="dxa"/>
            <w:shd w:val="clear" w:color="auto" w:fill="0070C0"/>
          </w:tcPr>
          <w:p>
            <w:pPr>
              <w:widowControl w:val="0"/>
              <w:jc w:val="center"/>
              <w:rPr>
                <w:rFonts w:asciiTheme="minorEastAsia" w:hAnsiTheme="minorEastAsia" w:eastAsiaTheme="minorEastAsia"/>
                <w:b/>
                <w:bCs/>
                <w:sz w:val="21"/>
                <w:szCs w:val="21"/>
              </w:rPr>
            </w:pPr>
            <w:r>
              <w:rPr>
                <w:rFonts w:hint="eastAsia" w:asciiTheme="minorEastAsia" w:hAnsiTheme="minorEastAsia" w:eastAsiaTheme="minorEastAsia"/>
                <w:b/>
                <w:bCs/>
                <w:sz w:val="28"/>
                <w:szCs w:val="28"/>
              </w:rPr>
              <w:t>轻度危险</w:t>
            </w:r>
          </w:p>
        </w:tc>
        <w:tc>
          <w:tcPr>
            <w:tcW w:w="1463" w:type="dxa"/>
            <w:shd w:val="clear" w:color="auto" w:fill="0070C0"/>
          </w:tcPr>
          <w:p>
            <w:pPr>
              <w:widowControl w:val="0"/>
              <w:jc w:val="center"/>
              <w:rPr>
                <w:rFonts w:asciiTheme="minorEastAsia" w:hAnsiTheme="minorEastAsia" w:eastAsiaTheme="minorEastAsia"/>
                <w:b/>
                <w:bCs/>
                <w:sz w:val="21"/>
                <w:szCs w:val="21"/>
              </w:rPr>
            </w:pPr>
            <w:r>
              <w:rPr>
                <w:rFonts w:hint="eastAsia" w:asciiTheme="minorEastAsia" w:hAnsiTheme="minorEastAsia" w:eastAsiaTheme="minorEastAsia"/>
                <w:b/>
                <w:bCs/>
                <w:sz w:val="28"/>
                <w:szCs w:val="28"/>
              </w:rPr>
              <w:t>轻度危险</w:t>
            </w:r>
          </w:p>
        </w:tc>
        <w:tc>
          <w:tcPr>
            <w:tcW w:w="1463" w:type="dxa"/>
            <w:shd w:val="clear" w:color="auto" w:fill="FFFF00"/>
          </w:tcPr>
          <w:p>
            <w:pPr>
              <w:widowControl w:val="0"/>
              <w:jc w:val="center"/>
              <w:rPr>
                <w:rFonts w:asciiTheme="minorEastAsia" w:hAnsiTheme="minorEastAsia" w:eastAsiaTheme="minorEastAsia"/>
                <w:b/>
                <w:bCs/>
                <w:sz w:val="21"/>
                <w:szCs w:val="21"/>
              </w:rPr>
            </w:pPr>
            <w:r>
              <w:rPr>
                <w:rFonts w:hint="eastAsia" w:asciiTheme="minorEastAsia" w:hAnsiTheme="minorEastAsia" w:eastAsiaTheme="minorEastAsia"/>
                <w:b/>
                <w:bCs/>
                <w:sz w:val="28"/>
                <w:szCs w:val="28"/>
              </w:rPr>
              <w:t>显著危险</w:t>
            </w:r>
          </w:p>
        </w:tc>
        <w:tc>
          <w:tcPr>
            <w:tcW w:w="1463" w:type="dxa"/>
            <w:shd w:val="clear" w:color="auto" w:fill="FFC000"/>
            <w:vAlign w:val="center"/>
          </w:tcPr>
          <w:p>
            <w:pPr>
              <w:widowControl w:val="0"/>
              <w:jc w:val="center"/>
              <w:rPr>
                <w:rFonts w:asciiTheme="minorEastAsia" w:hAnsiTheme="minorEastAsia" w:eastAsiaTheme="minorEastAsia"/>
                <w:b/>
                <w:bCs/>
                <w:sz w:val="21"/>
                <w:szCs w:val="21"/>
              </w:rPr>
            </w:pPr>
            <w:r>
              <w:rPr>
                <w:rFonts w:hint="eastAsia" w:asciiTheme="minorEastAsia" w:hAnsiTheme="minorEastAsia" w:eastAsiaTheme="minorEastAsia"/>
                <w:b/>
                <w:bCs/>
                <w:sz w:val="28"/>
                <w:szCs w:val="28"/>
              </w:rPr>
              <w:t>高度危险</w:t>
            </w:r>
          </w:p>
        </w:tc>
        <w:tc>
          <w:tcPr>
            <w:tcW w:w="1463" w:type="dxa"/>
            <w:shd w:val="clear" w:color="auto" w:fill="FF0000"/>
            <w:vAlign w:val="center"/>
          </w:tcPr>
          <w:p>
            <w:pPr>
              <w:widowControl w:val="0"/>
              <w:jc w:val="center"/>
              <w:rPr>
                <w:rFonts w:asciiTheme="minorEastAsia" w:hAnsiTheme="minorEastAsia" w:eastAsiaTheme="minorEastAsia"/>
                <w:b/>
                <w:bCs/>
                <w:sz w:val="21"/>
                <w:szCs w:val="21"/>
              </w:rPr>
            </w:pPr>
            <w:r>
              <w:rPr>
                <w:rFonts w:hint="eastAsia" w:asciiTheme="minorEastAsia" w:hAnsiTheme="minorEastAsia" w:eastAsiaTheme="minorEastAsia"/>
                <w:b/>
                <w:bCs/>
                <w:sz w:val="28"/>
                <w:szCs w:val="28"/>
              </w:rPr>
              <w:t>极其危险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Merge w:val="continue"/>
            <w:vAlign w:val="center"/>
          </w:tcPr>
          <w:p>
            <w:pPr>
              <w:widowControl w:val="0"/>
              <w:jc w:val="center"/>
              <w:rPr>
                <w:rFonts w:asciiTheme="minorEastAsia" w:hAnsiTheme="minorEastAsia" w:eastAsiaTheme="minorEastAsia"/>
                <w:sz w:val="21"/>
                <w:szCs w:val="21"/>
              </w:rPr>
            </w:pPr>
          </w:p>
        </w:tc>
        <w:tc>
          <w:tcPr>
            <w:tcW w:w="426" w:type="dxa"/>
            <w:vAlign w:val="center"/>
          </w:tcPr>
          <w:p>
            <w:pPr>
              <w:widowControl w:val="0"/>
              <w:rPr>
                <w:rFonts w:asciiTheme="minorEastAsia" w:hAnsiTheme="minorEastAsia" w:eastAsiaTheme="minorEastAsia"/>
                <w:sz w:val="21"/>
                <w:szCs w:val="21"/>
              </w:rPr>
            </w:pPr>
            <w:r>
              <w:rPr>
                <w:rFonts w:hint="eastAsia" w:asciiTheme="minorEastAsia" w:hAnsiTheme="minorEastAsia" w:eastAsiaTheme="minorEastAsia"/>
                <w:sz w:val="21"/>
                <w:szCs w:val="21"/>
              </w:rPr>
              <w:t>3</w:t>
            </w:r>
          </w:p>
        </w:tc>
        <w:tc>
          <w:tcPr>
            <w:tcW w:w="1462" w:type="dxa"/>
            <w:shd w:val="clear" w:color="auto" w:fill="0070C0"/>
          </w:tcPr>
          <w:p>
            <w:pPr>
              <w:widowControl w:val="0"/>
              <w:jc w:val="center"/>
              <w:rPr>
                <w:rFonts w:asciiTheme="minorEastAsia" w:hAnsiTheme="minorEastAsia" w:eastAsiaTheme="minorEastAsia"/>
                <w:b/>
                <w:bCs/>
                <w:sz w:val="21"/>
                <w:szCs w:val="21"/>
              </w:rPr>
            </w:pPr>
            <w:r>
              <w:rPr>
                <w:rFonts w:hint="eastAsia" w:asciiTheme="minorEastAsia" w:hAnsiTheme="minorEastAsia" w:eastAsiaTheme="minorEastAsia"/>
                <w:b/>
                <w:bCs/>
                <w:sz w:val="28"/>
                <w:szCs w:val="28"/>
              </w:rPr>
              <w:t>轻度危险</w:t>
            </w:r>
          </w:p>
        </w:tc>
        <w:tc>
          <w:tcPr>
            <w:tcW w:w="1463" w:type="dxa"/>
            <w:shd w:val="clear" w:color="auto" w:fill="0070C0"/>
          </w:tcPr>
          <w:p>
            <w:pPr>
              <w:widowControl w:val="0"/>
              <w:jc w:val="center"/>
              <w:rPr>
                <w:rFonts w:asciiTheme="minorEastAsia" w:hAnsiTheme="minorEastAsia" w:eastAsiaTheme="minorEastAsia"/>
                <w:b/>
                <w:bCs/>
                <w:sz w:val="21"/>
                <w:szCs w:val="21"/>
              </w:rPr>
            </w:pPr>
            <w:r>
              <w:rPr>
                <w:rFonts w:hint="eastAsia" w:asciiTheme="minorEastAsia" w:hAnsiTheme="minorEastAsia" w:eastAsiaTheme="minorEastAsia"/>
                <w:b/>
                <w:bCs/>
                <w:sz w:val="28"/>
                <w:szCs w:val="28"/>
              </w:rPr>
              <w:t>轻度危险</w:t>
            </w:r>
          </w:p>
        </w:tc>
        <w:tc>
          <w:tcPr>
            <w:tcW w:w="1463" w:type="dxa"/>
            <w:shd w:val="clear" w:color="auto" w:fill="FFFF00"/>
          </w:tcPr>
          <w:p>
            <w:pPr>
              <w:widowControl w:val="0"/>
              <w:jc w:val="center"/>
              <w:rPr>
                <w:rFonts w:asciiTheme="minorEastAsia" w:hAnsiTheme="minorEastAsia" w:eastAsiaTheme="minorEastAsia"/>
                <w:b/>
                <w:bCs/>
                <w:sz w:val="21"/>
                <w:szCs w:val="21"/>
              </w:rPr>
            </w:pPr>
            <w:r>
              <w:rPr>
                <w:rFonts w:hint="eastAsia" w:asciiTheme="minorEastAsia" w:hAnsiTheme="minorEastAsia" w:eastAsiaTheme="minorEastAsia"/>
                <w:b/>
                <w:bCs/>
                <w:sz w:val="28"/>
                <w:szCs w:val="28"/>
              </w:rPr>
              <w:t>显著危险</w:t>
            </w:r>
          </w:p>
        </w:tc>
        <w:tc>
          <w:tcPr>
            <w:tcW w:w="1463" w:type="dxa"/>
            <w:shd w:val="clear" w:color="auto" w:fill="FFFF00"/>
            <w:vAlign w:val="center"/>
          </w:tcPr>
          <w:p>
            <w:pPr>
              <w:widowControl w:val="0"/>
              <w:jc w:val="center"/>
              <w:rPr>
                <w:rFonts w:asciiTheme="minorEastAsia" w:hAnsiTheme="minorEastAsia" w:eastAsiaTheme="minorEastAsia"/>
                <w:b/>
                <w:bCs/>
                <w:sz w:val="21"/>
                <w:szCs w:val="21"/>
              </w:rPr>
            </w:pPr>
            <w:r>
              <w:rPr>
                <w:rFonts w:hint="eastAsia" w:asciiTheme="minorEastAsia" w:hAnsiTheme="minorEastAsia" w:eastAsiaTheme="minorEastAsia"/>
                <w:b/>
                <w:bCs/>
                <w:sz w:val="28"/>
                <w:szCs w:val="28"/>
              </w:rPr>
              <w:t>显著危险</w:t>
            </w:r>
          </w:p>
        </w:tc>
        <w:tc>
          <w:tcPr>
            <w:tcW w:w="1463" w:type="dxa"/>
            <w:shd w:val="clear" w:color="auto" w:fill="FFC000"/>
            <w:vAlign w:val="center"/>
          </w:tcPr>
          <w:p>
            <w:pPr>
              <w:widowControl w:val="0"/>
              <w:jc w:val="center"/>
              <w:rPr>
                <w:rFonts w:asciiTheme="minorEastAsia" w:hAnsiTheme="minorEastAsia" w:eastAsiaTheme="minorEastAsia"/>
                <w:b/>
                <w:bCs/>
                <w:sz w:val="21"/>
                <w:szCs w:val="21"/>
              </w:rPr>
            </w:pPr>
            <w:r>
              <w:rPr>
                <w:rFonts w:hint="eastAsia" w:asciiTheme="minorEastAsia" w:hAnsiTheme="minorEastAsia" w:eastAsiaTheme="minorEastAsia"/>
                <w:b/>
                <w:bCs/>
                <w:sz w:val="28"/>
                <w:szCs w:val="28"/>
              </w:rPr>
              <w:t>高度危险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Merge w:val="continue"/>
            <w:vAlign w:val="center"/>
          </w:tcPr>
          <w:p>
            <w:pPr>
              <w:widowControl w:val="0"/>
              <w:jc w:val="center"/>
              <w:rPr>
                <w:rFonts w:asciiTheme="minorEastAsia" w:hAnsiTheme="minorEastAsia" w:eastAsiaTheme="minorEastAsia"/>
                <w:sz w:val="21"/>
                <w:szCs w:val="21"/>
              </w:rPr>
            </w:pPr>
          </w:p>
        </w:tc>
        <w:tc>
          <w:tcPr>
            <w:tcW w:w="426" w:type="dxa"/>
            <w:vAlign w:val="center"/>
          </w:tcPr>
          <w:p>
            <w:pPr>
              <w:widowControl w:val="0"/>
              <w:rPr>
                <w:rFonts w:asciiTheme="minorEastAsia" w:hAnsiTheme="minorEastAsia" w:eastAsiaTheme="minorEastAsia"/>
                <w:sz w:val="21"/>
                <w:szCs w:val="21"/>
              </w:rPr>
            </w:pPr>
            <w:r>
              <w:rPr>
                <w:rFonts w:hint="eastAsia" w:asciiTheme="minorEastAsia" w:hAnsiTheme="minorEastAsia" w:eastAsiaTheme="minorEastAsia"/>
                <w:sz w:val="21"/>
                <w:szCs w:val="21"/>
              </w:rPr>
              <w:t>2</w:t>
            </w:r>
          </w:p>
        </w:tc>
        <w:tc>
          <w:tcPr>
            <w:tcW w:w="1462" w:type="dxa"/>
            <w:shd w:val="clear" w:color="auto" w:fill="0070C0"/>
            <w:vAlign w:val="center"/>
          </w:tcPr>
          <w:p>
            <w:pPr>
              <w:widowControl w:val="0"/>
              <w:jc w:val="center"/>
              <w:rPr>
                <w:rFonts w:asciiTheme="minorEastAsia" w:hAnsiTheme="minorEastAsia" w:eastAsiaTheme="minorEastAsia"/>
                <w:b/>
                <w:bCs/>
                <w:sz w:val="28"/>
                <w:szCs w:val="28"/>
              </w:rPr>
            </w:pPr>
            <w:r>
              <w:rPr>
                <w:rFonts w:hint="eastAsia" w:asciiTheme="minorEastAsia" w:hAnsiTheme="minorEastAsia" w:eastAsiaTheme="minorEastAsia"/>
                <w:b/>
                <w:bCs/>
                <w:sz w:val="28"/>
                <w:szCs w:val="28"/>
              </w:rPr>
              <w:t>稍有危险</w:t>
            </w:r>
          </w:p>
        </w:tc>
        <w:tc>
          <w:tcPr>
            <w:tcW w:w="1463" w:type="dxa"/>
            <w:shd w:val="clear" w:color="auto" w:fill="0070C0"/>
          </w:tcPr>
          <w:p>
            <w:pPr>
              <w:widowControl w:val="0"/>
              <w:jc w:val="center"/>
              <w:rPr>
                <w:rFonts w:asciiTheme="minorEastAsia" w:hAnsiTheme="minorEastAsia" w:eastAsiaTheme="minorEastAsia"/>
                <w:b/>
                <w:bCs/>
                <w:sz w:val="21"/>
                <w:szCs w:val="21"/>
              </w:rPr>
            </w:pPr>
            <w:r>
              <w:rPr>
                <w:rFonts w:hint="eastAsia" w:asciiTheme="minorEastAsia" w:hAnsiTheme="minorEastAsia" w:eastAsiaTheme="minorEastAsia"/>
                <w:b/>
                <w:bCs/>
                <w:sz w:val="28"/>
                <w:szCs w:val="28"/>
              </w:rPr>
              <w:t>轻度危险</w:t>
            </w:r>
          </w:p>
        </w:tc>
        <w:tc>
          <w:tcPr>
            <w:tcW w:w="1463" w:type="dxa"/>
            <w:shd w:val="clear" w:color="auto" w:fill="0070C0"/>
          </w:tcPr>
          <w:p>
            <w:pPr>
              <w:widowControl w:val="0"/>
              <w:jc w:val="center"/>
              <w:rPr>
                <w:rFonts w:asciiTheme="minorEastAsia" w:hAnsiTheme="minorEastAsia" w:eastAsiaTheme="minorEastAsia"/>
                <w:b/>
                <w:bCs/>
                <w:sz w:val="21"/>
                <w:szCs w:val="21"/>
              </w:rPr>
            </w:pPr>
            <w:r>
              <w:rPr>
                <w:rFonts w:hint="eastAsia" w:asciiTheme="minorEastAsia" w:hAnsiTheme="minorEastAsia" w:eastAsiaTheme="minorEastAsia"/>
                <w:b/>
                <w:bCs/>
                <w:sz w:val="28"/>
                <w:szCs w:val="28"/>
              </w:rPr>
              <w:t>轻度危险</w:t>
            </w:r>
          </w:p>
        </w:tc>
        <w:tc>
          <w:tcPr>
            <w:tcW w:w="1463" w:type="dxa"/>
            <w:shd w:val="clear" w:color="auto" w:fill="0070C0"/>
          </w:tcPr>
          <w:p>
            <w:pPr>
              <w:widowControl w:val="0"/>
              <w:jc w:val="center"/>
              <w:rPr>
                <w:rFonts w:asciiTheme="minorEastAsia" w:hAnsiTheme="minorEastAsia" w:eastAsiaTheme="minorEastAsia"/>
                <w:b/>
                <w:bCs/>
                <w:sz w:val="21"/>
                <w:szCs w:val="21"/>
              </w:rPr>
            </w:pPr>
            <w:r>
              <w:rPr>
                <w:rFonts w:hint="eastAsia" w:asciiTheme="minorEastAsia" w:hAnsiTheme="minorEastAsia" w:eastAsiaTheme="minorEastAsia"/>
                <w:b/>
                <w:bCs/>
                <w:sz w:val="28"/>
                <w:szCs w:val="28"/>
              </w:rPr>
              <w:t>轻度危险</w:t>
            </w:r>
          </w:p>
        </w:tc>
        <w:tc>
          <w:tcPr>
            <w:tcW w:w="1463" w:type="dxa"/>
            <w:shd w:val="clear" w:color="auto" w:fill="FFFF00"/>
            <w:vAlign w:val="center"/>
          </w:tcPr>
          <w:p>
            <w:pPr>
              <w:widowControl w:val="0"/>
              <w:jc w:val="center"/>
              <w:rPr>
                <w:rFonts w:asciiTheme="minorEastAsia" w:hAnsiTheme="minorEastAsia" w:eastAsiaTheme="minorEastAsia"/>
                <w:b/>
                <w:bCs/>
                <w:sz w:val="21"/>
                <w:szCs w:val="21"/>
              </w:rPr>
            </w:pPr>
            <w:r>
              <w:rPr>
                <w:rFonts w:hint="eastAsia" w:asciiTheme="minorEastAsia" w:hAnsiTheme="minorEastAsia" w:eastAsiaTheme="minorEastAsia"/>
                <w:b/>
                <w:bCs/>
                <w:sz w:val="28"/>
                <w:szCs w:val="28"/>
              </w:rPr>
              <w:t>显著危险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Merge w:val="continue"/>
            <w:vAlign w:val="center"/>
          </w:tcPr>
          <w:p>
            <w:pPr>
              <w:widowControl w:val="0"/>
              <w:jc w:val="center"/>
              <w:rPr>
                <w:rFonts w:asciiTheme="minorEastAsia" w:hAnsiTheme="minorEastAsia" w:eastAsiaTheme="minorEastAsia"/>
                <w:sz w:val="21"/>
                <w:szCs w:val="21"/>
              </w:rPr>
            </w:pPr>
          </w:p>
        </w:tc>
        <w:tc>
          <w:tcPr>
            <w:tcW w:w="426" w:type="dxa"/>
            <w:vAlign w:val="center"/>
          </w:tcPr>
          <w:p>
            <w:pPr>
              <w:widowControl w:val="0"/>
              <w:rPr>
                <w:rFonts w:asciiTheme="minorEastAsia" w:hAnsiTheme="minorEastAsia" w:eastAsiaTheme="minorEastAsia"/>
                <w:sz w:val="21"/>
                <w:szCs w:val="21"/>
              </w:rPr>
            </w:pPr>
            <w:r>
              <w:rPr>
                <w:rFonts w:hint="eastAsia" w:asciiTheme="minorEastAsia" w:hAnsiTheme="minorEastAsia" w:eastAsiaTheme="minorEastAsia"/>
                <w:sz w:val="21"/>
                <w:szCs w:val="21"/>
              </w:rPr>
              <w:t>1</w:t>
            </w:r>
          </w:p>
        </w:tc>
        <w:tc>
          <w:tcPr>
            <w:tcW w:w="1462" w:type="dxa"/>
            <w:shd w:val="clear" w:color="auto" w:fill="0070C0"/>
            <w:vAlign w:val="center"/>
          </w:tcPr>
          <w:p>
            <w:pPr>
              <w:widowControl w:val="0"/>
              <w:jc w:val="center"/>
              <w:rPr>
                <w:rFonts w:asciiTheme="minorEastAsia" w:hAnsiTheme="minorEastAsia" w:eastAsiaTheme="minorEastAsia"/>
                <w:b/>
                <w:bCs/>
                <w:sz w:val="21"/>
                <w:szCs w:val="21"/>
              </w:rPr>
            </w:pPr>
            <w:r>
              <w:rPr>
                <w:rFonts w:hint="eastAsia" w:asciiTheme="minorEastAsia" w:hAnsiTheme="minorEastAsia" w:eastAsiaTheme="minorEastAsia"/>
                <w:b/>
                <w:bCs/>
                <w:sz w:val="28"/>
                <w:szCs w:val="28"/>
              </w:rPr>
              <w:t>稍有危险</w:t>
            </w:r>
          </w:p>
        </w:tc>
        <w:tc>
          <w:tcPr>
            <w:tcW w:w="1463" w:type="dxa"/>
            <w:shd w:val="clear" w:color="auto" w:fill="0070C0"/>
            <w:vAlign w:val="center"/>
          </w:tcPr>
          <w:p>
            <w:pPr>
              <w:widowControl w:val="0"/>
              <w:jc w:val="center"/>
              <w:rPr>
                <w:rFonts w:asciiTheme="minorEastAsia" w:hAnsiTheme="minorEastAsia" w:eastAsiaTheme="minorEastAsia"/>
                <w:b/>
                <w:bCs/>
                <w:sz w:val="21"/>
                <w:szCs w:val="21"/>
              </w:rPr>
            </w:pPr>
            <w:r>
              <w:rPr>
                <w:rFonts w:hint="eastAsia" w:asciiTheme="minorEastAsia" w:hAnsiTheme="minorEastAsia" w:eastAsiaTheme="minorEastAsia"/>
                <w:b/>
                <w:bCs/>
                <w:sz w:val="28"/>
                <w:szCs w:val="28"/>
              </w:rPr>
              <w:t>稍有危险</w:t>
            </w:r>
          </w:p>
        </w:tc>
        <w:tc>
          <w:tcPr>
            <w:tcW w:w="1463" w:type="dxa"/>
            <w:shd w:val="clear" w:color="auto" w:fill="0070C0"/>
          </w:tcPr>
          <w:p>
            <w:pPr>
              <w:widowControl w:val="0"/>
              <w:jc w:val="center"/>
              <w:rPr>
                <w:rFonts w:asciiTheme="minorEastAsia" w:hAnsiTheme="minorEastAsia" w:eastAsiaTheme="minorEastAsia"/>
                <w:b/>
                <w:bCs/>
                <w:sz w:val="21"/>
                <w:szCs w:val="21"/>
              </w:rPr>
            </w:pPr>
            <w:r>
              <w:rPr>
                <w:rFonts w:hint="eastAsia" w:asciiTheme="minorEastAsia" w:hAnsiTheme="minorEastAsia" w:eastAsiaTheme="minorEastAsia"/>
                <w:b/>
                <w:bCs/>
                <w:sz w:val="28"/>
                <w:szCs w:val="28"/>
              </w:rPr>
              <w:t>轻度危险</w:t>
            </w:r>
          </w:p>
        </w:tc>
        <w:tc>
          <w:tcPr>
            <w:tcW w:w="1463" w:type="dxa"/>
            <w:shd w:val="clear" w:color="auto" w:fill="0070C0"/>
          </w:tcPr>
          <w:p>
            <w:pPr>
              <w:widowControl w:val="0"/>
              <w:jc w:val="center"/>
              <w:rPr>
                <w:rFonts w:asciiTheme="minorEastAsia" w:hAnsiTheme="minorEastAsia" w:eastAsiaTheme="minorEastAsia"/>
                <w:b/>
                <w:bCs/>
                <w:sz w:val="21"/>
                <w:szCs w:val="21"/>
              </w:rPr>
            </w:pPr>
            <w:r>
              <w:rPr>
                <w:rFonts w:hint="eastAsia" w:asciiTheme="minorEastAsia" w:hAnsiTheme="minorEastAsia" w:eastAsiaTheme="minorEastAsia"/>
                <w:b/>
                <w:bCs/>
                <w:sz w:val="28"/>
                <w:szCs w:val="28"/>
              </w:rPr>
              <w:t>轻度危险</w:t>
            </w:r>
          </w:p>
        </w:tc>
        <w:tc>
          <w:tcPr>
            <w:tcW w:w="1463" w:type="dxa"/>
            <w:shd w:val="clear" w:color="auto" w:fill="0070C0"/>
            <w:vAlign w:val="center"/>
          </w:tcPr>
          <w:p>
            <w:pPr>
              <w:widowControl w:val="0"/>
              <w:jc w:val="center"/>
              <w:rPr>
                <w:rFonts w:asciiTheme="minorEastAsia" w:hAnsiTheme="minorEastAsia" w:eastAsiaTheme="minorEastAsia"/>
                <w:b/>
                <w:bCs/>
                <w:sz w:val="21"/>
                <w:szCs w:val="21"/>
              </w:rPr>
            </w:pPr>
            <w:r>
              <w:rPr>
                <w:rFonts w:hint="eastAsia" w:asciiTheme="minorEastAsia" w:hAnsiTheme="minorEastAsia" w:eastAsiaTheme="minorEastAsia"/>
                <w:b/>
                <w:bCs/>
                <w:sz w:val="28"/>
                <w:szCs w:val="28"/>
              </w:rPr>
              <w:t>轻度危险</w:t>
            </w:r>
          </w:p>
        </w:tc>
      </w:tr>
    </w:tbl>
    <w:p>
      <w:pPr>
        <w:jc w:val="center"/>
        <w:rPr>
          <w:rFonts w:ascii="方正小标宋_GBK" w:hAnsi="黑体" w:eastAsia="方正小标宋_GBK"/>
          <w:b/>
          <w:bCs/>
          <w:sz w:val="28"/>
          <w:szCs w:val="28"/>
        </w:rPr>
      </w:pPr>
    </w:p>
    <w:p>
      <w:pPr>
        <w:jc w:val="center"/>
        <w:rPr>
          <w:rFonts w:ascii="方正小标宋_GBK" w:hAnsi="黑体" w:eastAsia="方正小标宋_GBK"/>
          <w:b/>
          <w:bCs/>
          <w:sz w:val="28"/>
          <w:szCs w:val="28"/>
        </w:rPr>
      </w:pPr>
    </w:p>
    <w:p>
      <w:pPr>
        <w:jc w:val="center"/>
        <w:rPr>
          <w:rFonts w:ascii="方正小标宋_GBK" w:hAnsi="黑体" w:eastAsia="方正小标宋_GBK"/>
          <w:b/>
          <w:bCs/>
          <w:sz w:val="28"/>
          <w:szCs w:val="28"/>
        </w:rPr>
      </w:pPr>
    </w:p>
    <w:p>
      <w:pPr>
        <w:jc w:val="center"/>
        <w:rPr>
          <w:rFonts w:ascii="方正小标宋_GBK" w:hAnsi="黑体" w:eastAsia="方正小标宋_GBK"/>
          <w:b/>
          <w:bCs/>
          <w:sz w:val="28"/>
          <w:szCs w:val="28"/>
        </w:rPr>
      </w:pPr>
    </w:p>
    <w:p>
      <w:pPr>
        <w:jc w:val="center"/>
        <w:rPr>
          <w:rFonts w:ascii="方正小标宋_GBK" w:hAnsi="黑体" w:eastAsia="方正小标宋_GBK"/>
          <w:b/>
          <w:bCs/>
          <w:sz w:val="28"/>
          <w:szCs w:val="28"/>
        </w:rPr>
      </w:pPr>
    </w:p>
    <w:p>
      <w:pPr>
        <w:jc w:val="center"/>
        <w:rPr>
          <w:rFonts w:ascii="方正小标宋_GBK" w:hAnsi="黑体" w:eastAsia="方正小标宋_GBK"/>
          <w:b/>
          <w:bCs/>
          <w:sz w:val="28"/>
          <w:szCs w:val="28"/>
        </w:rPr>
      </w:pPr>
    </w:p>
    <w:p>
      <w:pPr>
        <w:jc w:val="center"/>
        <w:rPr>
          <w:rFonts w:ascii="方正小标宋_GBK" w:hAnsi="黑体" w:eastAsia="方正小标宋_GBK"/>
          <w:b/>
          <w:bCs/>
          <w:sz w:val="28"/>
          <w:szCs w:val="28"/>
        </w:rPr>
      </w:pPr>
    </w:p>
    <w:p>
      <w:pPr>
        <w:jc w:val="center"/>
        <w:outlineLvl w:val="1"/>
        <w:rPr>
          <w:rFonts w:ascii="方正小标宋_GBK" w:hAnsi="黑体" w:eastAsia="方正小标宋_GBK"/>
          <w:b/>
          <w:bCs/>
          <w:sz w:val="28"/>
          <w:szCs w:val="28"/>
        </w:rPr>
      </w:pPr>
      <w:bookmarkStart w:id="206" w:name="_Toc119336629"/>
      <w:bookmarkStart w:id="207" w:name="_Toc117541347"/>
      <w:r>
        <w:rPr>
          <w:rFonts w:hint="eastAsia" w:ascii="方正小标宋_GBK" w:hAnsi="黑体" w:eastAsia="方正小标宋_GBK"/>
          <w:b/>
          <w:bCs/>
          <w:sz w:val="28"/>
          <w:szCs w:val="28"/>
        </w:rPr>
        <w:t>事故发生的可能性（L）判定准则</w:t>
      </w:r>
      <w:bookmarkEnd w:id="206"/>
      <w:bookmarkEnd w:id="207"/>
    </w:p>
    <w:tbl>
      <w:tblPr>
        <w:tblStyle w:val="3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3"/>
        <w:gridCol w:w="78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pct"/>
          </w:tcPr>
          <w:p>
            <w:pPr>
              <w:widowControl w:val="0"/>
              <w:tabs>
                <w:tab w:val="left" w:pos="1425"/>
              </w:tabs>
              <w:overflowPunct w:val="0"/>
              <w:jc w:val="center"/>
              <w:rPr>
                <w:rFonts w:ascii="宋体" w:eastAsia="宋体" w:cs="宋体"/>
                <w:w w:val="115"/>
                <w:sz w:val="21"/>
                <w:szCs w:val="21"/>
              </w:rPr>
            </w:pPr>
            <w:r>
              <w:rPr>
                <w:rFonts w:hint="eastAsia" w:ascii="宋体" w:eastAsia="宋体" w:cs="宋体"/>
                <w:w w:val="115"/>
                <w:sz w:val="21"/>
                <w:szCs w:val="21"/>
              </w:rPr>
              <w:t>等级</w:t>
            </w:r>
          </w:p>
        </w:tc>
        <w:tc>
          <w:tcPr>
            <w:tcW w:w="4576" w:type="pct"/>
          </w:tcPr>
          <w:p>
            <w:pPr>
              <w:widowControl w:val="0"/>
              <w:tabs>
                <w:tab w:val="left" w:pos="1425"/>
              </w:tabs>
              <w:overflowPunct w:val="0"/>
              <w:jc w:val="center"/>
              <w:rPr>
                <w:rFonts w:ascii="宋体" w:eastAsia="宋体" w:cs="宋体"/>
                <w:w w:val="115"/>
                <w:sz w:val="21"/>
                <w:szCs w:val="21"/>
              </w:rPr>
            </w:pPr>
            <w:r>
              <w:rPr>
                <w:rFonts w:hint="eastAsia" w:ascii="宋体" w:eastAsia="宋体" w:cs="宋体"/>
                <w:w w:val="115"/>
                <w:sz w:val="21"/>
                <w:szCs w:val="21"/>
              </w:rPr>
              <w:t>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pct"/>
            <w:vAlign w:val="center"/>
          </w:tcPr>
          <w:p>
            <w:pPr>
              <w:widowControl w:val="0"/>
              <w:tabs>
                <w:tab w:val="left" w:pos="1425"/>
              </w:tabs>
              <w:overflowPunct w:val="0"/>
              <w:jc w:val="center"/>
              <w:rPr>
                <w:rFonts w:ascii="宋体" w:eastAsia="宋体" w:cs="宋体"/>
                <w:w w:val="115"/>
                <w:sz w:val="21"/>
                <w:szCs w:val="21"/>
              </w:rPr>
            </w:pPr>
            <w:r>
              <w:rPr>
                <w:rFonts w:hint="eastAsia" w:asciiTheme="minorEastAsia" w:hAnsiTheme="minorEastAsia" w:eastAsiaTheme="minorEastAsia"/>
                <w:sz w:val="21"/>
                <w:szCs w:val="21"/>
              </w:rPr>
              <w:t>5</w:t>
            </w:r>
          </w:p>
        </w:tc>
        <w:tc>
          <w:tcPr>
            <w:tcW w:w="4576" w:type="pct"/>
          </w:tcPr>
          <w:p>
            <w:pPr>
              <w:widowControl w:val="0"/>
              <w:tabs>
                <w:tab w:val="left" w:pos="7335"/>
              </w:tabs>
              <w:overflowPunct w:val="0"/>
              <w:rPr>
                <w:rFonts w:ascii="宋体" w:eastAsia="宋体" w:cs="宋体"/>
                <w:w w:val="115"/>
                <w:sz w:val="21"/>
                <w:szCs w:val="21"/>
              </w:rPr>
            </w:pPr>
            <w:r>
              <w:rPr>
                <w:rFonts w:hint="eastAsia" w:ascii="宋体" w:eastAsia="宋体" w:cs="宋体"/>
                <w:sz w:val="18"/>
                <w:szCs w:val="18"/>
              </w:rPr>
              <w:t>在现场没有采取防范、监测、保护、控制措施，或危害的发生不能被发现</w:t>
            </w:r>
            <w:r>
              <w:rPr>
                <w:rFonts w:ascii="宋体" w:eastAsia="宋体" w:cs="宋体"/>
                <w:sz w:val="18"/>
                <w:szCs w:val="18"/>
              </w:rPr>
              <w:t>(</w:t>
            </w:r>
            <w:r>
              <w:rPr>
                <w:rFonts w:hint="eastAsia" w:ascii="宋体" w:eastAsia="宋体" w:cs="宋体"/>
                <w:sz w:val="18"/>
                <w:szCs w:val="18"/>
              </w:rPr>
              <w:t>没有监测系统</w:t>
            </w:r>
            <w:r>
              <w:rPr>
                <w:rFonts w:ascii="宋体" w:eastAsia="宋体" w:cs="宋体"/>
                <w:sz w:val="18"/>
                <w:szCs w:val="18"/>
              </w:rPr>
              <w:t>)</w:t>
            </w:r>
            <w:r>
              <w:rPr>
                <w:rFonts w:hint="eastAsia" w:ascii="宋体" w:eastAsia="宋体" w:cs="宋体"/>
                <w:w w:val="105"/>
                <w:sz w:val="18"/>
                <w:szCs w:val="18"/>
              </w:rPr>
              <w:t>，或在正常</w:t>
            </w:r>
            <w:r>
              <w:rPr>
                <w:rFonts w:hint="eastAsia" w:ascii="宋体" w:eastAsia="宋体" w:cs="宋体"/>
                <w:sz w:val="18"/>
                <w:szCs w:val="18"/>
              </w:rPr>
              <w:t>情况下经常发生此类事故或事件。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pct"/>
            <w:vAlign w:val="center"/>
          </w:tcPr>
          <w:p>
            <w:pPr>
              <w:widowControl w:val="0"/>
              <w:tabs>
                <w:tab w:val="left" w:pos="1425"/>
              </w:tabs>
              <w:overflowPunct w:val="0"/>
              <w:jc w:val="center"/>
              <w:rPr>
                <w:rFonts w:ascii="宋体" w:eastAsia="宋体" w:cs="宋体"/>
                <w:w w:val="115"/>
                <w:sz w:val="21"/>
                <w:szCs w:val="21"/>
              </w:rPr>
            </w:pPr>
            <w:r>
              <w:rPr>
                <w:rFonts w:hint="eastAsia" w:asciiTheme="minorEastAsia" w:hAnsiTheme="minorEastAsia" w:eastAsiaTheme="minorEastAsia"/>
                <w:sz w:val="21"/>
                <w:szCs w:val="21"/>
              </w:rPr>
              <w:t>4</w:t>
            </w:r>
          </w:p>
        </w:tc>
        <w:tc>
          <w:tcPr>
            <w:tcW w:w="4576" w:type="pct"/>
          </w:tcPr>
          <w:p>
            <w:pPr>
              <w:widowControl w:val="0"/>
              <w:overflowPunct w:val="0"/>
              <w:rPr>
                <w:rFonts w:ascii="宋体" w:eastAsia="宋体" w:cs="宋体"/>
                <w:w w:val="115"/>
                <w:sz w:val="21"/>
                <w:szCs w:val="21"/>
              </w:rPr>
            </w:pPr>
            <w:r>
              <w:rPr>
                <w:rFonts w:hint="eastAsia" w:ascii="宋体" w:eastAsia="宋体" w:cs="宋体"/>
                <w:sz w:val="18"/>
                <w:szCs w:val="18"/>
              </w:rPr>
              <w:t>危害的发生不容易被发现，现场没有检测系统，也未发生过任何监测，或在现场有控制措施，但未有效</w:t>
            </w:r>
            <w:r>
              <w:rPr>
                <w:rFonts w:hint="eastAsia" w:ascii="宋体" w:eastAsia="宋体" w:cs="宋体"/>
                <w:w w:val="95"/>
                <w:sz w:val="18"/>
                <w:szCs w:val="18"/>
              </w:rPr>
              <w:t>执行或控制措施不当，或危害发生或预期情况下发生。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424" w:type="pct"/>
            <w:vAlign w:val="center"/>
          </w:tcPr>
          <w:p>
            <w:pPr>
              <w:widowControl w:val="0"/>
              <w:tabs>
                <w:tab w:val="left" w:pos="1425"/>
              </w:tabs>
              <w:overflowPunct w:val="0"/>
              <w:jc w:val="center"/>
              <w:rPr>
                <w:rFonts w:ascii="宋体" w:eastAsia="宋体" w:cs="宋体"/>
                <w:w w:val="115"/>
                <w:sz w:val="21"/>
                <w:szCs w:val="21"/>
              </w:rPr>
            </w:pPr>
            <w:r>
              <w:rPr>
                <w:rFonts w:hint="eastAsia" w:asciiTheme="minorEastAsia" w:hAnsiTheme="minorEastAsia" w:eastAsiaTheme="minorEastAsia"/>
                <w:sz w:val="21"/>
                <w:szCs w:val="21"/>
              </w:rPr>
              <w:t>3</w:t>
            </w:r>
          </w:p>
        </w:tc>
        <w:tc>
          <w:tcPr>
            <w:tcW w:w="4576" w:type="pct"/>
          </w:tcPr>
          <w:p>
            <w:pPr>
              <w:widowControl w:val="0"/>
              <w:tabs>
                <w:tab w:val="left" w:pos="1425"/>
              </w:tabs>
              <w:overflowPunct w:val="0"/>
              <w:rPr>
                <w:rFonts w:ascii="宋体" w:eastAsia="宋体" w:cs="宋体"/>
                <w:w w:val="115"/>
                <w:sz w:val="21"/>
                <w:szCs w:val="21"/>
              </w:rPr>
            </w:pPr>
            <w:r>
              <w:rPr>
                <w:rFonts w:hint="eastAsia" w:ascii="宋体" w:eastAsia="宋体" w:cs="宋体"/>
                <w:sz w:val="18"/>
                <w:szCs w:val="18"/>
              </w:rPr>
              <w:t>没有保护措施</w:t>
            </w:r>
            <w:r>
              <w:rPr>
                <w:rFonts w:ascii="宋体" w:eastAsia="宋体" w:cs="宋体"/>
                <w:sz w:val="18"/>
                <w:szCs w:val="18"/>
              </w:rPr>
              <w:t>(</w:t>
            </w:r>
            <w:r>
              <w:rPr>
                <w:rFonts w:hint="eastAsia" w:ascii="宋体" w:eastAsia="宋体" w:cs="宋体"/>
                <w:sz w:val="18"/>
                <w:szCs w:val="18"/>
              </w:rPr>
              <w:t>如没有保护装置、没有个人防护用品等</w:t>
            </w:r>
            <w:r>
              <w:rPr>
                <w:rFonts w:ascii="宋体" w:eastAsia="宋体" w:cs="宋体"/>
                <w:sz w:val="18"/>
                <w:szCs w:val="18"/>
              </w:rPr>
              <w:t>)</w:t>
            </w:r>
            <w:r>
              <w:rPr>
                <w:rFonts w:hint="eastAsia" w:ascii="宋体" w:eastAsia="宋体" w:cs="宋体"/>
                <w:sz w:val="18"/>
                <w:szCs w:val="18"/>
              </w:rPr>
              <w:t>，或未严格按操作程序执行，或危害的发生容易被发现（现场有监测系统）</w:t>
            </w:r>
            <w:r>
              <w:rPr>
                <w:rFonts w:ascii="宋体" w:eastAsia="宋体" w:cs="宋体"/>
                <w:spacing w:val="-38"/>
                <w:sz w:val="18"/>
                <w:szCs w:val="18"/>
              </w:rPr>
              <w:t xml:space="preserve"> </w:t>
            </w:r>
            <w:r>
              <w:rPr>
                <w:rFonts w:hint="eastAsia" w:ascii="宋体" w:eastAsia="宋体" w:cs="宋体"/>
                <w:sz w:val="18"/>
                <w:szCs w:val="18"/>
              </w:rPr>
              <w:t>，或曾经作过监测，或过去曾经发生类似事故或事件。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pct"/>
            <w:vAlign w:val="center"/>
          </w:tcPr>
          <w:p>
            <w:pPr>
              <w:widowControl w:val="0"/>
              <w:tabs>
                <w:tab w:val="left" w:pos="1425"/>
              </w:tabs>
              <w:overflowPunct w:val="0"/>
              <w:jc w:val="center"/>
              <w:rPr>
                <w:rFonts w:ascii="宋体" w:eastAsia="宋体" w:cs="宋体"/>
                <w:w w:val="115"/>
                <w:sz w:val="21"/>
                <w:szCs w:val="21"/>
              </w:rPr>
            </w:pPr>
            <w:r>
              <w:rPr>
                <w:rFonts w:hint="eastAsia" w:asciiTheme="minorEastAsia" w:hAnsiTheme="minorEastAsia" w:eastAsiaTheme="minorEastAsia"/>
                <w:sz w:val="21"/>
                <w:szCs w:val="21"/>
              </w:rPr>
              <w:t>2</w:t>
            </w:r>
          </w:p>
        </w:tc>
        <w:tc>
          <w:tcPr>
            <w:tcW w:w="4576" w:type="pct"/>
          </w:tcPr>
          <w:p>
            <w:pPr>
              <w:widowControl w:val="0"/>
              <w:overflowPunct w:val="0"/>
              <w:rPr>
                <w:rFonts w:ascii="宋体" w:eastAsia="宋体" w:cs="宋体"/>
                <w:w w:val="115"/>
                <w:sz w:val="21"/>
                <w:szCs w:val="21"/>
              </w:rPr>
            </w:pPr>
            <w:r>
              <w:rPr>
                <w:rFonts w:hint="eastAsia" w:ascii="宋体" w:eastAsia="宋体" w:cs="宋体"/>
                <w:sz w:val="18"/>
                <w:szCs w:val="18"/>
              </w:rPr>
              <w:t>危害一旦发生能及时发现，并定期进行监测，或现场有防范控制措施，并能有效执行，或过去偶尔发生事故或事件。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pct"/>
            <w:vAlign w:val="center"/>
          </w:tcPr>
          <w:p>
            <w:pPr>
              <w:widowControl w:val="0"/>
              <w:tabs>
                <w:tab w:val="left" w:pos="1425"/>
              </w:tabs>
              <w:overflowPunct w:val="0"/>
              <w:jc w:val="center"/>
              <w:rPr>
                <w:rFonts w:ascii="宋体" w:eastAsia="宋体" w:cs="宋体"/>
                <w:w w:val="115"/>
                <w:sz w:val="21"/>
                <w:szCs w:val="21"/>
              </w:rPr>
            </w:pPr>
            <w:r>
              <w:rPr>
                <w:rFonts w:hint="eastAsia" w:asciiTheme="minorEastAsia" w:hAnsiTheme="minorEastAsia" w:eastAsiaTheme="minorEastAsia"/>
                <w:sz w:val="21"/>
                <w:szCs w:val="21"/>
              </w:rPr>
              <w:t>1</w:t>
            </w:r>
          </w:p>
        </w:tc>
        <w:tc>
          <w:tcPr>
            <w:tcW w:w="4576" w:type="pct"/>
          </w:tcPr>
          <w:p>
            <w:pPr>
              <w:widowControl w:val="0"/>
              <w:overflowPunct w:val="0"/>
              <w:rPr>
                <w:rFonts w:ascii="宋体" w:eastAsia="宋体" w:cs="宋体"/>
                <w:w w:val="115"/>
                <w:sz w:val="21"/>
                <w:szCs w:val="21"/>
              </w:rPr>
            </w:pPr>
            <w:r>
              <w:rPr>
                <w:rFonts w:hint="eastAsia" w:ascii="宋体" w:eastAsia="宋体" w:cs="宋体"/>
                <w:sz w:val="18"/>
                <w:szCs w:val="18"/>
              </w:rPr>
              <w:t>有充分、有效的防范、控制、监测</w:t>
            </w:r>
            <w:r>
              <w:rPr>
                <w:rFonts w:ascii="宋体" w:eastAsia="宋体" w:cs="宋体"/>
                <w:spacing w:val="-38"/>
                <w:sz w:val="18"/>
                <w:szCs w:val="18"/>
              </w:rPr>
              <w:t xml:space="preserve"> </w:t>
            </w:r>
            <w:r>
              <w:rPr>
                <w:rFonts w:hint="eastAsia" w:ascii="宋体" w:eastAsia="宋体" w:cs="宋体"/>
                <w:spacing w:val="-47"/>
                <w:sz w:val="18"/>
                <w:szCs w:val="18"/>
              </w:rPr>
              <w:t>、</w:t>
            </w:r>
            <w:r>
              <w:rPr>
                <w:rFonts w:hint="eastAsia" w:ascii="宋体" w:eastAsia="宋体" w:cs="宋体"/>
                <w:sz w:val="18"/>
                <w:szCs w:val="18"/>
              </w:rPr>
              <w:t>保护措施，员工安全卫生意识较高，执行操作规程良好。不易发生</w:t>
            </w:r>
            <w:r>
              <w:rPr>
                <w:rFonts w:hint="eastAsia" w:ascii="宋体" w:eastAsia="宋体" w:cs="宋体"/>
                <w:w w:val="90"/>
                <w:sz w:val="18"/>
                <w:szCs w:val="18"/>
              </w:rPr>
              <w:t>事故或事件。</w:t>
            </w:r>
          </w:p>
        </w:tc>
      </w:tr>
    </w:tbl>
    <w:p>
      <w:pPr>
        <w:kinsoku w:val="0"/>
        <w:overflowPunct w:val="0"/>
        <w:spacing w:line="200" w:lineRule="exact"/>
        <w:rPr>
          <w:sz w:val="20"/>
          <w:szCs w:val="20"/>
        </w:rPr>
      </w:pPr>
    </w:p>
    <w:p>
      <w:pPr>
        <w:jc w:val="center"/>
        <w:rPr>
          <w:rFonts w:ascii="方正小标宋_GBK" w:hAnsi="黑体" w:eastAsia="方正小标宋_GBK"/>
          <w:b/>
          <w:bCs/>
          <w:sz w:val="28"/>
          <w:szCs w:val="28"/>
        </w:rPr>
      </w:pPr>
    </w:p>
    <w:p>
      <w:pPr>
        <w:jc w:val="left"/>
        <w:rPr>
          <w:rFonts w:ascii="方正小标宋_GBK" w:hAnsi="黑体" w:eastAsia="方正小标宋_GBK"/>
          <w:b/>
          <w:bCs/>
          <w:sz w:val="28"/>
          <w:szCs w:val="28"/>
        </w:rPr>
      </w:pPr>
      <w:bookmarkStart w:id="208" w:name="_Toc117541348"/>
      <w:r>
        <w:rPr>
          <w:rFonts w:ascii="方正小标宋_GBK" w:hAnsi="黑体" w:eastAsia="方正小标宋_GBK"/>
          <w:b/>
          <w:bCs/>
          <w:sz w:val="28"/>
          <w:szCs w:val="28"/>
        </w:rPr>
        <w:br w:type="page"/>
      </w:r>
    </w:p>
    <w:p>
      <w:pPr>
        <w:jc w:val="center"/>
        <w:outlineLvl w:val="1"/>
        <w:rPr>
          <w:rFonts w:ascii="方正小标宋_GBK" w:hAnsi="黑体" w:eastAsia="方正小标宋_GBK"/>
          <w:b/>
          <w:bCs/>
          <w:sz w:val="28"/>
          <w:szCs w:val="28"/>
        </w:rPr>
      </w:pPr>
      <w:bookmarkStart w:id="209" w:name="_Toc119336630"/>
      <w:r>
        <w:rPr>
          <w:rFonts w:hint="eastAsia" w:ascii="方正小标宋_GBK" w:hAnsi="黑体" w:eastAsia="方正小标宋_GBK"/>
          <w:b/>
          <w:bCs/>
          <w:sz w:val="28"/>
          <w:szCs w:val="28"/>
        </w:rPr>
        <w:t>事件后果严重性 (S) 判定准则</w:t>
      </w:r>
      <w:bookmarkEnd w:id="208"/>
      <w:bookmarkEnd w:id="209"/>
    </w:p>
    <w:p>
      <w:pPr>
        <w:kinsoku w:val="0"/>
        <w:overflowPunct w:val="0"/>
        <w:spacing w:line="40" w:lineRule="exact"/>
        <w:rPr>
          <w:sz w:val="4"/>
          <w:szCs w:val="4"/>
        </w:rPr>
      </w:pPr>
    </w:p>
    <w:tbl>
      <w:tblPr>
        <w:tblStyle w:val="3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1"/>
        <w:gridCol w:w="2361"/>
        <w:gridCol w:w="1146"/>
        <w:gridCol w:w="1457"/>
        <w:gridCol w:w="1498"/>
        <w:gridCol w:w="13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06" w:type="pct"/>
            <w:vAlign w:val="center"/>
          </w:tcPr>
          <w:p>
            <w:pPr>
              <w:widowControl w:val="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等级</w:t>
            </w:r>
          </w:p>
        </w:tc>
        <w:tc>
          <w:tcPr>
            <w:tcW w:w="1384" w:type="pct"/>
            <w:vAlign w:val="center"/>
          </w:tcPr>
          <w:p>
            <w:pPr>
              <w:widowControl w:val="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法律、法规及其他要求</w:t>
            </w:r>
          </w:p>
        </w:tc>
        <w:tc>
          <w:tcPr>
            <w:tcW w:w="672" w:type="pct"/>
            <w:vAlign w:val="center"/>
          </w:tcPr>
          <w:p>
            <w:pPr>
              <w:widowControl w:val="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人员</w:t>
            </w:r>
          </w:p>
        </w:tc>
        <w:tc>
          <w:tcPr>
            <w:tcW w:w="854" w:type="pct"/>
            <w:vAlign w:val="center"/>
          </w:tcPr>
          <w:p>
            <w:pPr>
              <w:widowControl w:val="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直接经济损失</w:t>
            </w:r>
          </w:p>
        </w:tc>
        <w:tc>
          <w:tcPr>
            <w:tcW w:w="878" w:type="pct"/>
            <w:vAlign w:val="center"/>
          </w:tcPr>
          <w:p>
            <w:pPr>
              <w:widowControl w:val="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停工</w:t>
            </w:r>
          </w:p>
        </w:tc>
        <w:tc>
          <w:tcPr>
            <w:tcW w:w="806" w:type="pct"/>
            <w:vAlign w:val="center"/>
          </w:tcPr>
          <w:p>
            <w:pPr>
              <w:widowControl w:val="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企业形象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06" w:type="pct"/>
            <w:vAlign w:val="center"/>
          </w:tcPr>
          <w:p>
            <w:pPr>
              <w:widowControl w:val="0"/>
              <w:jc w:val="center"/>
              <w:rPr>
                <w:rFonts w:asciiTheme="minorEastAsia" w:hAnsiTheme="minorEastAsia" w:eastAsiaTheme="minorEastAsia"/>
                <w:sz w:val="18"/>
                <w:szCs w:val="18"/>
              </w:rPr>
            </w:pPr>
            <w:r>
              <w:rPr>
                <w:rFonts w:asciiTheme="minorEastAsia" w:hAnsiTheme="minorEastAsia" w:eastAsiaTheme="minorEastAsia"/>
                <w:sz w:val="18"/>
                <w:szCs w:val="18"/>
              </w:rPr>
              <w:t>5</w:t>
            </w:r>
          </w:p>
        </w:tc>
        <w:tc>
          <w:tcPr>
            <w:tcW w:w="1384" w:type="pct"/>
            <w:vAlign w:val="center"/>
          </w:tcPr>
          <w:p>
            <w:pPr>
              <w:widowControl w:val="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违反法律、法规和标准</w:t>
            </w:r>
          </w:p>
        </w:tc>
        <w:tc>
          <w:tcPr>
            <w:tcW w:w="672" w:type="pct"/>
            <w:vAlign w:val="center"/>
          </w:tcPr>
          <w:p>
            <w:pPr>
              <w:widowControl w:val="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死亡</w:t>
            </w:r>
          </w:p>
        </w:tc>
        <w:tc>
          <w:tcPr>
            <w:tcW w:w="854" w:type="pct"/>
            <w:vAlign w:val="center"/>
          </w:tcPr>
          <w:p>
            <w:pPr>
              <w:widowControl w:val="0"/>
              <w:jc w:val="center"/>
              <w:rPr>
                <w:rFonts w:asciiTheme="minorEastAsia" w:hAnsiTheme="minorEastAsia" w:eastAsiaTheme="minorEastAsia"/>
                <w:sz w:val="18"/>
                <w:szCs w:val="18"/>
              </w:rPr>
            </w:pPr>
            <w:r>
              <w:rPr>
                <w:rFonts w:asciiTheme="minorEastAsia" w:hAnsiTheme="minorEastAsia" w:eastAsiaTheme="minorEastAsia"/>
                <w:sz w:val="18"/>
                <w:szCs w:val="18"/>
              </w:rPr>
              <w:t xml:space="preserve">100 </w:t>
            </w:r>
            <w:r>
              <w:rPr>
                <w:rFonts w:hint="eastAsia" w:asciiTheme="minorEastAsia" w:hAnsiTheme="minorEastAsia" w:eastAsiaTheme="minorEastAsia"/>
                <w:sz w:val="18"/>
                <w:szCs w:val="18"/>
              </w:rPr>
              <w:t>万元以上</w:t>
            </w:r>
          </w:p>
        </w:tc>
        <w:tc>
          <w:tcPr>
            <w:tcW w:w="878" w:type="pct"/>
            <w:vAlign w:val="center"/>
          </w:tcPr>
          <w:p>
            <w:pPr>
              <w:widowControl w:val="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部分装置（</w:t>
            </w:r>
            <w:r>
              <w:rPr>
                <w:rFonts w:asciiTheme="minorEastAsia" w:hAnsiTheme="minorEastAsia" w:eastAsiaTheme="minorEastAsia"/>
                <w:sz w:val="18"/>
                <w:szCs w:val="18"/>
              </w:rPr>
              <w:t>&gt;2</w:t>
            </w:r>
          </w:p>
          <w:p>
            <w:pPr>
              <w:widowControl w:val="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套）或设备</w:t>
            </w:r>
          </w:p>
        </w:tc>
        <w:tc>
          <w:tcPr>
            <w:tcW w:w="806" w:type="pct"/>
            <w:vAlign w:val="center"/>
          </w:tcPr>
          <w:p>
            <w:pPr>
              <w:widowControl w:val="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重大国际影响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06" w:type="pct"/>
            <w:vAlign w:val="center"/>
          </w:tcPr>
          <w:p>
            <w:pPr>
              <w:widowControl w:val="0"/>
              <w:jc w:val="center"/>
              <w:rPr>
                <w:rFonts w:asciiTheme="minorEastAsia" w:hAnsiTheme="minorEastAsia" w:eastAsiaTheme="minorEastAsia"/>
                <w:sz w:val="18"/>
                <w:szCs w:val="18"/>
              </w:rPr>
            </w:pPr>
            <w:r>
              <w:rPr>
                <w:rFonts w:asciiTheme="minorEastAsia" w:hAnsiTheme="minorEastAsia" w:eastAsiaTheme="minorEastAsia"/>
                <w:sz w:val="18"/>
                <w:szCs w:val="18"/>
              </w:rPr>
              <w:t>4</w:t>
            </w:r>
          </w:p>
        </w:tc>
        <w:tc>
          <w:tcPr>
            <w:tcW w:w="1384" w:type="pct"/>
            <w:vAlign w:val="center"/>
          </w:tcPr>
          <w:p>
            <w:pPr>
              <w:widowControl w:val="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潜在违反法规和标准</w:t>
            </w:r>
          </w:p>
        </w:tc>
        <w:tc>
          <w:tcPr>
            <w:tcW w:w="672" w:type="pct"/>
            <w:vAlign w:val="center"/>
          </w:tcPr>
          <w:p>
            <w:pPr>
              <w:widowControl w:val="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丧失劳动能力</w:t>
            </w:r>
          </w:p>
        </w:tc>
        <w:tc>
          <w:tcPr>
            <w:tcW w:w="854" w:type="pct"/>
            <w:vAlign w:val="center"/>
          </w:tcPr>
          <w:p>
            <w:pPr>
              <w:widowControl w:val="0"/>
              <w:jc w:val="center"/>
              <w:rPr>
                <w:rFonts w:asciiTheme="minorEastAsia" w:hAnsiTheme="minorEastAsia" w:eastAsiaTheme="minorEastAsia"/>
                <w:sz w:val="18"/>
                <w:szCs w:val="18"/>
              </w:rPr>
            </w:pPr>
            <w:r>
              <w:rPr>
                <w:rFonts w:asciiTheme="minorEastAsia" w:hAnsiTheme="minorEastAsia" w:eastAsiaTheme="minorEastAsia"/>
                <w:sz w:val="18"/>
                <w:szCs w:val="18"/>
              </w:rPr>
              <w:t xml:space="preserve">50 </w:t>
            </w:r>
            <w:r>
              <w:rPr>
                <w:rFonts w:hint="eastAsia" w:asciiTheme="minorEastAsia" w:hAnsiTheme="minorEastAsia" w:eastAsiaTheme="minorEastAsia"/>
                <w:sz w:val="18"/>
                <w:szCs w:val="18"/>
              </w:rPr>
              <w:t>万元以上</w:t>
            </w:r>
          </w:p>
        </w:tc>
        <w:tc>
          <w:tcPr>
            <w:tcW w:w="878" w:type="pct"/>
            <w:vAlign w:val="center"/>
          </w:tcPr>
          <w:p>
            <w:pPr>
              <w:widowControl w:val="0"/>
              <w:jc w:val="center"/>
              <w:rPr>
                <w:rFonts w:asciiTheme="minorEastAsia" w:hAnsiTheme="minorEastAsia" w:eastAsiaTheme="minorEastAsia"/>
                <w:sz w:val="18"/>
                <w:szCs w:val="18"/>
              </w:rPr>
            </w:pPr>
            <w:r>
              <w:rPr>
                <w:rFonts w:asciiTheme="minorEastAsia" w:hAnsiTheme="minorEastAsia" w:eastAsiaTheme="minorEastAsia"/>
                <w:sz w:val="18"/>
                <w:szCs w:val="18"/>
              </w:rPr>
              <w:t>2</w:t>
            </w:r>
            <w:r>
              <w:rPr>
                <w:rFonts w:hint="eastAsia" w:asciiTheme="minorEastAsia" w:hAnsiTheme="minorEastAsia" w:eastAsiaTheme="minorEastAsia"/>
                <w:sz w:val="18"/>
                <w:szCs w:val="18"/>
              </w:rPr>
              <w:t>套装置停工、或设备停工</w:t>
            </w:r>
          </w:p>
        </w:tc>
        <w:tc>
          <w:tcPr>
            <w:tcW w:w="806" w:type="pct"/>
            <w:vAlign w:val="center"/>
          </w:tcPr>
          <w:p>
            <w:pPr>
              <w:widowControl w:val="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行业内较大</w:t>
            </w:r>
          </w:p>
          <w:p>
            <w:pPr>
              <w:widowControl w:val="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行政区域影响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06" w:type="pct"/>
            <w:vAlign w:val="center"/>
          </w:tcPr>
          <w:p>
            <w:pPr>
              <w:widowControl w:val="0"/>
              <w:jc w:val="center"/>
              <w:rPr>
                <w:rFonts w:asciiTheme="minorEastAsia" w:hAnsiTheme="minorEastAsia" w:eastAsiaTheme="minorEastAsia"/>
                <w:sz w:val="18"/>
                <w:szCs w:val="18"/>
              </w:rPr>
            </w:pPr>
          </w:p>
          <w:p>
            <w:pPr>
              <w:widowControl w:val="0"/>
              <w:jc w:val="center"/>
              <w:rPr>
                <w:rFonts w:asciiTheme="minorEastAsia" w:hAnsiTheme="minorEastAsia" w:eastAsiaTheme="minorEastAsia"/>
                <w:sz w:val="18"/>
                <w:szCs w:val="18"/>
              </w:rPr>
            </w:pPr>
            <w:r>
              <w:rPr>
                <w:rFonts w:asciiTheme="minorEastAsia" w:hAnsiTheme="minorEastAsia" w:eastAsiaTheme="minorEastAsia"/>
                <w:sz w:val="18"/>
                <w:szCs w:val="18"/>
              </w:rPr>
              <w:t>3</w:t>
            </w:r>
          </w:p>
        </w:tc>
        <w:tc>
          <w:tcPr>
            <w:tcW w:w="1384" w:type="pct"/>
            <w:vAlign w:val="center"/>
          </w:tcPr>
          <w:p>
            <w:pPr>
              <w:widowControl w:val="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不符合上级公司或行业的安全方针、制度、规定等</w:t>
            </w:r>
          </w:p>
        </w:tc>
        <w:tc>
          <w:tcPr>
            <w:tcW w:w="672" w:type="pct"/>
            <w:vAlign w:val="center"/>
          </w:tcPr>
          <w:p>
            <w:pPr>
              <w:widowControl w:val="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截肢、骨折、听力丧失、慢性病</w:t>
            </w:r>
          </w:p>
        </w:tc>
        <w:tc>
          <w:tcPr>
            <w:tcW w:w="854" w:type="pct"/>
            <w:vAlign w:val="center"/>
          </w:tcPr>
          <w:p>
            <w:pPr>
              <w:widowControl w:val="0"/>
              <w:jc w:val="center"/>
              <w:rPr>
                <w:rFonts w:asciiTheme="minorEastAsia" w:hAnsiTheme="minorEastAsia" w:eastAsiaTheme="minorEastAsia"/>
                <w:sz w:val="18"/>
                <w:szCs w:val="18"/>
              </w:rPr>
            </w:pPr>
            <w:r>
              <w:rPr>
                <w:rFonts w:asciiTheme="minorEastAsia" w:hAnsiTheme="minorEastAsia" w:eastAsiaTheme="minorEastAsia"/>
                <w:sz w:val="18"/>
                <w:szCs w:val="18"/>
              </w:rPr>
              <w:t>1</w:t>
            </w:r>
            <w:r>
              <w:rPr>
                <w:rFonts w:hint="eastAsia" w:asciiTheme="minorEastAsia" w:hAnsiTheme="minorEastAsia" w:eastAsiaTheme="minorEastAsia"/>
                <w:sz w:val="18"/>
                <w:szCs w:val="18"/>
              </w:rPr>
              <w:t>万元以上</w:t>
            </w:r>
          </w:p>
        </w:tc>
        <w:tc>
          <w:tcPr>
            <w:tcW w:w="878" w:type="pct"/>
            <w:vAlign w:val="center"/>
          </w:tcPr>
          <w:p>
            <w:pPr>
              <w:widowControl w:val="0"/>
              <w:jc w:val="center"/>
              <w:rPr>
                <w:rFonts w:asciiTheme="minorEastAsia" w:hAnsiTheme="minorEastAsia" w:eastAsiaTheme="minorEastAsia"/>
                <w:sz w:val="18"/>
                <w:szCs w:val="18"/>
              </w:rPr>
            </w:pPr>
            <w:r>
              <w:rPr>
                <w:rFonts w:asciiTheme="minorEastAsia" w:hAnsiTheme="minorEastAsia" w:eastAsiaTheme="minorEastAsia"/>
                <w:sz w:val="18"/>
                <w:szCs w:val="18"/>
              </w:rPr>
              <w:t>l</w:t>
            </w:r>
            <w:r>
              <w:rPr>
                <w:rFonts w:hint="eastAsia" w:asciiTheme="minorEastAsia" w:hAnsiTheme="minorEastAsia" w:eastAsiaTheme="minorEastAsia"/>
                <w:sz w:val="18"/>
                <w:szCs w:val="18"/>
              </w:rPr>
              <w:t>套装置停工或</w:t>
            </w:r>
            <w:r>
              <w:rPr>
                <w:rFonts w:asciiTheme="minorEastAsia" w:hAnsiTheme="minorEastAsia" w:eastAsiaTheme="minorEastAsia"/>
                <w:sz w:val="18"/>
                <w:szCs w:val="18"/>
              </w:rPr>
              <w:t xml:space="preserve"> </w:t>
            </w:r>
            <w:r>
              <w:rPr>
                <w:rFonts w:hint="eastAsia" w:asciiTheme="minorEastAsia" w:hAnsiTheme="minorEastAsia" w:eastAsiaTheme="minorEastAsia"/>
                <w:sz w:val="18"/>
                <w:szCs w:val="18"/>
              </w:rPr>
              <w:t>设备</w:t>
            </w:r>
          </w:p>
        </w:tc>
        <w:tc>
          <w:tcPr>
            <w:tcW w:w="806" w:type="pct"/>
            <w:vAlign w:val="center"/>
          </w:tcPr>
          <w:p>
            <w:pPr>
              <w:widowControl w:val="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地区影响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06" w:type="pct"/>
            <w:vAlign w:val="center"/>
          </w:tcPr>
          <w:p>
            <w:pPr>
              <w:widowControl w:val="0"/>
              <w:jc w:val="center"/>
              <w:rPr>
                <w:rFonts w:asciiTheme="minorEastAsia" w:hAnsiTheme="minorEastAsia" w:eastAsiaTheme="minorEastAsia"/>
                <w:sz w:val="18"/>
                <w:szCs w:val="18"/>
              </w:rPr>
            </w:pPr>
            <w:r>
              <w:rPr>
                <w:rFonts w:asciiTheme="minorEastAsia" w:hAnsiTheme="minorEastAsia" w:eastAsiaTheme="minorEastAsia"/>
                <w:sz w:val="18"/>
                <w:szCs w:val="18"/>
              </w:rPr>
              <w:t>2</w:t>
            </w:r>
          </w:p>
        </w:tc>
        <w:tc>
          <w:tcPr>
            <w:tcW w:w="1384" w:type="pct"/>
            <w:vAlign w:val="center"/>
          </w:tcPr>
          <w:p>
            <w:pPr>
              <w:widowControl w:val="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不符合企业的安全操作程序、规定</w:t>
            </w:r>
          </w:p>
        </w:tc>
        <w:tc>
          <w:tcPr>
            <w:tcW w:w="672" w:type="pct"/>
            <w:vAlign w:val="center"/>
          </w:tcPr>
          <w:p>
            <w:pPr>
              <w:widowControl w:val="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轻微受伤、间</w:t>
            </w:r>
            <w:r>
              <w:rPr>
                <w:rFonts w:asciiTheme="minorEastAsia" w:hAnsiTheme="minorEastAsia" w:eastAsiaTheme="minorEastAsia"/>
                <w:sz w:val="18"/>
                <w:szCs w:val="18"/>
              </w:rPr>
              <w:t xml:space="preserve"> </w:t>
            </w:r>
            <w:r>
              <w:rPr>
                <w:rFonts w:hint="eastAsia" w:asciiTheme="minorEastAsia" w:hAnsiTheme="minorEastAsia" w:eastAsiaTheme="minorEastAsia"/>
                <w:sz w:val="18"/>
                <w:szCs w:val="18"/>
              </w:rPr>
              <w:t>歇不舒服</w:t>
            </w:r>
          </w:p>
        </w:tc>
        <w:tc>
          <w:tcPr>
            <w:tcW w:w="854" w:type="pct"/>
            <w:vAlign w:val="center"/>
          </w:tcPr>
          <w:p>
            <w:pPr>
              <w:widowControl w:val="0"/>
              <w:jc w:val="center"/>
              <w:rPr>
                <w:rFonts w:asciiTheme="minorEastAsia" w:hAnsiTheme="minorEastAsia" w:eastAsiaTheme="minorEastAsia"/>
                <w:sz w:val="18"/>
                <w:szCs w:val="18"/>
              </w:rPr>
            </w:pPr>
            <w:r>
              <w:rPr>
                <w:rFonts w:asciiTheme="minorEastAsia" w:hAnsiTheme="minorEastAsia" w:eastAsiaTheme="minorEastAsia"/>
                <w:sz w:val="18"/>
                <w:szCs w:val="18"/>
              </w:rPr>
              <w:t>1</w:t>
            </w:r>
            <w:r>
              <w:rPr>
                <w:rFonts w:hint="eastAsia" w:asciiTheme="minorEastAsia" w:hAnsiTheme="minorEastAsia" w:eastAsiaTheme="minorEastAsia"/>
                <w:sz w:val="18"/>
                <w:szCs w:val="18"/>
              </w:rPr>
              <w:t>万元以下</w:t>
            </w:r>
          </w:p>
        </w:tc>
        <w:tc>
          <w:tcPr>
            <w:tcW w:w="878" w:type="pct"/>
            <w:vAlign w:val="center"/>
          </w:tcPr>
          <w:p>
            <w:pPr>
              <w:widowControl w:val="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受影响不大，几乎不停工</w:t>
            </w:r>
          </w:p>
        </w:tc>
        <w:tc>
          <w:tcPr>
            <w:tcW w:w="806" w:type="pct"/>
            <w:vAlign w:val="center"/>
          </w:tcPr>
          <w:p>
            <w:pPr>
              <w:widowControl w:val="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公司及周边范围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06" w:type="pct"/>
            <w:vAlign w:val="center"/>
          </w:tcPr>
          <w:p>
            <w:pPr>
              <w:widowControl w:val="0"/>
              <w:jc w:val="center"/>
              <w:rPr>
                <w:rFonts w:asciiTheme="minorEastAsia" w:hAnsiTheme="minorEastAsia" w:eastAsiaTheme="minorEastAsia"/>
                <w:sz w:val="18"/>
                <w:szCs w:val="18"/>
              </w:rPr>
            </w:pPr>
            <w:r>
              <w:rPr>
                <w:rFonts w:asciiTheme="minorEastAsia" w:hAnsiTheme="minorEastAsia" w:eastAsiaTheme="minorEastAsia"/>
                <w:sz w:val="18"/>
                <w:szCs w:val="18"/>
              </w:rPr>
              <w:t>1</w:t>
            </w:r>
          </w:p>
        </w:tc>
        <w:tc>
          <w:tcPr>
            <w:tcW w:w="1384" w:type="pct"/>
            <w:vAlign w:val="center"/>
          </w:tcPr>
          <w:p>
            <w:pPr>
              <w:widowControl w:val="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完全符合</w:t>
            </w:r>
          </w:p>
        </w:tc>
        <w:tc>
          <w:tcPr>
            <w:tcW w:w="672" w:type="pct"/>
            <w:vAlign w:val="center"/>
          </w:tcPr>
          <w:p>
            <w:pPr>
              <w:widowControl w:val="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无伤亡</w:t>
            </w:r>
          </w:p>
        </w:tc>
        <w:tc>
          <w:tcPr>
            <w:tcW w:w="854" w:type="pct"/>
            <w:vAlign w:val="center"/>
          </w:tcPr>
          <w:p>
            <w:pPr>
              <w:widowControl w:val="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无损失</w:t>
            </w:r>
          </w:p>
        </w:tc>
        <w:tc>
          <w:tcPr>
            <w:tcW w:w="878" w:type="pct"/>
            <w:vAlign w:val="center"/>
          </w:tcPr>
          <w:p>
            <w:pPr>
              <w:widowControl w:val="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没有停工</w:t>
            </w:r>
          </w:p>
        </w:tc>
        <w:tc>
          <w:tcPr>
            <w:tcW w:w="806" w:type="pct"/>
            <w:vAlign w:val="center"/>
          </w:tcPr>
          <w:p>
            <w:pPr>
              <w:widowControl w:val="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形象没有受损</w:t>
            </w:r>
          </w:p>
        </w:tc>
      </w:tr>
    </w:tbl>
    <w:p>
      <w:pPr>
        <w:rPr>
          <w:rFonts w:asciiTheme="minorEastAsia" w:hAnsiTheme="minorEastAsia" w:eastAsiaTheme="minorEastAsia"/>
          <w:sz w:val="21"/>
          <w:szCs w:val="21"/>
        </w:rPr>
      </w:pPr>
    </w:p>
    <w:p>
      <w:pPr>
        <w:rPr>
          <w:rFonts w:asciiTheme="minorEastAsia" w:hAnsiTheme="minorEastAsia" w:eastAsiaTheme="minorEastAsia"/>
          <w:sz w:val="21"/>
          <w:szCs w:val="21"/>
        </w:rPr>
      </w:pPr>
    </w:p>
    <w:p>
      <w:pPr>
        <w:rPr>
          <w:rFonts w:asciiTheme="minorEastAsia" w:hAnsiTheme="minorEastAsia" w:eastAsiaTheme="minorEastAsia"/>
          <w:sz w:val="21"/>
          <w:szCs w:val="21"/>
        </w:rPr>
      </w:pPr>
    </w:p>
    <w:p>
      <w:pPr>
        <w:rPr>
          <w:rFonts w:asciiTheme="minorEastAsia" w:hAnsiTheme="minorEastAsia" w:eastAsiaTheme="minorEastAsia"/>
          <w:sz w:val="21"/>
          <w:szCs w:val="21"/>
        </w:rPr>
      </w:pPr>
    </w:p>
    <w:p>
      <w:pPr>
        <w:rPr>
          <w:rFonts w:asciiTheme="minorEastAsia" w:hAnsiTheme="minorEastAsia" w:eastAsiaTheme="minorEastAsia"/>
          <w:sz w:val="21"/>
          <w:szCs w:val="21"/>
        </w:rPr>
      </w:pPr>
    </w:p>
    <w:p>
      <w:pPr>
        <w:jc w:val="center"/>
        <w:outlineLvl w:val="1"/>
        <w:rPr>
          <w:rFonts w:ascii="方正小标宋_GBK" w:hAnsi="黑体" w:eastAsia="方正小标宋_GBK"/>
          <w:b/>
          <w:bCs/>
          <w:sz w:val="28"/>
          <w:szCs w:val="28"/>
        </w:rPr>
      </w:pPr>
      <w:bookmarkStart w:id="210" w:name="_Toc119336631"/>
      <w:bookmarkStart w:id="211" w:name="_Toc117541349"/>
      <w:r>
        <w:rPr>
          <w:rFonts w:hint="eastAsia" w:ascii="方正小标宋_GBK" w:hAnsi="黑体" w:eastAsia="方正小标宋_GBK"/>
          <w:b/>
          <w:bCs/>
          <w:sz w:val="28"/>
          <w:szCs w:val="28"/>
        </w:rPr>
        <w:t>安全风险等级判定准则 (R) 及控制措施</w:t>
      </w:r>
      <w:bookmarkEnd w:id="210"/>
      <w:bookmarkEnd w:id="211"/>
    </w:p>
    <w:tbl>
      <w:tblPr>
        <w:tblStyle w:val="3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6"/>
        <w:gridCol w:w="992"/>
        <w:gridCol w:w="992"/>
        <w:gridCol w:w="3544"/>
        <w:gridCol w:w="19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pPr>
              <w:widowControl w:val="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风险值</w:t>
            </w:r>
          </w:p>
        </w:tc>
        <w:tc>
          <w:tcPr>
            <w:tcW w:w="1984" w:type="dxa"/>
            <w:gridSpan w:val="2"/>
            <w:vAlign w:val="center"/>
          </w:tcPr>
          <w:p>
            <w:pPr>
              <w:widowControl w:val="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风险等级</w:t>
            </w:r>
          </w:p>
        </w:tc>
        <w:tc>
          <w:tcPr>
            <w:tcW w:w="3544" w:type="dxa"/>
            <w:vAlign w:val="center"/>
          </w:tcPr>
          <w:p>
            <w:pPr>
              <w:widowControl w:val="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应采取的行动/控制措施</w:t>
            </w:r>
          </w:p>
        </w:tc>
        <w:tc>
          <w:tcPr>
            <w:tcW w:w="1928" w:type="dxa"/>
            <w:vAlign w:val="center"/>
          </w:tcPr>
          <w:p>
            <w:pPr>
              <w:widowControl w:val="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实施期限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shd w:val="clear" w:color="auto" w:fill="FF0000"/>
            <w:vAlign w:val="center"/>
          </w:tcPr>
          <w:p>
            <w:pPr>
              <w:widowControl w:val="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w:t>
            </w:r>
            <w:r>
              <w:rPr>
                <w:rFonts w:asciiTheme="minorEastAsia" w:hAnsiTheme="minorEastAsia" w:eastAsiaTheme="minorEastAsia"/>
                <w:sz w:val="18"/>
                <w:szCs w:val="18"/>
              </w:rPr>
              <w:t>0-25</w:t>
            </w:r>
          </w:p>
        </w:tc>
        <w:tc>
          <w:tcPr>
            <w:tcW w:w="992" w:type="dxa"/>
            <w:vAlign w:val="center"/>
          </w:tcPr>
          <w:p>
            <w:pPr>
              <w:widowControl w:val="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A</w:t>
            </w:r>
            <w:r>
              <w:rPr>
                <w:rFonts w:asciiTheme="minorEastAsia" w:hAnsiTheme="minorEastAsia" w:eastAsiaTheme="minorEastAsia"/>
                <w:sz w:val="18"/>
                <w:szCs w:val="18"/>
              </w:rPr>
              <w:t>/1</w:t>
            </w:r>
            <w:r>
              <w:rPr>
                <w:rFonts w:hint="eastAsia" w:asciiTheme="minorEastAsia" w:hAnsiTheme="minorEastAsia" w:eastAsiaTheme="minorEastAsia"/>
                <w:sz w:val="18"/>
                <w:szCs w:val="18"/>
              </w:rPr>
              <w:t>级</w:t>
            </w:r>
          </w:p>
        </w:tc>
        <w:tc>
          <w:tcPr>
            <w:tcW w:w="992" w:type="dxa"/>
            <w:vAlign w:val="center"/>
          </w:tcPr>
          <w:p>
            <w:pPr>
              <w:widowControl w:val="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极其危险</w:t>
            </w:r>
          </w:p>
        </w:tc>
        <w:tc>
          <w:tcPr>
            <w:tcW w:w="3544" w:type="dxa"/>
            <w:vAlign w:val="center"/>
          </w:tcPr>
          <w:p>
            <w:pPr>
              <w:widowControl w:val="0"/>
              <w:rPr>
                <w:rFonts w:asciiTheme="minorEastAsia" w:hAnsiTheme="minorEastAsia" w:eastAsiaTheme="minorEastAsia"/>
                <w:sz w:val="18"/>
                <w:szCs w:val="18"/>
              </w:rPr>
            </w:pPr>
            <w:r>
              <w:rPr>
                <w:rFonts w:hint="eastAsia" w:asciiTheme="minorEastAsia" w:hAnsiTheme="minorEastAsia" w:eastAsiaTheme="minorEastAsia"/>
                <w:sz w:val="18"/>
                <w:szCs w:val="18"/>
              </w:rPr>
              <w:t>在采取措施降低危害前，不能继续作业，对改进措施进行评估。</w:t>
            </w:r>
          </w:p>
        </w:tc>
        <w:tc>
          <w:tcPr>
            <w:tcW w:w="1928" w:type="dxa"/>
            <w:vAlign w:val="center"/>
          </w:tcPr>
          <w:p>
            <w:pPr>
              <w:widowControl w:val="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立刻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shd w:val="clear" w:color="auto" w:fill="FFC000"/>
            <w:vAlign w:val="center"/>
          </w:tcPr>
          <w:p>
            <w:pPr>
              <w:widowControl w:val="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w:t>
            </w:r>
            <w:r>
              <w:rPr>
                <w:rFonts w:asciiTheme="minorEastAsia" w:hAnsiTheme="minorEastAsia" w:eastAsiaTheme="minorEastAsia"/>
                <w:sz w:val="18"/>
                <w:szCs w:val="18"/>
              </w:rPr>
              <w:t>5-16</w:t>
            </w:r>
          </w:p>
        </w:tc>
        <w:tc>
          <w:tcPr>
            <w:tcW w:w="992" w:type="dxa"/>
            <w:vAlign w:val="center"/>
          </w:tcPr>
          <w:p>
            <w:pPr>
              <w:widowControl w:val="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B</w:t>
            </w:r>
            <w:r>
              <w:rPr>
                <w:rFonts w:asciiTheme="minorEastAsia" w:hAnsiTheme="minorEastAsia" w:eastAsiaTheme="minorEastAsia"/>
                <w:sz w:val="18"/>
                <w:szCs w:val="18"/>
              </w:rPr>
              <w:t>/2</w:t>
            </w:r>
            <w:r>
              <w:rPr>
                <w:rFonts w:hint="eastAsia" w:asciiTheme="minorEastAsia" w:hAnsiTheme="minorEastAsia" w:eastAsiaTheme="minorEastAsia"/>
                <w:sz w:val="18"/>
                <w:szCs w:val="18"/>
              </w:rPr>
              <w:t>级</w:t>
            </w:r>
          </w:p>
        </w:tc>
        <w:tc>
          <w:tcPr>
            <w:tcW w:w="992" w:type="dxa"/>
            <w:vAlign w:val="center"/>
          </w:tcPr>
          <w:p>
            <w:pPr>
              <w:widowControl w:val="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高度危险</w:t>
            </w:r>
          </w:p>
        </w:tc>
        <w:tc>
          <w:tcPr>
            <w:tcW w:w="3544" w:type="dxa"/>
            <w:vAlign w:val="center"/>
          </w:tcPr>
          <w:p>
            <w:pPr>
              <w:widowControl w:val="0"/>
              <w:rPr>
                <w:rFonts w:asciiTheme="minorEastAsia" w:hAnsiTheme="minorEastAsia" w:eastAsiaTheme="minorEastAsia"/>
                <w:sz w:val="18"/>
                <w:szCs w:val="18"/>
              </w:rPr>
            </w:pPr>
            <w:r>
              <w:rPr>
                <w:rFonts w:hint="eastAsia" w:asciiTheme="minorEastAsia" w:hAnsiTheme="minorEastAsia" w:eastAsiaTheme="minorEastAsia"/>
                <w:sz w:val="18"/>
                <w:szCs w:val="18"/>
              </w:rPr>
              <w:t>采取紧急措施降低风险，建立运行控制程序，定期检查、测量及评估</w:t>
            </w:r>
          </w:p>
        </w:tc>
        <w:tc>
          <w:tcPr>
            <w:tcW w:w="1928" w:type="dxa"/>
            <w:vAlign w:val="center"/>
          </w:tcPr>
          <w:p>
            <w:pPr>
              <w:widowControl w:val="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立即或近期整改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shd w:val="clear" w:color="auto" w:fill="FFFF00"/>
            <w:vAlign w:val="center"/>
          </w:tcPr>
          <w:p>
            <w:pPr>
              <w:widowControl w:val="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9</w:t>
            </w:r>
            <w:r>
              <w:rPr>
                <w:rFonts w:asciiTheme="minorEastAsia" w:hAnsiTheme="minorEastAsia" w:eastAsiaTheme="minorEastAsia"/>
                <w:sz w:val="18"/>
                <w:szCs w:val="18"/>
              </w:rPr>
              <w:t>-12</w:t>
            </w:r>
          </w:p>
        </w:tc>
        <w:tc>
          <w:tcPr>
            <w:tcW w:w="992" w:type="dxa"/>
            <w:vAlign w:val="center"/>
          </w:tcPr>
          <w:p>
            <w:pPr>
              <w:widowControl w:val="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C</w:t>
            </w:r>
            <w:r>
              <w:rPr>
                <w:rFonts w:asciiTheme="minorEastAsia" w:hAnsiTheme="minorEastAsia" w:eastAsiaTheme="minorEastAsia"/>
                <w:sz w:val="18"/>
                <w:szCs w:val="18"/>
              </w:rPr>
              <w:t>/3</w:t>
            </w:r>
            <w:r>
              <w:rPr>
                <w:rFonts w:hint="eastAsia" w:asciiTheme="minorEastAsia" w:hAnsiTheme="minorEastAsia" w:eastAsiaTheme="minorEastAsia"/>
                <w:sz w:val="18"/>
                <w:szCs w:val="18"/>
              </w:rPr>
              <w:t>级</w:t>
            </w:r>
          </w:p>
        </w:tc>
        <w:tc>
          <w:tcPr>
            <w:tcW w:w="992" w:type="dxa"/>
            <w:vAlign w:val="center"/>
          </w:tcPr>
          <w:p>
            <w:pPr>
              <w:widowControl w:val="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显著危险</w:t>
            </w:r>
          </w:p>
        </w:tc>
        <w:tc>
          <w:tcPr>
            <w:tcW w:w="3544" w:type="dxa"/>
            <w:vAlign w:val="center"/>
          </w:tcPr>
          <w:p>
            <w:pPr>
              <w:widowControl w:val="0"/>
              <w:rPr>
                <w:rFonts w:asciiTheme="minorEastAsia" w:hAnsiTheme="minorEastAsia" w:eastAsiaTheme="minorEastAsia"/>
                <w:sz w:val="18"/>
                <w:szCs w:val="18"/>
              </w:rPr>
            </w:pPr>
            <w:r>
              <w:rPr>
                <w:rFonts w:hint="eastAsia" w:asciiTheme="minorEastAsia" w:hAnsiTheme="minorEastAsia" w:eastAsiaTheme="minorEastAsia"/>
                <w:sz w:val="18"/>
                <w:szCs w:val="18"/>
              </w:rPr>
              <w:t>可考虑建立目标、建立操作规程，加强培训</w:t>
            </w:r>
          </w:p>
          <w:p>
            <w:pPr>
              <w:widowControl w:val="0"/>
              <w:rPr>
                <w:rFonts w:asciiTheme="minorEastAsia" w:hAnsiTheme="minorEastAsia" w:eastAsiaTheme="minorEastAsia"/>
                <w:sz w:val="18"/>
                <w:szCs w:val="18"/>
              </w:rPr>
            </w:pPr>
            <w:r>
              <w:rPr>
                <w:rFonts w:hint="eastAsia" w:asciiTheme="minorEastAsia" w:hAnsiTheme="minorEastAsia" w:eastAsiaTheme="minorEastAsia"/>
                <w:sz w:val="18"/>
                <w:szCs w:val="18"/>
              </w:rPr>
              <w:t>及沟通</w:t>
            </w:r>
          </w:p>
        </w:tc>
        <w:tc>
          <w:tcPr>
            <w:tcW w:w="1928" w:type="dxa"/>
            <w:vAlign w:val="center"/>
          </w:tcPr>
          <w:p>
            <w:pPr>
              <w:widowControl w:val="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2年内治理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shd w:val="clear" w:color="auto" w:fill="0070C0"/>
            <w:vAlign w:val="center"/>
          </w:tcPr>
          <w:p>
            <w:pPr>
              <w:widowControl w:val="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4</w:t>
            </w:r>
            <w:r>
              <w:rPr>
                <w:rFonts w:asciiTheme="minorEastAsia" w:hAnsiTheme="minorEastAsia" w:eastAsiaTheme="minorEastAsia"/>
                <w:sz w:val="18"/>
                <w:szCs w:val="18"/>
              </w:rPr>
              <w:t>-8</w:t>
            </w:r>
          </w:p>
        </w:tc>
        <w:tc>
          <w:tcPr>
            <w:tcW w:w="992" w:type="dxa"/>
            <w:vAlign w:val="center"/>
          </w:tcPr>
          <w:p>
            <w:pPr>
              <w:widowControl w:val="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D</w:t>
            </w:r>
            <w:r>
              <w:rPr>
                <w:rFonts w:asciiTheme="minorEastAsia" w:hAnsiTheme="minorEastAsia" w:eastAsiaTheme="minorEastAsia"/>
                <w:sz w:val="18"/>
                <w:szCs w:val="18"/>
              </w:rPr>
              <w:t>/4</w:t>
            </w:r>
            <w:r>
              <w:rPr>
                <w:rFonts w:hint="eastAsia" w:asciiTheme="minorEastAsia" w:hAnsiTheme="minorEastAsia" w:eastAsiaTheme="minorEastAsia"/>
                <w:sz w:val="18"/>
                <w:szCs w:val="18"/>
              </w:rPr>
              <w:t>级</w:t>
            </w:r>
          </w:p>
        </w:tc>
        <w:tc>
          <w:tcPr>
            <w:tcW w:w="992" w:type="dxa"/>
            <w:vAlign w:val="center"/>
          </w:tcPr>
          <w:p>
            <w:pPr>
              <w:widowControl w:val="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轻度危险</w:t>
            </w:r>
          </w:p>
        </w:tc>
        <w:tc>
          <w:tcPr>
            <w:tcW w:w="3544" w:type="dxa"/>
            <w:vAlign w:val="center"/>
          </w:tcPr>
          <w:p>
            <w:pPr>
              <w:widowControl w:val="0"/>
              <w:rPr>
                <w:rFonts w:asciiTheme="minorEastAsia" w:hAnsiTheme="minorEastAsia" w:eastAsiaTheme="minorEastAsia"/>
                <w:sz w:val="18"/>
                <w:szCs w:val="18"/>
              </w:rPr>
            </w:pPr>
            <w:r>
              <w:rPr>
                <w:rFonts w:hint="eastAsia" w:asciiTheme="minorEastAsia" w:hAnsiTheme="minorEastAsia" w:eastAsiaTheme="minorEastAsia"/>
                <w:sz w:val="18"/>
                <w:szCs w:val="18"/>
              </w:rPr>
              <w:t>可考虑建立操作规程、作业指导书但需定期检查</w:t>
            </w:r>
          </w:p>
        </w:tc>
        <w:tc>
          <w:tcPr>
            <w:tcW w:w="1928" w:type="dxa"/>
            <w:vAlign w:val="center"/>
          </w:tcPr>
          <w:p>
            <w:pPr>
              <w:widowControl w:val="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有条件、有经费时治理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shd w:val="clear" w:color="auto" w:fill="0070C0"/>
            <w:vAlign w:val="center"/>
          </w:tcPr>
          <w:p>
            <w:pPr>
              <w:widowControl w:val="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w:t>
            </w:r>
            <w:r>
              <w:rPr>
                <w:rFonts w:asciiTheme="minorEastAsia" w:hAnsiTheme="minorEastAsia" w:eastAsiaTheme="minorEastAsia"/>
                <w:sz w:val="18"/>
                <w:szCs w:val="18"/>
              </w:rPr>
              <w:t>-3</w:t>
            </w:r>
          </w:p>
        </w:tc>
        <w:tc>
          <w:tcPr>
            <w:tcW w:w="992" w:type="dxa"/>
            <w:vAlign w:val="center"/>
          </w:tcPr>
          <w:p>
            <w:pPr>
              <w:widowControl w:val="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E</w:t>
            </w:r>
            <w:r>
              <w:rPr>
                <w:rFonts w:asciiTheme="minorEastAsia" w:hAnsiTheme="minorEastAsia" w:eastAsiaTheme="minorEastAsia"/>
                <w:sz w:val="18"/>
                <w:szCs w:val="18"/>
              </w:rPr>
              <w:t>/5</w:t>
            </w:r>
            <w:r>
              <w:rPr>
                <w:rFonts w:hint="eastAsia" w:asciiTheme="minorEastAsia" w:hAnsiTheme="minorEastAsia" w:eastAsiaTheme="minorEastAsia"/>
                <w:sz w:val="18"/>
                <w:szCs w:val="18"/>
              </w:rPr>
              <w:t>级</w:t>
            </w:r>
          </w:p>
        </w:tc>
        <w:tc>
          <w:tcPr>
            <w:tcW w:w="992" w:type="dxa"/>
            <w:vAlign w:val="center"/>
          </w:tcPr>
          <w:p>
            <w:pPr>
              <w:widowControl w:val="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稍有危险</w:t>
            </w:r>
          </w:p>
        </w:tc>
        <w:tc>
          <w:tcPr>
            <w:tcW w:w="3544" w:type="dxa"/>
            <w:vAlign w:val="center"/>
          </w:tcPr>
          <w:p>
            <w:pPr>
              <w:widowControl w:val="0"/>
              <w:rPr>
                <w:rFonts w:asciiTheme="minorEastAsia" w:hAnsiTheme="minorEastAsia" w:eastAsiaTheme="minorEastAsia"/>
                <w:sz w:val="18"/>
                <w:szCs w:val="18"/>
              </w:rPr>
            </w:pPr>
            <w:r>
              <w:rPr>
                <w:rFonts w:hint="eastAsia" w:asciiTheme="minorEastAsia" w:hAnsiTheme="minorEastAsia" w:eastAsiaTheme="minorEastAsia"/>
                <w:sz w:val="18"/>
                <w:szCs w:val="18"/>
              </w:rPr>
              <w:t>无需采取控制措施</w:t>
            </w:r>
          </w:p>
        </w:tc>
        <w:tc>
          <w:tcPr>
            <w:tcW w:w="1928" w:type="dxa"/>
            <w:vAlign w:val="center"/>
          </w:tcPr>
          <w:p>
            <w:pPr>
              <w:widowControl w:val="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需保存记录</w:t>
            </w:r>
          </w:p>
        </w:tc>
      </w:tr>
    </w:tbl>
    <w:p>
      <w:pPr>
        <w:rPr>
          <w:rFonts w:asciiTheme="minorEastAsia" w:hAnsiTheme="minorEastAsia" w:eastAsiaTheme="minorEastAsia"/>
          <w:sz w:val="21"/>
          <w:szCs w:val="21"/>
        </w:rPr>
        <w:sectPr>
          <w:pgSz w:w="11906" w:h="16838"/>
          <w:pgMar w:top="1440" w:right="1797" w:bottom="1440" w:left="1797" w:header="851" w:footer="992" w:gutter="0"/>
          <w:cols w:space="425" w:num="1"/>
          <w:docGrid w:type="lines" w:linePitch="435" w:charSpace="0"/>
        </w:sectPr>
      </w:pPr>
    </w:p>
    <w:p>
      <w:pPr>
        <w:jc w:val="center"/>
        <w:outlineLvl w:val="0"/>
        <w:rPr>
          <w:rFonts w:ascii="方正小标宋_GBK" w:hAnsi="黑体" w:eastAsia="方正小标宋_GBK"/>
          <w:b/>
          <w:bCs/>
          <w:sz w:val="28"/>
          <w:szCs w:val="28"/>
        </w:rPr>
      </w:pPr>
      <w:bookmarkStart w:id="212" w:name="_Toc117541350"/>
      <w:bookmarkStart w:id="213" w:name="_Toc119336632"/>
      <w:r>
        <w:rPr>
          <w:rFonts w:hint="eastAsia" w:ascii="方正小标宋_GBK" w:hAnsi="黑体" w:eastAsia="方正小标宋_GBK"/>
          <w:b/>
          <w:bCs/>
          <w:sz w:val="28"/>
          <w:szCs w:val="28"/>
        </w:rPr>
        <w:t>附录G.1（资料性附录）</w:t>
      </w:r>
      <w:bookmarkEnd w:id="212"/>
      <w:bookmarkEnd w:id="213"/>
    </w:p>
    <w:p>
      <w:pPr>
        <w:jc w:val="center"/>
        <w:rPr>
          <w:rFonts w:ascii="方正小标宋_GBK" w:hAnsi="黑体" w:eastAsia="方正小标宋_GBK"/>
          <w:b/>
          <w:bCs/>
          <w:sz w:val="28"/>
          <w:szCs w:val="28"/>
        </w:rPr>
      </w:pPr>
      <w:r>
        <w:rPr>
          <w:rFonts w:hint="eastAsia" w:ascii="方正小标宋_GBK" w:hAnsi="黑体" w:eastAsia="方正小标宋_GBK"/>
          <w:b/>
          <w:bCs/>
          <w:sz w:val="28"/>
          <w:szCs w:val="28"/>
        </w:rPr>
        <w:t>《危险化学品重大危险源辨识结论》</w:t>
      </w:r>
    </w:p>
    <w:p>
      <w:pPr>
        <w:jc w:val="center"/>
        <w:rPr>
          <w:rFonts w:ascii="方正小标宋_GBK" w:hAnsi="黑体" w:eastAsia="方正小标宋_GBK"/>
          <w:b/>
          <w:bCs/>
          <w:sz w:val="28"/>
          <w:szCs w:val="28"/>
        </w:rPr>
      </w:pPr>
    </w:p>
    <w:p>
      <w:pPr>
        <w:jc w:val="center"/>
        <w:outlineLvl w:val="1"/>
        <w:rPr>
          <w:rFonts w:ascii="方正小标宋_GBK" w:hAnsi="黑体" w:eastAsia="方正小标宋_GBK"/>
          <w:b/>
          <w:bCs/>
          <w:sz w:val="28"/>
          <w:szCs w:val="28"/>
        </w:rPr>
      </w:pPr>
      <w:bookmarkStart w:id="214" w:name="_Toc119336633"/>
      <w:bookmarkStart w:id="215" w:name="_Toc117541351"/>
      <w:r>
        <w:rPr>
          <w:rFonts w:hint="eastAsia" w:ascii="方正小标宋_GBK" w:hAnsi="黑体" w:eastAsia="方正小标宋_GBK"/>
          <w:b/>
          <w:bCs/>
          <w:sz w:val="28"/>
          <w:szCs w:val="28"/>
        </w:rPr>
        <w:t>危险化学品重大危险源辨识评价结论（示例）</w:t>
      </w:r>
      <w:bookmarkEnd w:id="214"/>
      <w:bookmarkEnd w:id="215"/>
    </w:p>
    <w:p>
      <w:pPr>
        <w:widowControl w:val="0"/>
        <w:spacing w:line="360" w:lineRule="auto"/>
        <w:ind w:firstLine="560" w:firstLineChars="200"/>
        <w:rPr>
          <w:rFonts w:asciiTheme="minorEastAsia" w:hAnsiTheme="minorEastAsia" w:eastAsiaTheme="minorEastAsia"/>
          <w:kern w:val="2"/>
          <w:sz w:val="28"/>
          <w:szCs w:val="28"/>
        </w:rPr>
      </w:pPr>
      <w:r>
        <w:rPr>
          <w:rFonts w:hint="eastAsia" w:asciiTheme="minorEastAsia" w:hAnsiTheme="minorEastAsia" w:eastAsiaTheme="minorEastAsia"/>
          <w:kern w:val="2"/>
          <w:sz w:val="28"/>
          <w:szCs w:val="28"/>
        </w:rPr>
        <w:t>根据《危险化学品重大危险源辨识》（GB18218-2018），长期地或临时地生产、储存、使用和经营危险化学品，且危险化学品的数量等于或超过临界量的单元均为危险化学品重大危险源。</w:t>
      </w:r>
    </w:p>
    <w:p>
      <w:pPr>
        <w:widowControl w:val="0"/>
        <w:spacing w:line="360" w:lineRule="auto"/>
        <w:ind w:firstLine="560" w:firstLineChars="200"/>
        <w:rPr>
          <w:rFonts w:asciiTheme="minorEastAsia" w:hAnsiTheme="minorEastAsia" w:eastAsiaTheme="minorEastAsia"/>
          <w:kern w:val="2"/>
          <w:sz w:val="28"/>
          <w:szCs w:val="28"/>
        </w:rPr>
      </w:pPr>
      <w:bookmarkStart w:id="216" w:name="_Toc20889"/>
      <w:r>
        <w:rPr>
          <w:rFonts w:hint="eastAsia" w:asciiTheme="minorEastAsia" w:hAnsiTheme="minorEastAsia" w:eastAsiaTheme="minorEastAsia"/>
          <w:kern w:val="2"/>
          <w:sz w:val="28"/>
          <w:szCs w:val="28"/>
        </w:rPr>
        <w:t>1、辨识依据</w:t>
      </w:r>
      <w:bookmarkEnd w:id="216"/>
    </w:p>
    <w:p>
      <w:pPr>
        <w:widowControl w:val="0"/>
        <w:spacing w:line="360" w:lineRule="auto"/>
        <w:ind w:firstLine="560" w:firstLineChars="200"/>
        <w:rPr>
          <w:rFonts w:asciiTheme="minorEastAsia" w:hAnsiTheme="minorEastAsia" w:eastAsiaTheme="minorEastAsia"/>
          <w:kern w:val="2"/>
          <w:sz w:val="28"/>
          <w:szCs w:val="28"/>
        </w:rPr>
      </w:pPr>
      <w:r>
        <w:rPr>
          <w:rFonts w:hint="eastAsia" w:asciiTheme="minorEastAsia" w:hAnsiTheme="minorEastAsia" w:eastAsiaTheme="minorEastAsia"/>
          <w:kern w:val="2"/>
          <w:sz w:val="28"/>
          <w:szCs w:val="28"/>
        </w:rPr>
        <w:t>重大危险源的辨识依据是危险化学品的危险特性及数量。单元内存在危险化学品的数量等于或超过危险化学品规定的临界量，即被定为重大危险源。单元内存在危险化学品的数量根据危险化学品种类的多少区分为以下两种情况：</w:t>
      </w:r>
    </w:p>
    <w:p>
      <w:pPr>
        <w:widowControl w:val="0"/>
        <w:spacing w:line="360" w:lineRule="auto"/>
        <w:ind w:firstLine="560" w:firstLineChars="200"/>
        <w:rPr>
          <w:rFonts w:asciiTheme="minorEastAsia" w:hAnsiTheme="minorEastAsia" w:eastAsiaTheme="minorEastAsia"/>
          <w:kern w:val="2"/>
          <w:sz w:val="28"/>
          <w:szCs w:val="28"/>
        </w:rPr>
      </w:pPr>
      <w:r>
        <w:rPr>
          <w:rFonts w:hint="eastAsia" w:asciiTheme="minorEastAsia" w:hAnsiTheme="minorEastAsia" w:eastAsiaTheme="minorEastAsia"/>
          <w:kern w:val="2"/>
          <w:sz w:val="28"/>
          <w:szCs w:val="28"/>
        </w:rPr>
        <w:t>1）单元内存在的危险化学品为单一品种，则该危险化学品的数量即为单元内危险化学品的总量，若等于或超过相应的临界量，则定为重大危险源。</w:t>
      </w:r>
    </w:p>
    <w:p>
      <w:pPr>
        <w:widowControl w:val="0"/>
        <w:spacing w:line="360" w:lineRule="auto"/>
        <w:ind w:firstLine="560" w:firstLineChars="200"/>
        <w:rPr>
          <w:rFonts w:asciiTheme="minorEastAsia" w:hAnsiTheme="minorEastAsia" w:eastAsiaTheme="minorEastAsia"/>
          <w:kern w:val="2"/>
          <w:sz w:val="28"/>
          <w:szCs w:val="28"/>
        </w:rPr>
      </w:pPr>
      <w:r>
        <w:rPr>
          <w:rFonts w:hint="eastAsia" w:asciiTheme="minorEastAsia" w:hAnsiTheme="minorEastAsia" w:eastAsiaTheme="minorEastAsia"/>
          <w:kern w:val="2"/>
          <w:sz w:val="28"/>
          <w:szCs w:val="28"/>
        </w:rPr>
        <w:t>2）单元内存在的危险化学品为多品种时，则按下式计算，若满足下面公式，则定为重大危险源：</w:t>
      </w:r>
    </w:p>
    <w:p>
      <w:pPr>
        <w:widowControl w:val="0"/>
        <w:spacing w:line="360" w:lineRule="auto"/>
        <w:ind w:firstLine="560" w:firstLineChars="200"/>
        <w:rPr>
          <w:rFonts w:asciiTheme="minorEastAsia" w:hAnsiTheme="minorEastAsia" w:eastAsiaTheme="minorEastAsia"/>
          <w:kern w:val="2"/>
          <w:sz w:val="28"/>
          <w:szCs w:val="28"/>
        </w:rPr>
      </w:pPr>
      <w:r>
        <w:rPr>
          <w:rFonts w:hint="eastAsia" w:asciiTheme="minorEastAsia" w:hAnsiTheme="minorEastAsia" w:eastAsiaTheme="minorEastAsia"/>
          <w:kern w:val="2"/>
          <w:sz w:val="28"/>
          <w:szCs w:val="28"/>
        </w:rPr>
        <w:t>S=q1/Q1＋q2/Q2＋……qn/Qn＋≥1</w:t>
      </w:r>
    </w:p>
    <w:p>
      <w:pPr>
        <w:widowControl w:val="0"/>
        <w:spacing w:line="360" w:lineRule="auto"/>
        <w:ind w:firstLine="560" w:firstLineChars="200"/>
        <w:rPr>
          <w:rFonts w:asciiTheme="minorEastAsia" w:hAnsiTheme="minorEastAsia" w:eastAsiaTheme="minorEastAsia"/>
          <w:kern w:val="2"/>
          <w:sz w:val="28"/>
          <w:szCs w:val="28"/>
        </w:rPr>
      </w:pPr>
      <w:r>
        <w:rPr>
          <w:rFonts w:hint="eastAsia" w:asciiTheme="minorEastAsia" w:hAnsiTheme="minorEastAsia" w:eastAsiaTheme="minorEastAsia"/>
          <w:kern w:val="2"/>
          <w:sz w:val="28"/>
          <w:szCs w:val="28"/>
        </w:rPr>
        <w:t>式中：</w:t>
      </w:r>
    </w:p>
    <w:p>
      <w:pPr>
        <w:widowControl w:val="0"/>
        <w:spacing w:line="360" w:lineRule="auto"/>
        <w:ind w:firstLine="560" w:firstLineChars="200"/>
        <w:rPr>
          <w:rFonts w:asciiTheme="minorEastAsia" w:hAnsiTheme="minorEastAsia" w:eastAsiaTheme="minorEastAsia"/>
          <w:kern w:val="2"/>
          <w:sz w:val="28"/>
          <w:szCs w:val="28"/>
        </w:rPr>
      </w:pPr>
      <w:r>
        <w:rPr>
          <w:rFonts w:hint="eastAsia" w:asciiTheme="minorEastAsia" w:hAnsiTheme="minorEastAsia" w:eastAsiaTheme="minorEastAsia"/>
          <w:kern w:val="2"/>
          <w:sz w:val="28"/>
          <w:szCs w:val="28"/>
        </w:rPr>
        <w:t>S——辨识指标；</w:t>
      </w:r>
    </w:p>
    <w:p>
      <w:pPr>
        <w:widowControl w:val="0"/>
        <w:spacing w:line="360" w:lineRule="auto"/>
        <w:ind w:firstLine="560" w:firstLineChars="200"/>
        <w:rPr>
          <w:rFonts w:asciiTheme="minorEastAsia" w:hAnsiTheme="minorEastAsia" w:eastAsiaTheme="minorEastAsia"/>
          <w:kern w:val="2"/>
          <w:sz w:val="28"/>
          <w:szCs w:val="28"/>
        </w:rPr>
      </w:pPr>
      <w:r>
        <w:rPr>
          <w:rFonts w:hint="eastAsia" w:asciiTheme="minorEastAsia" w:hAnsiTheme="minorEastAsia" w:eastAsiaTheme="minorEastAsia"/>
          <w:kern w:val="2"/>
          <w:sz w:val="28"/>
          <w:szCs w:val="28"/>
        </w:rPr>
        <w:t>q1，q2……qn——每种危险化学品实际存在量。单位（t）；</w:t>
      </w:r>
    </w:p>
    <w:p>
      <w:pPr>
        <w:widowControl w:val="0"/>
        <w:spacing w:line="360" w:lineRule="auto"/>
        <w:ind w:firstLine="560" w:firstLineChars="200"/>
        <w:rPr>
          <w:rFonts w:asciiTheme="minorEastAsia" w:hAnsiTheme="minorEastAsia" w:eastAsiaTheme="minorEastAsia"/>
          <w:kern w:val="2"/>
          <w:sz w:val="28"/>
          <w:szCs w:val="28"/>
        </w:rPr>
      </w:pPr>
      <w:r>
        <w:rPr>
          <w:rFonts w:hint="eastAsia" w:asciiTheme="minorEastAsia" w:hAnsiTheme="minorEastAsia" w:eastAsiaTheme="minorEastAsia"/>
          <w:kern w:val="2"/>
          <w:sz w:val="28"/>
          <w:szCs w:val="28"/>
        </w:rPr>
        <w:t>Q1，Q2……Qn——与每种危险化学品相对应的临界量。单位（t）。</w:t>
      </w:r>
    </w:p>
    <w:p>
      <w:pPr>
        <w:widowControl w:val="0"/>
        <w:spacing w:line="360" w:lineRule="auto"/>
        <w:ind w:firstLine="560" w:firstLineChars="200"/>
        <w:rPr>
          <w:rFonts w:asciiTheme="minorEastAsia" w:hAnsiTheme="minorEastAsia" w:eastAsiaTheme="minorEastAsia"/>
          <w:kern w:val="2"/>
          <w:sz w:val="28"/>
          <w:szCs w:val="28"/>
        </w:rPr>
      </w:pPr>
      <w:bookmarkStart w:id="217" w:name="_Toc27742"/>
      <w:r>
        <w:rPr>
          <w:rFonts w:hint="eastAsia" w:asciiTheme="minorEastAsia" w:hAnsiTheme="minorEastAsia" w:eastAsiaTheme="minorEastAsia"/>
          <w:kern w:val="2"/>
          <w:sz w:val="28"/>
          <w:szCs w:val="28"/>
        </w:rPr>
        <w:t>2、危险化学品重大危险源辨识评价</w:t>
      </w:r>
      <w:bookmarkEnd w:id="217"/>
    </w:p>
    <w:p>
      <w:pPr>
        <w:widowControl w:val="0"/>
        <w:spacing w:line="480" w:lineRule="exact"/>
        <w:ind w:firstLine="560" w:firstLineChars="200"/>
        <w:rPr>
          <w:rFonts w:cs="宋体" w:asciiTheme="minorEastAsia" w:hAnsiTheme="minorEastAsia" w:eastAsiaTheme="minorEastAsia"/>
          <w:snapToGrid w:val="0"/>
          <w:sz w:val="28"/>
          <w:szCs w:val="28"/>
        </w:rPr>
      </w:pPr>
      <w:r>
        <w:rPr>
          <w:rFonts w:hint="eastAsia" w:asciiTheme="minorEastAsia" w:hAnsiTheme="minorEastAsia" w:eastAsiaTheme="minorEastAsia"/>
          <w:kern w:val="2"/>
          <w:sz w:val="28"/>
          <w:szCs w:val="28"/>
        </w:rPr>
        <w:t>某单位在生产作业现场存在</w:t>
      </w:r>
      <w:r>
        <w:rPr>
          <w:rFonts w:hint="eastAsia" w:cs="宋体" w:asciiTheme="minorEastAsia" w:hAnsiTheme="minorEastAsia" w:eastAsiaTheme="minorEastAsia"/>
          <w:kern w:val="2"/>
          <w:sz w:val="28"/>
          <w:szCs w:val="28"/>
        </w:rPr>
        <w:t>设备安装、各类在用机械设备、食堂等方面，使用、储存和有乙炔、氧气、液化石油气和柴油等危险化学品，其实际储存量及其临界量见表3.1。</w:t>
      </w:r>
    </w:p>
    <w:p>
      <w:pPr>
        <w:widowControl w:val="0"/>
        <w:spacing w:line="360" w:lineRule="auto"/>
        <w:jc w:val="center"/>
        <w:rPr>
          <w:rFonts w:ascii="宋体" w:hAnsi="宋体" w:eastAsia="宋体"/>
          <w:b/>
          <w:bCs/>
          <w:kern w:val="2"/>
          <w:szCs w:val="28"/>
        </w:rPr>
      </w:pPr>
      <w:r>
        <w:rPr>
          <w:rFonts w:hint="eastAsia" w:ascii="宋体" w:hAnsi="宋体" w:eastAsia="宋体"/>
          <w:b/>
          <w:bCs/>
          <w:kern w:val="2"/>
          <w:szCs w:val="28"/>
        </w:rPr>
        <w:t>某单位某单元危险化学品重大危险源辨识表</w:t>
      </w:r>
    </w:p>
    <w:tbl>
      <w:tblPr>
        <w:tblStyle w:val="3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5"/>
        <w:gridCol w:w="976"/>
        <w:gridCol w:w="1540"/>
        <w:gridCol w:w="1247"/>
        <w:gridCol w:w="1276"/>
        <w:gridCol w:w="1397"/>
        <w:gridCol w:w="13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37" w:type="pct"/>
            <w:vAlign w:val="center"/>
          </w:tcPr>
          <w:p>
            <w:pPr>
              <w:widowControl w:val="0"/>
              <w:jc w:val="center"/>
              <w:rPr>
                <w:rFonts w:ascii="宋体" w:hAnsi="宋体" w:eastAsia="宋体" w:cs="宋体"/>
                <w:snapToGrid w:val="0"/>
                <w:sz w:val="24"/>
                <w:szCs w:val="24"/>
              </w:rPr>
            </w:pPr>
            <w:r>
              <w:rPr>
                <w:rFonts w:hint="eastAsia" w:ascii="宋体" w:hAnsi="宋体" w:eastAsia="宋体" w:cs="宋体"/>
                <w:sz w:val="24"/>
                <w:szCs w:val="24"/>
              </w:rPr>
              <w:t>序号</w:t>
            </w:r>
          </w:p>
        </w:tc>
        <w:tc>
          <w:tcPr>
            <w:tcW w:w="572" w:type="pct"/>
            <w:vAlign w:val="center"/>
          </w:tcPr>
          <w:p>
            <w:pPr>
              <w:widowControl w:val="0"/>
              <w:jc w:val="center"/>
              <w:rPr>
                <w:rFonts w:ascii="宋体" w:hAnsi="宋体" w:eastAsia="宋体" w:cs="宋体"/>
                <w:snapToGrid w:val="0"/>
                <w:sz w:val="24"/>
                <w:szCs w:val="24"/>
              </w:rPr>
            </w:pPr>
            <w:r>
              <w:rPr>
                <w:rFonts w:hint="eastAsia" w:ascii="宋体" w:hAnsi="宋体" w:eastAsia="宋体" w:cs="宋体"/>
                <w:sz w:val="24"/>
                <w:szCs w:val="24"/>
              </w:rPr>
              <w:t>类别</w:t>
            </w:r>
          </w:p>
        </w:tc>
        <w:tc>
          <w:tcPr>
            <w:tcW w:w="903" w:type="pct"/>
            <w:vAlign w:val="center"/>
          </w:tcPr>
          <w:p>
            <w:pPr>
              <w:widowControl w:val="0"/>
              <w:jc w:val="center"/>
              <w:rPr>
                <w:rFonts w:ascii="宋体" w:hAnsi="宋体" w:eastAsia="宋体" w:cs="宋体"/>
                <w:snapToGrid w:val="0"/>
                <w:sz w:val="24"/>
                <w:szCs w:val="24"/>
              </w:rPr>
            </w:pPr>
            <w:r>
              <w:rPr>
                <w:rFonts w:hint="eastAsia" w:ascii="宋体" w:hAnsi="宋体" w:eastAsia="宋体" w:cs="宋体"/>
                <w:sz w:val="24"/>
                <w:szCs w:val="24"/>
              </w:rPr>
              <w:t>危险化学品名称和说明</w:t>
            </w:r>
          </w:p>
        </w:tc>
        <w:tc>
          <w:tcPr>
            <w:tcW w:w="731" w:type="pct"/>
            <w:vAlign w:val="center"/>
          </w:tcPr>
          <w:p>
            <w:pPr>
              <w:widowControl w:val="0"/>
              <w:jc w:val="center"/>
              <w:rPr>
                <w:rFonts w:ascii="宋体" w:hAnsi="宋体" w:eastAsia="宋体" w:cs="宋体"/>
                <w:snapToGrid w:val="0"/>
                <w:sz w:val="24"/>
                <w:szCs w:val="24"/>
              </w:rPr>
            </w:pPr>
            <w:r>
              <w:rPr>
                <w:rFonts w:hint="eastAsia" w:ascii="宋体" w:hAnsi="宋体" w:eastAsia="宋体" w:cs="宋体"/>
                <w:sz w:val="24"/>
                <w:szCs w:val="24"/>
              </w:rPr>
              <w:t>临界量Q（T）</w:t>
            </w:r>
          </w:p>
        </w:tc>
        <w:tc>
          <w:tcPr>
            <w:tcW w:w="748" w:type="pct"/>
            <w:vAlign w:val="center"/>
          </w:tcPr>
          <w:p>
            <w:pPr>
              <w:widowControl w:val="0"/>
              <w:jc w:val="center"/>
              <w:rPr>
                <w:rFonts w:ascii="宋体" w:hAnsi="宋体" w:eastAsia="宋体" w:cs="宋体"/>
                <w:snapToGrid w:val="0"/>
                <w:sz w:val="24"/>
                <w:szCs w:val="24"/>
              </w:rPr>
            </w:pPr>
            <w:r>
              <w:rPr>
                <w:rFonts w:hint="eastAsia" w:ascii="宋体" w:hAnsi="宋体" w:eastAsia="宋体" w:cs="宋体"/>
                <w:sz w:val="24"/>
                <w:szCs w:val="24"/>
              </w:rPr>
              <w:t>储存量q（T）</w:t>
            </w:r>
          </w:p>
        </w:tc>
        <w:tc>
          <w:tcPr>
            <w:tcW w:w="819" w:type="pct"/>
            <w:vAlign w:val="center"/>
          </w:tcPr>
          <w:p>
            <w:pPr>
              <w:widowControl w:val="0"/>
              <w:jc w:val="center"/>
              <w:rPr>
                <w:rFonts w:ascii="宋体" w:hAnsi="宋体" w:eastAsia="宋体" w:cs="宋体"/>
                <w:snapToGrid w:val="0"/>
                <w:sz w:val="24"/>
                <w:szCs w:val="24"/>
              </w:rPr>
            </w:pPr>
            <w:r>
              <w:rPr>
                <w:rFonts w:hint="eastAsia" w:ascii="宋体" w:hAnsi="宋体" w:eastAsia="宋体" w:cs="宋体"/>
                <w:sz w:val="24"/>
                <w:szCs w:val="24"/>
              </w:rPr>
              <w:t>q/Q</w:t>
            </w:r>
          </w:p>
        </w:tc>
        <w:tc>
          <w:tcPr>
            <w:tcW w:w="790" w:type="pct"/>
            <w:vAlign w:val="center"/>
          </w:tcPr>
          <w:p>
            <w:pPr>
              <w:widowControl w:val="0"/>
              <w:jc w:val="center"/>
              <w:rPr>
                <w:rFonts w:ascii="宋体" w:hAnsi="宋体" w:eastAsia="宋体" w:cs="宋体"/>
                <w:snapToGrid w:val="0"/>
                <w:sz w:val="24"/>
                <w:szCs w:val="24"/>
              </w:rPr>
            </w:pPr>
            <w:r>
              <w:rPr>
                <w:rFonts w:hint="eastAsia" w:ascii="宋体" w:hAnsi="宋体" w:eastAsia="宋体" w:cs="宋体"/>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37" w:type="pct"/>
            <w:vAlign w:val="center"/>
          </w:tcPr>
          <w:p>
            <w:pPr>
              <w:widowControl w:val="0"/>
              <w:jc w:val="center"/>
              <w:rPr>
                <w:rFonts w:ascii="宋体" w:hAnsi="宋体" w:eastAsia="宋体" w:cs="宋体"/>
                <w:snapToGrid w:val="0"/>
                <w:sz w:val="24"/>
                <w:szCs w:val="24"/>
              </w:rPr>
            </w:pPr>
            <w:r>
              <w:rPr>
                <w:rFonts w:hint="eastAsia" w:ascii="宋体" w:hAnsi="宋体" w:eastAsia="宋体" w:cs="宋体"/>
                <w:sz w:val="24"/>
                <w:szCs w:val="24"/>
              </w:rPr>
              <w:t>1</w:t>
            </w:r>
          </w:p>
        </w:tc>
        <w:tc>
          <w:tcPr>
            <w:tcW w:w="572" w:type="pct"/>
            <w:vMerge w:val="restart"/>
            <w:vAlign w:val="center"/>
          </w:tcPr>
          <w:p>
            <w:pPr>
              <w:widowControl w:val="0"/>
              <w:jc w:val="center"/>
              <w:rPr>
                <w:rFonts w:ascii="宋体" w:hAnsi="宋体" w:eastAsia="宋体" w:cs="宋体"/>
                <w:sz w:val="24"/>
                <w:szCs w:val="24"/>
              </w:rPr>
            </w:pPr>
          </w:p>
          <w:p>
            <w:pPr>
              <w:widowControl w:val="0"/>
              <w:jc w:val="center"/>
              <w:rPr>
                <w:rFonts w:ascii="宋体" w:hAnsi="宋体" w:eastAsia="宋体" w:cs="宋体"/>
                <w:sz w:val="24"/>
                <w:szCs w:val="24"/>
              </w:rPr>
            </w:pPr>
            <w:r>
              <w:rPr>
                <w:rFonts w:hint="eastAsia" w:ascii="宋体" w:hAnsi="宋体" w:eastAsia="宋体" w:cs="宋体"/>
                <w:sz w:val="24"/>
                <w:szCs w:val="24"/>
              </w:rPr>
              <w:t>易燃</w:t>
            </w:r>
          </w:p>
          <w:p>
            <w:pPr>
              <w:widowControl w:val="0"/>
              <w:jc w:val="center"/>
              <w:rPr>
                <w:rFonts w:ascii="宋体" w:hAnsi="宋体" w:eastAsia="宋体" w:cs="宋体"/>
                <w:sz w:val="24"/>
                <w:szCs w:val="24"/>
              </w:rPr>
            </w:pPr>
            <w:r>
              <w:rPr>
                <w:rFonts w:hint="eastAsia" w:ascii="宋体" w:hAnsi="宋体" w:eastAsia="宋体" w:cs="宋体"/>
                <w:sz w:val="24"/>
                <w:szCs w:val="24"/>
              </w:rPr>
              <w:t>气体</w:t>
            </w:r>
          </w:p>
          <w:p>
            <w:pPr>
              <w:widowControl w:val="0"/>
              <w:jc w:val="center"/>
              <w:rPr>
                <w:rFonts w:ascii="宋体" w:hAnsi="宋体" w:eastAsia="宋体" w:cs="宋体"/>
                <w:snapToGrid w:val="0"/>
                <w:sz w:val="24"/>
                <w:szCs w:val="24"/>
              </w:rPr>
            </w:pPr>
          </w:p>
        </w:tc>
        <w:tc>
          <w:tcPr>
            <w:tcW w:w="903" w:type="pct"/>
            <w:vAlign w:val="center"/>
          </w:tcPr>
          <w:p>
            <w:pPr>
              <w:widowControl w:val="0"/>
              <w:jc w:val="center"/>
              <w:rPr>
                <w:rFonts w:ascii="宋体" w:hAnsi="宋体" w:eastAsia="宋体" w:cs="宋体"/>
                <w:snapToGrid w:val="0"/>
                <w:sz w:val="24"/>
                <w:szCs w:val="24"/>
              </w:rPr>
            </w:pPr>
            <w:r>
              <w:rPr>
                <w:rFonts w:hint="eastAsia" w:ascii="宋体" w:hAnsi="宋体" w:eastAsia="宋体" w:cs="宋体"/>
                <w:sz w:val="24"/>
                <w:szCs w:val="24"/>
              </w:rPr>
              <w:t>乙炔</w:t>
            </w:r>
          </w:p>
        </w:tc>
        <w:tc>
          <w:tcPr>
            <w:tcW w:w="731" w:type="pct"/>
            <w:vAlign w:val="center"/>
          </w:tcPr>
          <w:p>
            <w:pPr>
              <w:widowControl w:val="0"/>
              <w:jc w:val="center"/>
              <w:rPr>
                <w:rFonts w:ascii="宋体" w:hAnsi="宋体" w:eastAsia="宋体" w:cs="宋体"/>
                <w:snapToGrid w:val="0"/>
                <w:sz w:val="24"/>
                <w:szCs w:val="24"/>
              </w:rPr>
            </w:pPr>
            <w:r>
              <w:rPr>
                <w:rFonts w:hint="eastAsia" w:ascii="宋体" w:hAnsi="宋体" w:eastAsia="宋体" w:cs="宋体"/>
                <w:sz w:val="24"/>
                <w:szCs w:val="24"/>
              </w:rPr>
              <w:t>1</w:t>
            </w:r>
          </w:p>
        </w:tc>
        <w:tc>
          <w:tcPr>
            <w:tcW w:w="748" w:type="pct"/>
            <w:vAlign w:val="center"/>
          </w:tcPr>
          <w:p>
            <w:pPr>
              <w:widowControl w:val="0"/>
              <w:jc w:val="center"/>
              <w:rPr>
                <w:rFonts w:ascii="宋体" w:hAnsi="宋体" w:eastAsia="宋体" w:cs="宋体"/>
                <w:snapToGrid w:val="0"/>
                <w:sz w:val="24"/>
                <w:szCs w:val="24"/>
              </w:rPr>
            </w:pPr>
            <w:r>
              <w:rPr>
                <w:rFonts w:ascii="宋体" w:hAnsi="宋体" w:eastAsia="宋体" w:cs="宋体"/>
                <w:snapToGrid w:val="0"/>
                <w:sz w:val="24"/>
                <w:szCs w:val="24"/>
              </w:rPr>
              <w:t>0.05</w:t>
            </w:r>
          </w:p>
        </w:tc>
        <w:tc>
          <w:tcPr>
            <w:tcW w:w="819" w:type="pct"/>
            <w:vAlign w:val="center"/>
          </w:tcPr>
          <w:p>
            <w:pPr>
              <w:widowControl w:val="0"/>
              <w:jc w:val="center"/>
              <w:rPr>
                <w:rFonts w:ascii="宋体" w:hAnsi="宋体" w:eastAsia="宋体" w:cs="宋体"/>
                <w:snapToGrid w:val="0"/>
                <w:sz w:val="24"/>
                <w:szCs w:val="24"/>
              </w:rPr>
            </w:pPr>
            <w:r>
              <w:rPr>
                <w:rFonts w:ascii="宋体" w:hAnsi="宋体" w:eastAsia="宋体" w:cs="宋体"/>
                <w:sz w:val="24"/>
                <w:szCs w:val="24"/>
              </w:rPr>
              <w:t>0.05</w:t>
            </w:r>
          </w:p>
        </w:tc>
        <w:tc>
          <w:tcPr>
            <w:tcW w:w="790" w:type="pct"/>
            <w:vAlign w:val="center"/>
          </w:tcPr>
          <w:p>
            <w:pPr>
              <w:widowControl w:val="0"/>
              <w:jc w:val="center"/>
              <w:rPr>
                <w:rFonts w:ascii="宋体" w:hAnsi="宋体" w:eastAsia="宋体" w:cs="宋体"/>
                <w:snapToGrid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37" w:type="pct"/>
            <w:vAlign w:val="center"/>
          </w:tcPr>
          <w:p>
            <w:pPr>
              <w:widowControl w:val="0"/>
              <w:jc w:val="center"/>
              <w:rPr>
                <w:rFonts w:ascii="宋体" w:hAnsi="宋体" w:eastAsia="宋体" w:cs="宋体"/>
                <w:snapToGrid w:val="0"/>
                <w:sz w:val="24"/>
                <w:szCs w:val="24"/>
              </w:rPr>
            </w:pPr>
            <w:r>
              <w:rPr>
                <w:rFonts w:hint="eastAsia" w:ascii="宋体" w:hAnsi="宋体" w:eastAsia="宋体" w:cs="宋体"/>
                <w:sz w:val="24"/>
                <w:szCs w:val="24"/>
              </w:rPr>
              <w:t>2</w:t>
            </w:r>
          </w:p>
        </w:tc>
        <w:tc>
          <w:tcPr>
            <w:tcW w:w="572" w:type="pct"/>
            <w:vMerge w:val="continue"/>
            <w:vAlign w:val="center"/>
          </w:tcPr>
          <w:p>
            <w:pPr>
              <w:widowControl w:val="0"/>
              <w:jc w:val="center"/>
              <w:rPr>
                <w:rFonts w:ascii="宋体" w:hAnsi="宋体" w:eastAsia="宋体" w:cs="宋体"/>
                <w:snapToGrid w:val="0"/>
                <w:sz w:val="24"/>
                <w:szCs w:val="24"/>
              </w:rPr>
            </w:pPr>
          </w:p>
        </w:tc>
        <w:tc>
          <w:tcPr>
            <w:tcW w:w="903" w:type="pct"/>
            <w:vAlign w:val="center"/>
          </w:tcPr>
          <w:p>
            <w:pPr>
              <w:widowControl w:val="0"/>
              <w:jc w:val="center"/>
              <w:rPr>
                <w:rFonts w:ascii="宋体" w:hAnsi="宋体" w:eastAsia="宋体" w:cs="宋体"/>
                <w:snapToGrid w:val="0"/>
                <w:sz w:val="24"/>
                <w:szCs w:val="24"/>
              </w:rPr>
            </w:pPr>
            <w:r>
              <w:rPr>
                <w:rFonts w:hint="eastAsia" w:ascii="宋体" w:hAnsi="宋体" w:eastAsia="宋体" w:cs="宋体"/>
                <w:sz w:val="24"/>
                <w:szCs w:val="24"/>
              </w:rPr>
              <w:t>氧气</w:t>
            </w:r>
          </w:p>
        </w:tc>
        <w:tc>
          <w:tcPr>
            <w:tcW w:w="731" w:type="pct"/>
            <w:vAlign w:val="center"/>
          </w:tcPr>
          <w:p>
            <w:pPr>
              <w:widowControl w:val="0"/>
              <w:jc w:val="center"/>
              <w:rPr>
                <w:rFonts w:ascii="宋体" w:hAnsi="宋体" w:eastAsia="宋体" w:cs="宋体"/>
                <w:snapToGrid w:val="0"/>
                <w:sz w:val="24"/>
                <w:szCs w:val="24"/>
              </w:rPr>
            </w:pPr>
            <w:r>
              <w:rPr>
                <w:rFonts w:hint="eastAsia" w:ascii="宋体" w:hAnsi="宋体" w:eastAsia="宋体" w:cs="宋体"/>
                <w:sz w:val="24"/>
                <w:szCs w:val="24"/>
              </w:rPr>
              <w:t>200</w:t>
            </w:r>
          </w:p>
        </w:tc>
        <w:tc>
          <w:tcPr>
            <w:tcW w:w="748" w:type="pct"/>
            <w:vAlign w:val="center"/>
          </w:tcPr>
          <w:p>
            <w:pPr>
              <w:widowControl w:val="0"/>
              <w:jc w:val="center"/>
              <w:rPr>
                <w:rFonts w:ascii="宋体" w:hAnsi="宋体" w:eastAsia="宋体" w:cs="宋体"/>
                <w:snapToGrid w:val="0"/>
                <w:sz w:val="24"/>
                <w:szCs w:val="24"/>
              </w:rPr>
            </w:pPr>
            <w:r>
              <w:rPr>
                <w:rFonts w:hint="eastAsia" w:ascii="宋体" w:hAnsi="宋体" w:eastAsia="宋体" w:cs="宋体"/>
                <w:sz w:val="24"/>
                <w:szCs w:val="24"/>
              </w:rPr>
              <w:t>0.1</w:t>
            </w:r>
          </w:p>
        </w:tc>
        <w:tc>
          <w:tcPr>
            <w:tcW w:w="819" w:type="pct"/>
            <w:vAlign w:val="center"/>
          </w:tcPr>
          <w:p>
            <w:pPr>
              <w:widowControl w:val="0"/>
              <w:jc w:val="center"/>
              <w:rPr>
                <w:rFonts w:ascii="宋体" w:hAnsi="宋体" w:eastAsia="宋体" w:cs="宋体"/>
                <w:snapToGrid w:val="0"/>
                <w:sz w:val="24"/>
                <w:szCs w:val="24"/>
              </w:rPr>
            </w:pPr>
            <w:r>
              <w:rPr>
                <w:rFonts w:hint="eastAsia" w:ascii="宋体" w:hAnsi="宋体" w:eastAsia="宋体" w:cs="宋体"/>
                <w:sz w:val="24"/>
                <w:szCs w:val="24"/>
              </w:rPr>
              <w:t>0.0005</w:t>
            </w:r>
          </w:p>
        </w:tc>
        <w:tc>
          <w:tcPr>
            <w:tcW w:w="790" w:type="pct"/>
            <w:vAlign w:val="center"/>
          </w:tcPr>
          <w:p>
            <w:pPr>
              <w:widowControl w:val="0"/>
              <w:jc w:val="center"/>
              <w:rPr>
                <w:rFonts w:ascii="宋体" w:hAnsi="宋体" w:eastAsia="宋体" w:cs="宋体"/>
                <w:snapToGrid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37" w:type="pct"/>
            <w:vAlign w:val="center"/>
          </w:tcPr>
          <w:p>
            <w:pPr>
              <w:widowControl w:val="0"/>
              <w:jc w:val="center"/>
              <w:rPr>
                <w:rFonts w:ascii="宋体" w:hAnsi="宋体" w:eastAsia="宋体" w:cs="宋体"/>
                <w:snapToGrid w:val="0"/>
                <w:sz w:val="24"/>
                <w:szCs w:val="24"/>
              </w:rPr>
            </w:pPr>
            <w:r>
              <w:rPr>
                <w:rFonts w:hint="eastAsia" w:ascii="宋体" w:hAnsi="宋体" w:eastAsia="宋体" w:cs="宋体"/>
                <w:sz w:val="24"/>
                <w:szCs w:val="24"/>
              </w:rPr>
              <w:t>3</w:t>
            </w:r>
          </w:p>
        </w:tc>
        <w:tc>
          <w:tcPr>
            <w:tcW w:w="572" w:type="pct"/>
            <w:vMerge w:val="continue"/>
            <w:vAlign w:val="center"/>
          </w:tcPr>
          <w:p>
            <w:pPr>
              <w:widowControl w:val="0"/>
              <w:jc w:val="center"/>
              <w:rPr>
                <w:rFonts w:ascii="宋体" w:hAnsi="宋体" w:eastAsia="宋体" w:cs="宋体"/>
                <w:snapToGrid w:val="0"/>
                <w:sz w:val="24"/>
                <w:szCs w:val="24"/>
              </w:rPr>
            </w:pPr>
          </w:p>
        </w:tc>
        <w:tc>
          <w:tcPr>
            <w:tcW w:w="903" w:type="pct"/>
            <w:vAlign w:val="center"/>
          </w:tcPr>
          <w:p>
            <w:pPr>
              <w:widowControl w:val="0"/>
              <w:jc w:val="center"/>
              <w:rPr>
                <w:rFonts w:ascii="宋体" w:hAnsi="宋体" w:eastAsia="宋体" w:cs="宋体"/>
                <w:snapToGrid w:val="0"/>
                <w:sz w:val="24"/>
                <w:szCs w:val="24"/>
              </w:rPr>
            </w:pPr>
            <w:r>
              <w:rPr>
                <w:rFonts w:hint="eastAsia" w:ascii="宋体" w:hAnsi="宋体" w:eastAsia="宋体" w:cs="宋体"/>
                <w:sz w:val="24"/>
                <w:szCs w:val="24"/>
              </w:rPr>
              <w:t>液化石油气</w:t>
            </w:r>
          </w:p>
        </w:tc>
        <w:tc>
          <w:tcPr>
            <w:tcW w:w="731" w:type="pct"/>
            <w:vAlign w:val="center"/>
          </w:tcPr>
          <w:p>
            <w:pPr>
              <w:widowControl w:val="0"/>
              <w:jc w:val="center"/>
              <w:rPr>
                <w:rFonts w:ascii="宋体" w:hAnsi="宋体" w:eastAsia="宋体" w:cs="宋体"/>
                <w:snapToGrid w:val="0"/>
                <w:sz w:val="24"/>
                <w:szCs w:val="24"/>
              </w:rPr>
            </w:pPr>
            <w:r>
              <w:rPr>
                <w:rFonts w:hint="eastAsia" w:ascii="宋体" w:hAnsi="宋体" w:eastAsia="宋体" w:cs="宋体"/>
                <w:sz w:val="24"/>
                <w:szCs w:val="24"/>
              </w:rPr>
              <w:t>50</w:t>
            </w:r>
          </w:p>
        </w:tc>
        <w:tc>
          <w:tcPr>
            <w:tcW w:w="748" w:type="pct"/>
            <w:vAlign w:val="center"/>
          </w:tcPr>
          <w:p>
            <w:pPr>
              <w:widowControl w:val="0"/>
              <w:jc w:val="center"/>
              <w:rPr>
                <w:rFonts w:ascii="宋体" w:hAnsi="宋体" w:eastAsia="宋体" w:cs="宋体"/>
                <w:snapToGrid w:val="0"/>
                <w:sz w:val="24"/>
                <w:szCs w:val="24"/>
              </w:rPr>
            </w:pPr>
            <w:r>
              <w:rPr>
                <w:rFonts w:hint="eastAsia" w:ascii="宋体" w:hAnsi="宋体" w:eastAsia="宋体" w:cs="宋体"/>
                <w:sz w:val="24"/>
                <w:szCs w:val="24"/>
              </w:rPr>
              <w:t>0.03</w:t>
            </w:r>
          </w:p>
        </w:tc>
        <w:tc>
          <w:tcPr>
            <w:tcW w:w="819" w:type="pct"/>
            <w:vAlign w:val="center"/>
          </w:tcPr>
          <w:p>
            <w:pPr>
              <w:widowControl w:val="0"/>
              <w:jc w:val="center"/>
              <w:rPr>
                <w:rFonts w:ascii="宋体" w:hAnsi="宋体" w:eastAsia="宋体" w:cs="宋体"/>
                <w:snapToGrid w:val="0"/>
                <w:sz w:val="24"/>
                <w:szCs w:val="24"/>
              </w:rPr>
            </w:pPr>
            <w:r>
              <w:rPr>
                <w:rFonts w:hint="eastAsia" w:ascii="宋体" w:hAnsi="宋体" w:eastAsia="宋体" w:cs="宋体"/>
                <w:sz w:val="24"/>
                <w:szCs w:val="24"/>
              </w:rPr>
              <w:t>0.0006</w:t>
            </w:r>
          </w:p>
        </w:tc>
        <w:tc>
          <w:tcPr>
            <w:tcW w:w="790" w:type="pct"/>
            <w:vAlign w:val="center"/>
          </w:tcPr>
          <w:p>
            <w:pPr>
              <w:widowControl w:val="0"/>
              <w:jc w:val="center"/>
              <w:rPr>
                <w:rFonts w:ascii="宋体" w:hAnsi="宋体" w:eastAsia="宋体" w:cs="宋体"/>
                <w:snapToGrid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37" w:type="pct"/>
            <w:vAlign w:val="center"/>
          </w:tcPr>
          <w:p>
            <w:pPr>
              <w:widowControl w:val="0"/>
              <w:jc w:val="center"/>
              <w:rPr>
                <w:rFonts w:ascii="宋体" w:hAnsi="宋体" w:eastAsia="宋体" w:cs="宋体"/>
                <w:snapToGrid w:val="0"/>
                <w:sz w:val="24"/>
                <w:szCs w:val="24"/>
              </w:rPr>
            </w:pPr>
            <w:r>
              <w:rPr>
                <w:rFonts w:hint="eastAsia" w:ascii="宋体" w:hAnsi="宋体" w:eastAsia="宋体" w:cs="宋体"/>
                <w:sz w:val="24"/>
                <w:szCs w:val="24"/>
              </w:rPr>
              <w:t>4</w:t>
            </w:r>
          </w:p>
        </w:tc>
        <w:tc>
          <w:tcPr>
            <w:tcW w:w="572" w:type="pct"/>
            <w:vAlign w:val="center"/>
          </w:tcPr>
          <w:p>
            <w:pPr>
              <w:widowControl w:val="0"/>
              <w:jc w:val="center"/>
              <w:rPr>
                <w:rFonts w:ascii="宋体" w:hAnsi="宋体" w:eastAsia="宋体" w:cs="宋体"/>
                <w:sz w:val="24"/>
                <w:szCs w:val="24"/>
              </w:rPr>
            </w:pPr>
            <w:r>
              <w:rPr>
                <w:rFonts w:hint="eastAsia" w:ascii="宋体" w:hAnsi="宋体" w:eastAsia="宋体" w:cs="宋体"/>
                <w:sz w:val="24"/>
                <w:szCs w:val="24"/>
              </w:rPr>
              <w:t>易燃</w:t>
            </w:r>
          </w:p>
          <w:p>
            <w:pPr>
              <w:widowControl w:val="0"/>
              <w:jc w:val="center"/>
              <w:rPr>
                <w:rFonts w:ascii="宋体" w:hAnsi="宋体" w:eastAsia="宋体" w:cs="宋体"/>
                <w:snapToGrid w:val="0"/>
                <w:sz w:val="24"/>
                <w:szCs w:val="24"/>
              </w:rPr>
            </w:pPr>
            <w:r>
              <w:rPr>
                <w:rFonts w:hint="eastAsia" w:ascii="宋体" w:hAnsi="宋体" w:eastAsia="宋体" w:cs="宋体"/>
                <w:sz w:val="24"/>
                <w:szCs w:val="24"/>
              </w:rPr>
              <w:t>液体</w:t>
            </w:r>
          </w:p>
        </w:tc>
        <w:tc>
          <w:tcPr>
            <w:tcW w:w="903" w:type="pct"/>
            <w:vAlign w:val="center"/>
          </w:tcPr>
          <w:p>
            <w:pPr>
              <w:widowControl w:val="0"/>
              <w:jc w:val="center"/>
              <w:rPr>
                <w:rFonts w:ascii="宋体" w:hAnsi="宋体" w:eastAsia="宋体" w:cs="宋体"/>
                <w:snapToGrid w:val="0"/>
                <w:sz w:val="24"/>
                <w:szCs w:val="24"/>
              </w:rPr>
            </w:pPr>
            <w:r>
              <w:rPr>
                <w:rFonts w:hint="eastAsia" w:ascii="宋体" w:hAnsi="宋体" w:eastAsia="宋体" w:cs="宋体"/>
                <w:sz w:val="24"/>
                <w:szCs w:val="24"/>
              </w:rPr>
              <w:t>柴油</w:t>
            </w:r>
          </w:p>
        </w:tc>
        <w:tc>
          <w:tcPr>
            <w:tcW w:w="731" w:type="pct"/>
            <w:vAlign w:val="center"/>
          </w:tcPr>
          <w:p>
            <w:pPr>
              <w:widowControl w:val="0"/>
              <w:jc w:val="center"/>
              <w:rPr>
                <w:rFonts w:ascii="宋体" w:hAnsi="宋体" w:eastAsia="宋体" w:cs="宋体"/>
                <w:snapToGrid w:val="0"/>
                <w:sz w:val="24"/>
                <w:szCs w:val="24"/>
              </w:rPr>
            </w:pPr>
            <w:r>
              <w:rPr>
                <w:rFonts w:hint="eastAsia" w:ascii="宋体" w:hAnsi="宋体" w:eastAsia="宋体" w:cs="宋体"/>
                <w:sz w:val="24"/>
                <w:szCs w:val="24"/>
              </w:rPr>
              <w:t>5000</w:t>
            </w:r>
          </w:p>
        </w:tc>
        <w:tc>
          <w:tcPr>
            <w:tcW w:w="748" w:type="pct"/>
            <w:vAlign w:val="center"/>
          </w:tcPr>
          <w:p>
            <w:pPr>
              <w:widowControl w:val="0"/>
              <w:jc w:val="center"/>
              <w:rPr>
                <w:rFonts w:ascii="宋体" w:hAnsi="宋体" w:eastAsia="宋体" w:cs="宋体"/>
                <w:snapToGrid w:val="0"/>
                <w:sz w:val="24"/>
                <w:szCs w:val="24"/>
              </w:rPr>
            </w:pPr>
            <w:r>
              <w:rPr>
                <w:rFonts w:hint="eastAsia" w:ascii="宋体" w:hAnsi="宋体" w:eastAsia="宋体" w:cs="宋体"/>
                <w:sz w:val="24"/>
                <w:szCs w:val="24"/>
              </w:rPr>
              <w:t>0.3</w:t>
            </w:r>
          </w:p>
        </w:tc>
        <w:tc>
          <w:tcPr>
            <w:tcW w:w="819" w:type="pct"/>
            <w:vAlign w:val="center"/>
          </w:tcPr>
          <w:p>
            <w:pPr>
              <w:widowControl w:val="0"/>
              <w:jc w:val="center"/>
              <w:rPr>
                <w:rFonts w:ascii="宋体" w:hAnsi="宋体" w:eastAsia="宋体" w:cs="宋体"/>
                <w:snapToGrid w:val="0"/>
                <w:sz w:val="24"/>
                <w:szCs w:val="24"/>
              </w:rPr>
            </w:pPr>
            <w:r>
              <w:rPr>
                <w:rFonts w:hint="eastAsia" w:ascii="宋体" w:hAnsi="宋体" w:eastAsia="宋体" w:cs="宋体"/>
                <w:sz w:val="24"/>
                <w:szCs w:val="24"/>
              </w:rPr>
              <w:t>0.00006</w:t>
            </w:r>
          </w:p>
        </w:tc>
        <w:tc>
          <w:tcPr>
            <w:tcW w:w="790" w:type="pct"/>
            <w:vAlign w:val="center"/>
          </w:tcPr>
          <w:p>
            <w:pPr>
              <w:widowControl w:val="0"/>
              <w:rPr>
                <w:rFonts w:ascii="宋体" w:hAnsi="宋体" w:eastAsia="宋体" w:cs="宋体"/>
                <w:snapToGrid w:val="0"/>
                <w:sz w:val="24"/>
                <w:szCs w:val="24"/>
              </w:rPr>
            </w:pPr>
            <w:r>
              <w:rPr>
                <w:rFonts w:hint="eastAsia" w:ascii="宋体" w:hAnsi="宋体" w:eastAsia="宋体" w:cs="宋体"/>
                <w:snapToGrid w:val="0"/>
                <w:sz w:val="24"/>
                <w:szCs w:val="24"/>
              </w:rPr>
              <w:t>按特定组管理</w:t>
            </w:r>
          </w:p>
        </w:tc>
      </w:tr>
    </w:tbl>
    <w:p>
      <w:pPr>
        <w:widowControl w:val="0"/>
        <w:spacing w:line="480" w:lineRule="exact"/>
        <w:ind w:firstLine="560" w:firstLineChars="200"/>
        <w:rPr>
          <w:rFonts w:cs="宋体" w:asciiTheme="minorEastAsia" w:hAnsiTheme="minorEastAsia" w:eastAsiaTheme="minorEastAsia"/>
          <w:kern w:val="2"/>
          <w:sz w:val="28"/>
          <w:szCs w:val="28"/>
        </w:rPr>
      </w:pPr>
      <w:r>
        <w:rPr>
          <w:rFonts w:hint="eastAsia" w:cs="宋体" w:asciiTheme="minorEastAsia" w:hAnsiTheme="minorEastAsia" w:eastAsiaTheme="minorEastAsia"/>
          <w:kern w:val="2"/>
          <w:sz w:val="28"/>
          <w:szCs w:val="28"/>
        </w:rPr>
        <w:t>辨识指标计算：</w:t>
      </w:r>
    </w:p>
    <w:p>
      <w:pPr>
        <w:widowControl w:val="0"/>
        <w:spacing w:line="480" w:lineRule="exact"/>
        <w:ind w:firstLine="560" w:firstLineChars="200"/>
        <w:rPr>
          <w:rFonts w:cs="宋体" w:asciiTheme="minorEastAsia" w:hAnsiTheme="minorEastAsia" w:eastAsiaTheme="minorEastAsia"/>
          <w:kern w:val="2"/>
          <w:sz w:val="28"/>
          <w:szCs w:val="28"/>
        </w:rPr>
      </w:pPr>
      <w:r>
        <w:rPr>
          <w:rFonts w:hint="eastAsia" w:cs="宋体" w:asciiTheme="minorEastAsia" w:hAnsiTheme="minorEastAsia" w:eastAsiaTheme="minorEastAsia"/>
          <w:kern w:val="2"/>
          <w:sz w:val="28"/>
          <w:szCs w:val="28"/>
        </w:rPr>
        <w:t>S=</w:t>
      </w:r>
      <w:r>
        <w:rPr>
          <w:rFonts w:hint="eastAsia" w:cs="宋体" w:asciiTheme="minorEastAsia" w:hAnsiTheme="minorEastAsia" w:eastAsiaTheme="minorEastAsia"/>
          <w:sz w:val="28"/>
          <w:szCs w:val="28"/>
        </w:rPr>
        <w:t>0.05+0.0005+0.0006+0.00006</w:t>
      </w:r>
      <w:r>
        <w:rPr>
          <w:rFonts w:hint="eastAsia" w:cs="宋体" w:asciiTheme="minorEastAsia" w:hAnsiTheme="minorEastAsia" w:eastAsiaTheme="minorEastAsia"/>
          <w:kern w:val="2"/>
          <w:sz w:val="28"/>
          <w:szCs w:val="28"/>
        </w:rPr>
        <w:t>=0.05116</w:t>
      </w:r>
    </w:p>
    <w:p>
      <w:pPr>
        <w:widowControl w:val="0"/>
        <w:spacing w:line="480" w:lineRule="exact"/>
        <w:ind w:firstLine="560" w:firstLineChars="200"/>
        <w:rPr>
          <w:rFonts w:cs="宋体" w:asciiTheme="minorEastAsia" w:hAnsiTheme="minorEastAsia" w:eastAsiaTheme="minorEastAsia"/>
          <w:kern w:val="2"/>
          <w:sz w:val="28"/>
          <w:szCs w:val="28"/>
        </w:rPr>
      </w:pPr>
      <w:r>
        <w:rPr>
          <w:rFonts w:hint="eastAsia" w:cs="宋体" w:asciiTheme="minorEastAsia" w:hAnsiTheme="minorEastAsia" w:eastAsiaTheme="minorEastAsia"/>
          <w:kern w:val="2"/>
          <w:sz w:val="28"/>
          <w:szCs w:val="28"/>
        </w:rPr>
        <w:t>3、辨识结果</w:t>
      </w:r>
    </w:p>
    <w:p>
      <w:pPr>
        <w:widowControl w:val="0"/>
        <w:spacing w:line="480" w:lineRule="exact"/>
        <w:ind w:firstLine="560" w:firstLineChars="200"/>
        <w:rPr>
          <w:rFonts w:cs="宋体" w:asciiTheme="minorEastAsia" w:hAnsiTheme="minorEastAsia" w:eastAsiaTheme="minorEastAsia"/>
          <w:kern w:val="2"/>
          <w:sz w:val="28"/>
          <w:szCs w:val="28"/>
        </w:rPr>
      </w:pPr>
      <w:r>
        <w:rPr>
          <w:rFonts w:hint="eastAsia" w:cs="宋体" w:asciiTheme="minorEastAsia" w:hAnsiTheme="minorEastAsia" w:eastAsiaTheme="minorEastAsia"/>
          <w:kern w:val="2"/>
          <w:sz w:val="28"/>
          <w:szCs w:val="28"/>
        </w:rPr>
        <w:t>经计算，S远小于1，某单位某单元施工过程中使用、储存的危险化学品不构成危险化学品重大危险源，按一般危险源采用</w:t>
      </w:r>
      <w:r>
        <w:rPr>
          <w:rFonts w:cs="宋体" w:asciiTheme="minorEastAsia" w:hAnsiTheme="minorEastAsia" w:eastAsiaTheme="minorEastAsia"/>
          <w:kern w:val="2"/>
          <w:sz w:val="28"/>
          <w:szCs w:val="28"/>
        </w:rPr>
        <w:t>LEC法</w:t>
      </w:r>
      <w:r>
        <w:rPr>
          <w:rFonts w:hint="eastAsia" w:cs="宋体" w:asciiTheme="minorEastAsia" w:hAnsiTheme="minorEastAsia" w:eastAsiaTheme="minorEastAsia"/>
          <w:kern w:val="2"/>
          <w:sz w:val="28"/>
          <w:szCs w:val="28"/>
        </w:rPr>
        <w:t>或L</w:t>
      </w:r>
      <w:r>
        <w:rPr>
          <w:rFonts w:cs="宋体" w:asciiTheme="minorEastAsia" w:hAnsiTheme="minorEastAsia" w:eastAsiaTheme="minorEastAsia"/>
          <w:kern w:val="2"/>
          <w:sz w:val="28"/>
          <w:szCs w:val="28"/>
        </w:rPr>
        <w:t>S</w:t>
      </w:r>
      <w:r>
        <w:rPr>
          <w:rFonts w:hint="eastAsia" w:cs="宋体" w:asciiTheme="minorEastAsia" w:hAnsiTheme="minorEastAsia" w:eastAsiaTheme="minorEastAsia"/>
          <w:kern w:val="2"/>
          <w:sz w:val="28"/>
          <w:szCs w:val="28"/>
        </w:rPr>
        <w:t>法</w:t>
      </w:r>
      <w:r>
        <w:rPr>
          <w:rFonts w:cs="宋体" w:asciiTheme="minorEastAsia" w:hAnsiTheme="minorEastAsia" w:eastAsiaTheme="minorEastAsia"/>
          <w:kern w:val="2"/>
          <w:sz w:val="28"/>
          <w:szCs w:val="28"/>
        </w:rPr>
        <w:t>进行风险评价确定其风险等级</w:t>
      </w:r>
      <w:r>
        <w:rPr>
          <w:rFonts w:hint="eastAsia" w:cs="宋体" w:asciiTheme="minorEastAsia" w:hAnsiTheme="minorEastAsia" w:eastAsiaTheme="minorEastAsia"/>
          <w:kern w:val="2"/>
          <w:sz w:val="28"/>
          <w:szCs w:val="28"/>
        </w:rPr>
        <w:t>并汇总在《一般危险源风险评价表》中。</w:t>
      </w:r>
    </w:p>
    <w:p>
      <w:pPr>
        <w:rPr>
          <w:rFonts w:asciiTheme="minorEastAsia" w:hAnsiTheme="minorEastAsia" w:eastAsiaTheme="minorEastAsia"/>
          <w:sz w:val="21"/>
          <w:szCs w:val="21"/>
        </w:rPr>
      </w:pPr>
    </w:p>
    <w:p>
      <w:pPr>
        <w:ind w:firstLine="5244" w:firstLineChars="1873"/>
        <w:jc w:val="center"/>
        <w:rPr>
          <w:rFonts w:cs="宋体" w:asciiTheme="minorEastAsia" w:hAnsiTheme="minorEastAsia" w:eastAsiaTheme="minorEastAsia"/>
          <w:kern w:val="2"/>
          <w:sz w:val="28"/>
          <w:szCs w:val="28"/>
        </w:rPr>
      </w:pPr>
      <w:r>
        <w:rPr>
          <w:rFonts w:hint="eastAsia" w:cs="宋体" w:asciiTheme="minorEastAsia" w:hAnsiTheme="minorEastAsia" w:eastAsiaTheme="minorEastAsia"/>
          <w:kern w:val="2"/>
          <w:sz w:val="28"/>
          <w:szCs w:val="28"/>
        </w:rPr>
        <w:t>某单位</w:t>
      </w:r>
    </w:p>
    <w:p>
      <w:pPr>
        <w:ind w:firstLine="5244" w:firstLineChars="1873"/>
        <w:jc w:val="center"/>
        <w:rPr>
          <w:rFonts w:cs="宋体" w:asciiTheme="minorEastAsia" w:hAnsiTheme="minorEastAsia" w:eastAsiaTheme="minorEastAsia"/>
          <w:kern w:val="2"/>
          <w:sz w:val="28"/>
          <w:szCs w:val="28"/>
        </w:rPr>
        <w:sectPr>
          <w:pgSz w:w="11906" w:h="16838"/>
          <w:pgMar w:top="1440" w:right="1797" w:bottom="1440" w:left="1797" w:header="851" w:footer="992" w:gutter="0"/>
          <w:cols w:space="425" w:num="1"/>
          <w:docGrid w:type="lines" w:linePitch="435" w:charSpace="0"/>
        </w:sectPr>
      </w:pPr>
      <w:r>
        <w:rPr>
          <w:rFonts w:hint="eastAsia" w:cs="宋体" w:asciiTheme="minorEastAsia" w:hAnsiTheme="minorEastAsia" w:eastAsiaTheme="minorEastAsia"/>
          <w:kern w:val="2"/>
          <w:sz w:val="28"/>
          <w:szCs w:val="28"/>
        </w:rPr>
        <w:t xml:space="preserve">年 </w:t>
      </w:r>
      <w:r>
        <w:rPr>
          <w:rFonts w:cs="宋体" w:asciiTheme="minorEastAsia" w:hAnsiTheme="minorEastAsia" w:eastAsiaTheme="minorEastAsia"/>
          <w:kern w:val="2"/>
          <w:sz w:val="28"/>
          <w:szCs w:val="28"/>
        </w:rPr>
        <w:t xml:space="preserve"> </w:t>
      </w:r>
      <w:r>
        <w:rPr>
          <w:rFonts w:hint="eastAsia" w:cs="宋体" w:asciiTheme="minorEastAsia" w:hAnsiTheme="minorEastAsia" w:eastAsiaTheme="minorEastAsia"/>
          <w:kern w:val="2"/>
          <w:sz w:val="28"/>
          <w:szCs w:val="28"/>
        </w:rPr>
        <w:t xml:space="preserve">月 </w:t>
      </w:r>
      <w:r>
        <w:rPr>
          <w:rFonts w:cs="宋体" w:asciiTheme="minorEastAsia" w:hAnsiTheme="minorEastAsia" w:eastAsiaTheme="minorEastAsia"/>
          <w:kern w:val="2"/>
          <w:sz w:val="28"/>
          <w:szCs w:val="28"/>
        </w:rPr>
        <w:t xml:space="preserve"> </w:t>
      </w:r>
      <w:r>
        <w:rPr>
          <w:rFonts w:hint="eastAsia" w:cs="宋体" w:asciiTheme="minorEastAsia" w:hAnsiTheme="minorEastAsia" w:eastAsiaTheme="minorEastAsia"/>
          <w:kern w:val="2"/>
          <w:sz w:val="28"/>
          <w:szCs w:val="28"/>
        </w:rPr>
        <w:t>日</w:t>
      </w:r>
    </w:p>
    <w:p>
      <w:pPr>
        <w:jc w:val="center"/>
        <w:outlineLvl w:val="0"/>
        <w:rPr>
          <w:rFonts w:ascii="方正小标宋_GBK" w:hAnsi="黑体" w:eastAsia="方正小标宋_GBK"/>
          <w:b/>
          <w:bCs/>
          <w:sz w:val="28"/>
          <w:szCs w:val="28"/>
        </w:rPr>
      </w:pPr>
      <w:bookmarkStart w:id="218" w:name="_Toc119336634"/>
      <w:bookmarkStart w:id="219" w:name="_Toc117541352"/>
      <w:r>
        <w:rPr>
          <w:rFonts w:hint="eastAsia" w:ascii="方正小标宋_GBK" w:hAnsi="黑体" w:eastAsia="方正小标宋_GBK"/>
          <w:b/>
          <w:bCs/>
          <w:sz w:val="28"/>
          <w:szCs w:val="28"/>
        </w:rPr>
        <w:t>附录G.2</w:t>
      </w:r>
      <w:bookmarkEnd w:id="218"/>
      <w:bookmarkEnd w:id="219"/>
    </w:p>
    <w:p>
      <w:pPr>
        <w:jc w:val="center"/>
        <w:rPr>
          <w:rFonts w:ascii="方正小标宋_GBK" w:hAnsi="黑体" w:eastAsia="方正小标宋_GBK"/>
          <w:b/>
          <w:bCs/>
          <w:sz w:val="28"/>
          <w:szCs w:val="28"/>
        </w:rPr>
      </w:pPr>
      <w:r>
        <w:rPr>
          <w:rFonts w:hint="eastAsia" w:ascii="方正小标宋_GBK" w:hAnsi="黑体" w:eastAsia="方正小标宋_GBK"/>
          <w:b/>
          <w:bCs/>
          <w:sz w:val="28"/>
          <w:szCs w:val="28"/>
        </w:rPr>
        <w:t>（资料性附录）</w:t>
      </w:r>
    </w:p>
    <w:p>
      <w:pPr>
        <w:jc w:val="center"/>
        <w:rPr>
          <w:rFonts w:ascii="方正小标宋_GBK" w:hAnsi="黑体" w:eastAsia="方正小标宋_GBK"/>
          <w:b/>
          <w:bCs/>
          <w:sz w:val="28"/>
          <w:szCs w:val="28"/>
        </w:rPr>
      </w:pPr>
      <w:r>
        <w:rPr>
          <w:rFonts w:hint="eastAsia" w:ascii="方正小标宋_GBK" w:hAnsi="黑体" w:eastAsia="方正小标宋_GBK"/>
          <w:b/>
          <w:bCs/>
          <w:sz w:val="28"/>
          <w:szCs w:val="28"/>
        </w:rPr>
        <w:t>《重大事故隐患判定结论》（示例）</w:t>
      </w:r>
    </w:p>
    <w:p>
      <w:pPr>
        <w:jc w:val="center"/>
        <w:rPr>
          <w:rFonts w:ascii="方正小标宋_GBK" w:hAnsi="黑体" w:eastAsia="方正小标宋_GBK"/>
          <w:b/>
          <w:bCs/>
          <w:sz w:val="28"/>
          <w:szCs w:val="28"/>
        </w:rPr>
      </w:pPr>
    </w:p>
    <w:p>
      <w:pPr>
        <w:jc w:val="center"/>
        <w:outlineLvl w:val="1"/>
        <w:rPr>
          <w:rFonts w:ascii="方正小标宋_GBK" w:hAnsi="黑体" w:eastAsia="方正小标宋_GBK"/>
          <w:b/>
          <w:bCs/>
          <w:sz w:val="28"/>
          <w:szCs w:val="28"/>
        </w:rPr>
      </w:pPr>
      <w:bookmarkStart w:id="220" w:name="_Toc117541353"/>
      <w:bookmarkStart w:id="221" w:name="_Toc119336635"/>
      <w:r>
        <w:rPr>
          <w:rFonts w:hint="eastAsia" w:ascii="方正小标宋_GBK" w:hAnsi="黑体" w:eastAsia="方正小标宋_GBK"/>
          <w:b/>
          <w:bCs/>
          <w:sz w:val="28"/>
          <w:szCs w:val="28"/>
        </w:rPr>
        <w:t>某单位水利工程运行管理生产安全重大事故隐患判定表</w:t>
      </w:r>
      <w:bookmarkEnd w:id="220"/>
      <w:bookmarkEnd w:id="221"/>
    </w:p>
    <w:p>
      <w:pPr>
        <w:snapToGrid w:val="0"/>
        <w:rPr>
          <w:rFonts w:asciiTheme="minorEastAsia" w:hAnsiTheme="minorEastAsia" w:eastAsiaTheme="minorEastAsia"/>
        </w:rPr>
      </w:pPr>
      <w:r>
        <w:rPr>
          <w:rFonts w:hint="eastAsia" w:asciiTheme="minorEastAsia" w:hAnsiTheme="minorEastAsia" w:eastAsiaTheme="minorEastAsia"/>
        </w:rPr>
        <w:t xml:space="preserve">单位（部门）： </w:t>
      </w:r>
      <w:r>
        <w:rPr>
          <w:rFonts w:asciiTheme="minorEastAsia" w:hAnsiTheme="minorEastAsia" w:eastAsiaTheme="minorEastAsia"/>
        </w:rPr>
        <w:t xml:space="preserve">                                                    </w:t>
      </w:r>
      <w:r>
        <w:rPr>
          <w:rFonts w:hint="eastAsia" w:asciiTheme="minorEastAsia" w:hAnsiTheme="minorEastAsia" w:eastAsiaTheme="minorEastAsia"/>
        </w:rPr>
        <w:t xml:space="preserve">日期： </w:t>
      </w:r>
      <w:r>
        <w:rPr>
          <w:rFonts w:asciiTheme="minorEastAsia" w:hAnsiTheme="minorEastAsia" w:eastAsiaTheme="minorEastAsia"/>
        </w:rPr>
        <w:t xml:space="preserve"> </w:t>
      </w:r>
      <w:r>
        <w:rPr>
          <w:rFonts w:hint="eastAsia" w:asciiTheme="minorEastAsia" w:hAnsiTheme="minorEastAsia" w:eastAsiaTheme="minorEastAsia"/>
        </w:rPr>
        <w:t xml:space="preserve">年 </w:t>
      </w:r>
      <w:r>
        <w:rPr>
          <w:rFonts w:asciiTheme="minorEastAsia" w:hAnsiTheme="minorEastAsia" w:eastAsiaTheme="minorEastAsia"/>
        </w:rPr>
        <w:t xml:space="preserve"> </w:t>
      </w:r>
      <w:r>
        <w:rPr>
          <w:rFonts w:hint="eastAsia" w:asciiTheme="minorEastAsia" w:hAnsiTheme="minorEastAsia" w:eastAsiaTheme="minorEastAsia"/>
        </w:rPr>
        <w:t xml:space="preserve">月 </w:t>
      </w:r>
      <w:r>
        <w:rPr>
          <w:rFonts w:asciiTheme="minorEastAsia" w:hAnsiTheme="minorEastAsia" w:eastAsiaTheme="minorEastAsia"/>
        </w:rPr>
        <w:t xml:space="preserve"> </w:t>
      </w:r>
      <w:r>
        <w:rPr>
          <w:rFonts w:hint="eastAsia" w:asciiTheme="minorEastAsia" w:hAnsiTheme="minorEastAsia" w:eastAsiaTheme="minorEastAsia"/>
        </w:rPr>
        <w:t>日</w:t>
      </w:r>
    </w:p>
    <w:tbl>
      <w:tblPr>
        <w:tblStyle w:val="34"/>
        <w:tblW w:w="14121" w:type="dxa"/>
        <w:tblInd w:w="-173" w:type="dxa"/>
        <w:tblLayout w:type="autofit"/>
        <w:tblCellMar>
          <w:top w:w="0" w:type="dxa"/>
          <w:left w:w="108" w:type="dxa"/>
          <w:bottom w:w="0" w:type="dxa"/>
          <w:right w:w="108" w:type="dxa"/>
        </w:tblCellMar>
      </w:tblPr>
      <w:tblGrid>
        <w:gridCol w:w="782"/>
        <w:gridCol w:w="1232"/>
        <w:gridCol w:w="1146"/>
        <w:gridCol w:w="5401"/>
        <w:gridCol w:w="4507"/>
        <w:gridCol w:w="1053"/>
      </w:tblGrid>
      <w:tr>
        <w:tblPrEx>
          <w:tblCellMar>
            <w:top w:w="0" w:type="dxa"/>
            <w:left w:w="108" w:type="dxa"/>
            <w:bottom w:w="0" w:type="dxa"/>
            <w:right w:w="108" w:type="dxa"/>
          </w:tblCellMar>
        </w:tblPrEx>
        <w:trPr>
          <w:trHeight w:val="20" w:hRule="atLeast"/>
          <w:tblHeader/>
        </w:trPr>
        <w:tc>
          <w:tcPr>
            <w:tcW w:w="782"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textAlignment w:val="center"/>
              <w:rPr>
                <w:rFonts w:cs="黑体" w:asciiTheme="minorEastAsia" w:hAnsiTheme="minorEastAsia" w:eastAsiaTheme="minorEastAsia"/>
                <w:sz w:val="21"/>
                <w:szCs w:val="21"/>
              </w:rPr>
            </w:pPr>
            <w:r>
              <w:rPr>
                <w:rFonts w:hint="eastAsia" w:cs="黑体" w:asciiTheme="minorEastAsia" w:hAnsiTheme="minorEastAsia" w:eastAsiaTheme="minorEastAsia"/>
                <w:sz w:val="21"/>
                <w:szCs w:val="21"/>
                <w:lang w:bidi="ar"/>
              </w:rPr>
              <w:t>序号</w:t>
            </w:r>
          </w:p>
        </w:tc>
        <w:tc>
          <w:tcPr>
            <w:tcW w:w="1232"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textAlignment w:val="center"/>
              <w:rPr>
                <w:rFonts w:cs="黑体" w:asciiTheme="minorEastAsia" w:hAnsiTheme="minorEastAsia" w:eastAsiaTheme="minorEastAsia"/>
                <w:sz w:val="21"/>
                <w:szCs w:val="21"/>
                <w:lang w:bidi="ar"/>
              </w:rPr>
            </w:pPr>
            <w:r>
              <w:rPr>
                <w:rFonts w:hint="eastAsia" w:cs="黑体" w:asciiTheme="minorEastAsia" w:hAnsiTheme="minorEastAsia" w:eastAsiaTheme="minorEastAsia"/>
                <w:sz w:val="21"/>
                <w:szCs w:val="21"/>
                <w:lang w:bidi="ar"/>
              </w:rPr>
              <w:t>管理</w:t>
            </w:r>
          </w:p>
          <w:p>
            <w:pPr>
              <w:adjustRightInd w:val="0"/>
              <w:snapToGrid w:val="0"/>
              <w:jc w:val="center"/>
              <w:textAlignment w:val="center"/>
              <w:rPr>
                <w:rFonts w:cs="黑体" w:asciiTheme="minorEastAsia" w:hAnsiTheme="minorEastAsia" w:eastAsiaTheme="minorEastAsia"/>
                <w:sz w:val="21"/>
                <w:szCs w:val="21"/>
              </w:rPr>
            </w:pPr>
            <w:r>
              <w:rPr>
                <w:rFonts w:hint="eastAsia" w:cs="黑体" w:asciiTheme="minorEastAsia" w:hAnsiTheme="minorEastAsia" w:eastAsiaTheme="minorEastAsia"/>
                <w:sz w:val="21"/>
                <w:szCs w:val="21"/>
                <w:lang w:bidi="ar"/>
              </w:rPr>
              <w:t>对象</w:t>
            </w:r>
          </w:p>
        </w:tc>
        <w:tc>
          <w:tcPr>
            <w:tcW w:w="1146"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textAlignment w:val="center"/>
              <w:rPr>
                <w:rFonts w:cs="黑体" w:asciiTheme="minorEastAsia" w:hAnsiTheme="minorEastAsia" w:eastAsiaTheme="minorEastAsia"/>
                <w:sz w:val="21"/>
                <w:szCs w:val="21"/>
                <w:lang w:bidi="ar"/>
              </w:rPr>
            </w:pPr>
            <w:r>
              <w:rPr>
                <w:rFonts w:hint="eastAsia" w:cs="黑体" w:asciiTheme="minorEastAsia" w:hAnsiTheme="minorEastAsia" w:eastAsiaTheme="minorEastAsia"/>
                <w:sz w:val="21"/>
                <w:szCs w:val="21"/>
                <w:lang w:bidi="ar"/>
              </w:rPr>
              <w:t>隐患</w:t>
            </w:r>
          </w:p>
          <w:p>
            <w:pPr>
              <w:adjustRightInd w:val="0"/>
              <w:snapToGrid w:val="0"/>
              <w:jc w:val="center"/>
              <w:textAlignment w:val="center"/>
              <w:rPr>
                <w:rFonts w:cs="黑体" w:asciiTheme="minorEastAsia" w:hAnsiTheme="minorEastAsia" w:eastAsiaTheme="minorEastAsia"/>
                <w:sz w:val="21"/>
                <w:szCs w:val="21"/>
              </w:rPr>
            </w:pPr>
            <w:r>
              <w:rPr>
                <w:rFonts w:hint="eastAsia" w:cs="黑体" w:asciiTheme="minorEastAsia" w:hAnsiTheme="minorEastAsia" w:eastAsiaTheme="minorEastAsia"/>
                <w:sz w:val="21"/>
                <w:szCs w:val="21"/>
                <w:lang w:bidi="ar"/>
              </w:rPr>
              <w:t>编号</w:t>
            </w:r>
          </w:p>
        </w:tc>
        <w:tc>
          <w:tcPr>
            <w:tcW w:w="5401"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textAlignment w:val="center"/>
              <w:rPr>
                <w:rFonts w:cs="黑体" w:asciiTheme="minorEastAsia" w:hAnsiTheme="minorEastAsia" w:eastAsiaTheme="minorEastAsia"/>
                <w:sz w:val="21"/>
                <w:szCs w:val="21"/>
              </w:rPr>
            </w:pPr>
            <w:r>
              <w:rPr>
                <w:rFonts w:hint="eastAsia" w:cs="黑体" w:asciiTheme="minorEastAsia" w:hAnsiTheme="minorEastAsia" w:eastAsiaTheme="minorEastAsia"/>
                <w:sz w:val="21"/>
                <w:szCs w:val="21"/>
                <w:lang w:bidi="ar"/>
              </w:rPr>
              <w:t>隐患内容</w:t>
            </w:r>
          </w:p>
        </w:tc>
        <w:tc>
          <w:tcPr>
            <w:tcW w:w="4507"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textAlignment w:val="center"/>
              <w:rPr>
                <w:rFonts w:cs="黑体" w:asciiTheme="minorEastAsia" w:hAnsiTheme="minorEastAsia" w:eastAsiaTheme="minorEastAsia"/>
                <w:sz w:val="21"/>
                <w:szCs w:val="21"/>
                <w:lang w:bidi="ar"/>
              </w:rPr>
            </w:pPr>
            <w:r>
              <w:rPr>
                <w:rFonts w:hint="eastAsia" w:cs="黑体" w:asciiTheme="minorEastAsia" w:hAnsiTheme="minorEastAsia" w:eastAsiaTheme="minorEastAsia"/>
                <w:sz w:val="21"/>
                <w:szCs w:val="21"/>
                <w:lang w:bidi="ar"/>
              </w:rPr>
              <w:t>现状检查</w:t>
            </w:r>
          </w:p>
        </w:tc>
        <w:tc>
          <w:tcPr>
            <w:tcW w:w="1053"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textAlignment w:val="center"/>
              <w:rPr>
                <w:rFonts w:cs="黑体" w:asciiTheme="minorEastAsia" w:hAnsiTheme="minorEastAsia" w:eastAsiaTheme="minorEastAsia"/>
                <w:sz w:val="21"/>
                <w:szCs w:val="21"/>
                <w:lang w:bidi="ar"/>
              </w:rPr>
            </w:pPr>
            <w:r>
              <w:rPr>
                <w:rFonts w:hint="eastAsia" w:cs="黑体" w:asciiTheme="minorEastAsia" w:hAnsiTheme="minorEastAsia" w:eastAsiaTheme="minorEastAsia"/>
                <w:sz w:val="21"/>
                <w:szCs w:val="21"/>
                <w:lang w:bidi="ar"/>
              </w:rPr>
              <w:t>判定结论</w:t>
            </w:r>
          </w:p>
        </w:tc>
      </w:tr>
      <w:tr>
        <w:tblPrEx>
          <w:tblCellMar>
            <w:top w:w="0" w:type="dxa"/>
            <w:left w:w="108" w:type="dxa"/>
            <w:bottom w:w="0" w:type="dxa"/>
            <w:right w:w="108" w:type="dxa"/>
          </w:tblCellMar>
        </w:tblPrEx>
        <w:trPr>
          <w:trHeight w:val="20" w:hRule="atLeast"/>
        </w:trPr>
        <w:tc>
          <w:tcPr>
            <w:tcW w:w="782"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textAlignment w:val="center"/>
              <w:rPr>
                <w:rFonts w:cs="仿宋_GB2312" w:asciiTheme="minorEastAsia" w:hAnsiTheme="minorEastAsia" w:eastAsiaTheme="minorEastAsia"/>
                <w:sz w:val="21"/>
                <w:szCs w:val="21"/>
              </w:rPr>
            </w:pPr>
            <w:r>
              <w:rPr>
                <w:rFonts w:hint="eastAsia" w:cs="仿宋_GB2312" w:asciiTheme="minorEastAsia" w:hAnsiTheme="minorEastAsia" w:eastAsiaTheme="minorEastAsia"/>
                <w:sz w:val="21"/>
                <w:szCs w:val="21"/>
                <w:lang w:bidi="ar"/>
              </w:rPr>
              <w:t>1</w:t>
            </w:r>
          </w:p>
        </w:tc>
        <w:tc>
          <w:tcPr>
            <w:tcW w:w="1232" w:type="dxa"/>
            <w:vMerge w:val="restart"/>
            <w:tcBorders>
              <w:top w:val="single" w:color="000000" w:sz="4" w:space="0"/>
              <w:left w:val="single" w:color="000000" w:sz="4" w:space="0"/>
              <w:bottom w:val="nil"/>
              <w:right w:val="single" w:color="000000" w:sz="4" w:space="0"/>
            </w:tcBorders>
            <w:vAlign w:val="center"/>
          </w:tcPr>
          <w:p>
            <w:pPr>
              <w:adjustRightInd w:val="0"/>
              <w:snapToGrid w:val="0"/>
              <w:jc w:val="center"/>
              <w:textAlignment w:val="center"/>
              <w:rPr>
                <w:rFonts w:cs="仿宋_GB2312" w:asciiTheme="minorEastAsia" w:hAnsiTheme="minorEastAsia" w:eastAsiaTheme="minorEastAsia"/>
                <w:sz w:val="21"/>
                <w:szCs w:val="21"/>
              </w:rPr>
            </w:pPr>
            <w:r>
              <w:rPr>
                <w:rFonts w:hint="eastAsia" w:cs="仿宋_GB2312" w:asciiTheme="minorEastAsia" w:hAnsiTheme="minorEastAsia" w:eastAsiaTheme="minorEastAsia"/>
                <w:sz w:val="21"/>
                <w:szCs w:val="21"/>
                <w:lang w:bidi="ar"/>
              </w:rPr>
              <w:t>水利工程通用</w:t>
            </w:r>
          </w:p>
        </w:tc>
        <w:tc>
          <w:tcPr>
            <w:tcW w:w="1146" w:type="dxa"/>
            <w:tcBorders>
              <w:top w:val="single" w:color="000000" w:sz="4" w:space="0"/>
              <w:left w:val="single" w:color="000000" w:sz="4" w:space="0"/>
              <w:bottom w:val="nil"/>
              <w:right w:val="single" w:color="000000" w:sz="4" w:space="0"/>
            </w:tcBorders>
            <w:vAlign w:val="center"/>
          </w:tcPr>
          <w:p>
            <w:pPr>
              <w:adjustRightInd w:val="0"/>
              <w:snapToGrid w:val="0"/>
              <w:jc w:val="center"/>
              <w:textAlignment w:val="center"/>
              <w:rPr>
                <w:rFonts w:cs="仿宋_GB2312" w:asciiTheme="minorEastAsia" w:hAnsiTheme="minorEastAsia" w:eastAsiaTheme="minorEastAsia"/>
                <w:sz w:val="21"/>
                <w:szCs w:val="21"/>
              </w:rPr>
            </w:pPr>
            <w:r>
              <w:rPr>
                <w:rFonts w:hint="eastAsia" w:cs="仿宋_GB2312" w:asciiTheme="minorEastAsia" w:hAnsiTheme="minorEastAsia" w:eastAsiaTheme="minorEastAsia"/>
                <w:sz w:val="21"/>
                <w:szCs w:val="21"/>
                <w:lang w:bidi="ar"/>
              </w:rPr>
              <w:t>SY-T001</w:t>
            </w:r>
          </w:p>
        </w:tc>
        <w:tc>
          <w:tcPr>
            <w:tcW w:w="5401"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left"/>
              <w:textAlignment w:val="center"/>
              <w:rPr>
                <w:rFonts w:cs="仿宋_GB2312" w:asciiTheme="minorEastAsia" w:hAnsiTheme="minorEastAsia" w:eastAsiaTheme="minorEastAsia"/>
                <w:sz w:val="21"/>
                <w:szCs w:val="21"/>
              </w:rPr>
            </w:pPr>
            <w:r>
              <w:rPr>
                <w:rFonts w:hint="eastAsia" w:cs="仿宋_GB2312" w:asciiTheme="minorEastAsia" w:hAnsiTheme="minorEastAsia" w:eastAsiaTheme="minorEastAsia"/>
                <w:sz w:val="21"/>
                <w:szCs w:val="21"/>
                <w:lang w:bidi="ar"/>
              </w:rPr>
              <w:t>有泄洪要求的闸门不能正常启闭；泄水建筑物堵塞，无法正常泄洪；启闭机自动控制系统失效</w:t>
            </w:r>
          </w:p>
        </w:tc>
        <w:tc>
          <w:tcPr>
            <w:tcW w:w="4507"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textAlignment w:val="center"/>
              <w:rPr>
                <w:rFonts w:cs="仿宋_GB2312" w:asciiTheme="minorEastAsia" w:hAnsiTheme="minorEastAsia" w:eastAsiaTheme="minorEastAsia"/>
                <w:sz w:val="21"/>
                <w:szCs w:val="21"/>
                <w:lang w:bidi="ar"/>
              </w:rPr>
            </w:pPr>
            <w:r>
              <w:rPr>
                <w:rFonts w:cs="仿宋_GB2312" w:asciiTheme="minorEastAsia" w:hAnsiTheme="minorEastAsia" w:eastAsiaTheme="minorEastAsia"/>
                <w:sz w:val="21"/>
                <w:szCs w:val="21"/>
                <w:lang w:bidi="ar"/>
              </w:rPr>
              <w:t>1</w:t>
            </w:r>
            <w:r>
              <w:rPr>
                <w:rFonts w:hint="eastAsia" w:cs="仿宋_GB2312" w:asciiTheme="minorEastAsia" w:hAnsiTheme="minorEastAsia" w:eastAsiaTheme="minorEastAsia"/>
                <w:sz w:val="21"/>
                <w:szCs w:val="21"/>
                <w:lang w:bidi="ar"/>
              </w:rPr>
              <w:t>、水电站前池泄水闸门经汛前专项检查及试验，能正常启闭；2、XX溢洪道现场检查，畅通，能正常泄洪；3、X</w:t>
            </w:r>
            <w:r>
              <w:rPr>
                <w:rFonts w:cs="仿宋_GB2312" w:asciiTheme="minorEastAsia" w:hAnsiTheme="minorEastAsia" w:eastAsiaTheme="minorEastAsia"/>
                <w:sz w:val="21"/>
                <w:szCs w:val="21"/>
                <w:lang w:bidi="ar"/>
              </w:rPr>
              <w:t>XX</w:t>
            </w:r>
            <w:r>
              <w:rPr>
                <w:rFonts w:hint="eastAsia" w:cs="仿宋_GB2312" w:asciiTheme="minorEastAsia" w:hAnsiTheme="minorEastAsia" w:eastAsiaTheme="minorEastAsia"/>
                <w:sz w:val="21"/>
                <w:szCs w:val="21"/>
                <w:lang w:bidi="ar"/>
              </w:rPr>
              <w:t>溢洪道共？台启闭机均为现地手动控制，经试验，启闭正常，无失效情况。</w:t>
            </w:r>
          </w:p>
        </w:tc>
        <w:tc>
          <w:tcPr>
            <w:tcW w:w="1053"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textAlignment w:val="center"/>
              <w:rPr>
                <w:rFonts w:cs="仿宋_GB2312" w:asciiTheme="minorEastAsia" w:hAnsiTheme="minorEastAsia" w:eastAsiaTheme="minorEastAsia"/>
                <w:sz w:val="21"/>
                <w:szCs w:val="21"/>
                <w:lang w:bidi="ar"/>
              </w:rPr>
            </w:pPr>
            <w:r>
              <w:rPr>
                <w:rFonts w:hint="eastAsia" w:cs="仿宋_GB2312" w:asciiTheme="minorEastAsia" w:hAnsiTheme="minorEastAsia" w:eastAsiaTheme="minorEastAsia"/>
                <w:sz w:val="21"/>
                <w:szCs w:val="21"/>
                <w:lang w:bidi="ar"/>
              </w:rPr>
              <w:t>不构成重大事故隐患。</w:t>
            </w:r>
          </w:p>
        </w:tc>
      </w:tr>
      <w:tr>
        <w:tblPrEx>
          <w:tblCellMar>
            <w:top w:w="0" w:type="dxa"/>
            <w:left w:w="108" w:type="dxa"/>
            <w:bottom w:w="0" w:type="dxa"/>
            <w:right w:w="108" w:type="dxa"/>
          </w:tblCellMar>
        </w:tblPrEx>
        <w:trPr>
          <w:trHeight w:val="20" w:hRule="atLeast"/>
        </w:trPr>
        <w:tc>
          <w:tcPr>
            <w:tcW w:w="782"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textAlignment w:val="center"/>
              <w:rPr>
                <w:rFonts w:cs="仿宋_GB2312" w:asciiTheme="minorEastAsia" w:hAnsiTheme="minorEastAsia" w:eastAsiaTheme="minorEastAsia"/>
                <w:sz w:val="21"/>
                <w:szCs w:val="21"/>
              </w:rPr>
            </w:pPr>
            <w:r>
              <w:rPr>
                <w:rFonts w:hint="eastAsia" w:cs="仿宋_GB2312" w:asciiTheme="minorEastAsia" w:hAnsiTheme="minorEastAsia" w:eastAsiaTheme="minorEastAsia"/>
                <w:sz w:val="21"/>
                <w:szCs w:val="21"/>
                <w:lang w:bidi="ar"/>
              </w:rPr>
              <w:t>2</w:t>
            </w:r>
          </w:p>
        </w:tc>
        <w:tc>
          <w:tcPr>
            <w:tcW w:w="1232" w:type="dxa"/>
            <w:vMerge w:val="continue"/>
            <w:tcBorders>
              <w:top w:val="single" w:color="000000" w:sz="4" w:space="0"/>
              <w:left w:val="single" w:color="000000" w:sz="4" w:space="0"/>
              <w:bottom w:val="nil"/>
              <w:right w:val="single" w:color="000000" w:sz="4" w:space="0"/>
            </w:tcBorders>
            <w:vAlign w:val="center"/>
          </w:tcPr>
          <w:p>
            <w:pPr>
              <w:adjustRightInd w:val="0"/>
              <w:snapToGrid w:val="0"/>
              <w:jc w:val="center"/>
              <w:rPr>
                <w:rFonts w:cs="仿宋_GB2312" w:asciiTheme="minorEastAsia" w:hAnsiTheme="minorEastAsia" w:eastAsiaTheme="minorEastAsia"/>
                <w:sz w:val="21"/>
                <w:szCs w:val="21"/>
              </w:rPr>
            </w:pPr>
          </w:p>
        </w:tc>
        <w:tc>
          <w:tcPr>
            <w:tcW w:w="1146"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textAlignment w:val="center"/>
              <w:rPr>
                <w:rFonts w:cs="仿宋_GB2312" w:asciiTheme="minorEastAsia" w:hAnsiTheme="minorEastAsia" w:eastAsiaTheme="minorEastAsia"/>
                <w:sz w:val="21"/>
                <w:szCs w:val="21"/>
              </w:rPr>
            </w:pPr>
            <w:r>
              <w:rPr>
                <w:rFonts w:hint="eastAsia" w:cs="仿宋_GB2312" w:asciiTheme="minorEastAsia" w:hAnsiTheme="minorEastAsia" w:eastAsiaTheme="minorEastAsia"/>
                <w:sz w:val="21"/>
                <w:szCs w:val="21"/>
                <w:lang w:bidi="ar"/>
              </w:rPr>
              <w:t>SY-T002</w:t>
            </w:r>
          </w:p>
        </w:tc>
        <w:tc>
          <w:tcPr>
            <w:tcW w:w="5401"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textAlignment w:val="center"/>
              <w:rPr>
                <w:rFonts w:cs="仿宋_GB2312" w:asciiTheme="minorEastAsia" w:hAnsiTheme="minorEastAsia" w:eastAsiaTheme="minorEastAsia"/>
                <w:sz w:val="21"/>
                <w:szCs w:val="21"/>
              </w:rPr>
            </w:pPr>
            <w:r>
              <w:rPr>
                <w:rFonts w:hint="eastAsia" w:cs="仿宋_GB2312" w:asciiTheme="minorEastAsia" w:hAnsiTheme="minorEastAsia" w:eastAsiaTheme="minorEastAsia"/>
                <w:sz w:val="21"/>
                <w:szCs w:val="21"/>
                <w:lang w:bidi="ar"/>
              </w:rPr>
              <w:t>有防洪要求的工程未按照设计和规范设置监测、观测设施或监测、观测设施严重缺失；未开展监测观测</w:t>
            </w:r>
          </w:p>
        </w:tc>
        <w:tc>
          <w:tcPr>
            <w:tcW w:w="4507"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textAlignment w:val="center"/>
              <w:rPr>
                <w:rFonts w:cs="仿宋_GB2312" w:asciiTheme="minorEastAsia" w:hAnsiTheme="minorEastAsia" w:eastAsiaTheme="minorEastAsia"/>
                <w:sz w:val="21"/>
                <w:szCs w:val="21"/>
                <w:lang w:bidi="ar"/>
              </w:rPr>
            </w:pPr>
            <w:r>
              <w:rPr>
                <w:rFonts w:hint="eastAsia" w:cs="仿宋_GB2312" w:asciiTheme="minorEastAsia" w:hAnsiTheme="minorEastAsia" w:eastAsiaTheme="minorEastAsia"/>
                <w:sz w:val="21"/>
                <w:szCs w:val="21"/>
                <w:lang w:bidi="ar"/>
              </w:rPr>
              <w:t>1、X</w:t>
            </w:r>
            <w:r>
              <w:rPr>
                <w:rFonts w:cs="仿宋_GB2312" w:asciiTheme="minorEastAsia" w:hAnsiTheme="minorEastAsia" w:eastAsiaTheme="minorEastAsia"/>
                <w:sz w:val="21"/>
                <w:szCs w:val="21"/>
                <w:lang w:bidi="ar"/>
              </w:rPr>
              <w:t>XX</w:t>
            </w:r>
            <w:r>
              <w:rPr>
                <w:rFonts w:hint="eastAsia" w:cs="仿宋_GB2312" w:asciiTheme="minorEastAsia" w:hAnsiTheme="minorEastAsia" w:eastAsiaTheme="minorEastAsia"/>
                <w:sz w:val="21"/>
                <w:szCs w:val="21"/>
                <w:lang w:bidi="ar"/>
              </w:rPr>
              <w:t>水电站批复的主要功能为发电、供水，按工程安全监测设计在隧洞、前池等部位布置了变形、渗流、压力等监测设施，完好率为9</w:t>
            </w:r>
            <w:r>
              <w:rPr>
                <w:rFonts w:cs="仿宋_GB2312" w:asciiTheme="minorEastAsia" w:hAnsiTheme="minorEastAsia" w:eastAsiaTheme="minorEastAsia"/>
                <w:sz w:val="21"/>
                <w:szCs w:val="21"/>
                <w:lang w:bidi="ar"/>
              </w:rPr>
              <w:t>0%</w:t>
            </w:r>
            <w:r>
              <w:rPr>
                <w:rFonts w:hint="eastAsia" w:cs="仿宋_GB2312" w:asciiTheme="minorEastAsia" w:hAnsiTheme="minorEastAsia" w:eastAsiaTheme="minorEastAsia"/>
                <w:sz w:val="21"/>
                <w:szCs w:val="21"/>
                <w:lang w:bidi="ar"/>
              </w:rPr>
              <w:t>；2、按设计文件要求，隧洞应力、应变？？开展监测，数据处于设计请允许值（？？）范围以内；</w:t>
            </w:r>
          </w:p>
          <w:p>
            <w:pPr>
              <w:adjustRightInd w:val="0"/>
              <w:snapToGrid w:val="0"/>
              <w:textAlignment w:val="center"/>
              <w:rPr>
                <w:rFonts w:cs="仿宋_GB2312" w:asciiTheme="minorEastAsia" w:hAnsiTheme="minorEastAsia" w:eastAsiaTheme="minorEastAsia"/>
                <w:sz w:val="21"/>
                <w:szCs w:val="21"/>
                <w:lang w:bidi="ar"/>
              </w:rPr>
            </w:pPr>
            <w:r>
              <w:rPr>
                <w:rFonts w:hint="eastAsia" w:cs="仿宋_GB2312" w:asciiTheme="minorEastAsia" w:hAnsiTheme="minorEastAsia" w:eastAsiaTheme="minorEastAsia"/>
                <w:sz w:val="21"/>
                <w:szCs w:val="21"/>
                <w:lang w:bidi="ar"/>
              </w:rPr>
              <w:t>严格按《土石坝安全监测技术规范》(SL 551-2012 )、《混凝土坝安全监测技术规范》（SL601-2013 ）及公司《安全监测管理制度》开展安全监测及资料定期整编分析。</w:t>
            </w:r>
          </w:p>
        </w:tc>
        <w:tc>
          <w:tcPr>
            <w:tcW w:w="1053"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textAlignment w:val="center"/>
              <w:rPr>
                <w:rFonts w:cs="仿宋_GB2312" w:asciiTheme="minorEastAsia" w:hAnsiTheme="minorEastAsia" w:eastAsiaTheme="minorEastAsia"/>
                <w:sz w:val="21"/>
                <w:szCs w:val="21"/>
                <w:lang w:bidi="ar"/>
              </w:rPr>
            </w:pPr>
            <w:r>
              <w:rPr>
                <w:rFonts w:hint="eastAsia" w:cs="仿宋_GB2312" w:asciiTheme="minorEastAsia" w:hAnsiTheme="minorEastAsia" w:eastAsiaTheme="minorEastAsia"/>
                <w:sz w:val="21"/>
                <w:szCs w:val="21"/>
                <w:lang w:bidi="ar"/>
              </w:rPr>
              <w:t>不构成重大事故隐患。</w:t>
            </w:r>
          </w:p>
        </w:tc>
      </w:tr>
      <w:tr>
        <w:tblPrEx>
          <w:tblCellMar>
            <w:top w:w="0" w:type="dxa"/>
            <w:left w:w="108" w:type="dxa"/>
            <w:bottom w:w="0" w:type="dxa"/>
            <w:right w:w="108" w:type="dxa"/>
          </w:tblCellMar>
        </w:tblPrEx>
        <w:trPr>
          <w:trHeight w:val="20" w:hRule="atLeast"/>
        </w:trPr>
        <w:tc>
          <w:tcPr>
            <w:tcW w:w="782"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textAlignment w:val="center"/>
              <w:rPr>
                <w:rFonts w:cs="仿宋_GB2312" w:asciiTheme="minorEastAsia" w:hAnsiTheme="minorEastAsia" w:eastAsiaTheme="minorEastAsia"/>
                <w:sz w:val="21"/>
                <w:szCs w:val="21"/>
              </w:rPr>
            </w:pPr>
            <w:r>
              <w:rPr>
                <w:rFonts w:hint="eastAsia" w:cs="仿宋_GB2312" w:asciiTheme="minorEastAsia" w:hAnsiTheme="minorEastAsia" w:eastAsiaTheme="minorEastAsia"/>
                <w:sz w:val="21"/>
                <w:szCs w:val="21"/>
                <w:lang w:bidi="ar"/>
              </w:rPr>
              <w:t>3</w:t>
            </w:r>
          </w:p>
        </w:tc>
        <w:tc>
          <w:tcPr>
            <w:tcW w:w="1232" w:type="dxa"/>
            <w:vMerge w:val="restar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textAlignment w:val="center"/>
              <w:rPr>
                <w:rFonts w:cs="仿宋_GB2312" w:asciiTheme="minorEastAsia" w:hAnsiTheme="minorEastAsia" w:eastAsiaTheme="minorEastAsia"/>
                <w:sz w:val="21"/>
                <w:szCs w:val="21"/>
              </w:rPr>
            </w:pPr>
            <w:r>
              <w:rPr>
                <w:rFonts w:hint="eastAsia" w:cs="仿宋_GB2312" w:asciiTheme="minorEastAsia" w:hAnsiTheme="minorEastAsia" w:eastAsiaTheme="minorEastAsia"/>
                <w:sz w:val="21"/>
                <w:szCs w:val="21"/>
                <w:lang w:bidi="ar"/>
              </w:rPr>
              <w:t>水库大坝工程</w:t>
            </w:r>
          </w:p>
        </w:tc>
        <w:tc>
          <w:tcPr>
            <w:tcW w:w="1146"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textAlignment w:val="center"/>
              <w:rPr>
                <w:rFonts w:cs="仿宋_GB2312" w:asciiTheme="minorEastAsia" w:hAnsiTheme="minorEastAsia" w:eastAsiaTheme="minorEastAsia"/>
                <w:sz w:val="21"/>
                <w:szCs w:val="21"/>
              </w:rPr>
            </w:pPr>
            <w:r>
              <w:rPr>
                <w:rFonts w:hint="eastAsia" w:cs="仿宋_GB2312" w:asciiTheme="minorEastAsia" w:hAnsiTheme="minorEastAsia" w:eastAsiaTheme="minorEastAsia"/>
                <w:sz w:val="21"/>
                <w:szCs w:val="21"/>
                <w:lang w:bidi="ar"/>
              </w:rPr>
              <w:t>SY-K001</w:t>
            </w:r>
          </w:p>
        </w:tc>
        <w:tc>
          <w:tcPr>
            <w:tcW w:w="5401"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textAlignment w:val="center"/>
              <w:rPr>
                <w:rFonts w:cs="仿宋_GB2312" w:asciiTheme="minorEastAsia" w:hAnsiTheme="minorEastAsia" w:eastAsiaTheme="minorEastAsia"/>
                <w:sz w:val="21"/>
                <w:szCs w:val="21"/>
              </w:rPr>
            </w:pPr>
            <w:r>
              <w:rPr>
                <w:rFonts w:hint="eastAsia" w:cs="仿宋_GB2312" w:asciiTheme="minorEastAsia" w:hAnsiTheme="minorEastAsia" w:eastAsiaTheme="minorEastAsia"/>
                <w:sz w:val="21"/>
                <w:szCs w:val="21"/>
                <w:lang w:bidi="ar"/>
              </w:rPr>
              <w:t>大坝安全鉴定为三类坝，未采取有效管控措施</w:t>
            </w:r>
          </w:p>
          <w:p>
            <w:pPr>
              <w:rPr>
                <w:rFonts w:cs="仿宋_GB2312" w:asciiTheme="minorEastAsia" w:hAnsiTheme="minorEastAsia" w:eastAsiaTheme="minorEastAsia"/>
                <w:sz w:val="21"/>
                <w:szCs w:val="21"/>
              </w:rPr>
            </w:pPr>
          </w:p>
          <w:p>
            <w:pPr>
              <w:rPr>
                <w:rFonts w:cs="仿宋_GB2312" w:asciiTheme="minorEastAsia" w:hAnsiTheme="minorEastAsia" w:eastAsiaTheme="minorEastAsia"/>
                <w:sz w:val="21"/>
                <w:szCs w:val="21"/>
              </w:rPr>
            </w:pPr>
          </w:p>
          <w:p>
            <w:pPr>
              <w:rPr>
                <w:rFonts w:cs="仿宋_GB2312" w:asciiTheme="minorEastAsia" w:hAnsiTheme="minorEastAsia" w:eastAsiaTheme="minorEastAsia"/>
                <w:sz w:val="21"/>
                <w:szCs w:val="21"/>
              </w:rPr>
            </w:pPr>
          </w:p>
          <w:p>
            <w:pPr>
              <w:rPr>
                <w:rFonts w:cs="仿宋_GB2312" w:asciiTheme="minorEastAsia" w:hAnsiTheme="minorEastAsia" w:eastAsiaTheme="minorEastAsia"/>
                <w:sz w:val="21"/>
                <w:szCs w:val="21"/>
              </w:rPr>
            </w:pPr>
          </w:p>
        </w:tc>
        <w:tc>
          <w:tcPr>
            <w:tcW w:w="4507"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textAlignment w:val="center"/>
              <w:rPr>
                <w:rFonts w:cs="仿宋_GB2312" w:asciiTheme="minorEastAsia" w:hAnsiTheme="minorEastAsia" w:eastAsiaTheme="minorEastAsia"/>
                <w:sz w:val="21"/>
                <w:szCs w:val="21"/>
                <w:lang w:bidi="ar"/>
              </w:rPr>
            </w:pPr>
            <w:r>
              <w:rPr>
                <w:rFonts w:hint="eastAsia" w:cs="仿宋_GB2312" w:asciiTheme="minorEastAsia" w:hAnsiTheme="minorEastAsia" w:eastAsiaTheme="minorEastAsia"/>
                <w:sz w:val="21"/>
                <w:szCs w:val="21"/>
                <w:lang w:bidi="ar"/>
              </w:rPr>
              <w:t>X</w:t>
            </w:r>
            <w:r>
              <w:rPr>
                <w:rFonts w:cs="仿宋_GB2312" w:asciiTheme="minorEastAsia" w:hAnsiTheme="minorEastAsia" w:eastAsiaTheme="minorEastAsia"/>
                <w:sz w:val="21"/>
                <w:szCs w:val="21"/>
                <w:lang w:bidi="ar"/>
              </w:rPr>
              <w:t>XX</w:t>
            </w:r>
            <w:r>
              <w:rPr>
                <w:rFonts w:hint="eastAsia" w:cs="仿宋_GB2312" w:asciiTheme="minorEastAsia" w:hAnsiTheme="minorEastAsia" w:eastAsiaTheme="minorEastAsia"/>
                <w:sz w:val="21"/>
                <w:szCs w:val="21"/>
                <w:lang w:bidi="ar"/>
              </w:rPr>
              <w:t>水库于2</w:t>
            </w:r>
            <w:r>
              <w:rPr>
                <w:rFonts w:cs="仿宋_GB2312" w:asciiTheme="minorEastAsia" w:hAnsiTheme="minorEastAsia" w:eastAsiaTheme="minorEastAsia"/>
                <w:sz w:val="21"/>
                <w:szCs w:val="21"/>
                <w:lang w:bidi="ar"/>
              </w:rPr>
              <w:t>021</w:t>
            </w:r>
            <w:r>
              <w:rPr>
                <w:rFonts w:hint="eastAsia" w:cs="仿宋_GB2312" w:asciiTheme="minorEastAsia" w:hAnsiTheme="minorEastAsia" w:eastAsiaTheme="minorEastAsia"/>
                <w:sz w:val="21"/>
                <w:szCs w:val="21"/>
                <w:lang w:bidi="ar"/>
              </w:rPr>
              <w:t>年下闸蓄水，下闸蓄水通过了安全鉴定，鉴定结论为“？”，按《水库大坝安全鉴定管理办法》（水建管〔2003〕271号）为竣工验收后5年内开展首次安全鉴定，目前无异常。</w:t>
            </w:r>
          </w:p>
        </w:tc>
        <w:tc>
          <w:tcPr>
            <w:tcW w:w="1053"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textAlignment w:val="center"/>
              <w:rPr>
                <w:rFonts w:cs="仿宋_GB2312" w:asciiTheme="minorEastAsia" w:hAnsiTheme="minorEastAsia" w:eastAsiaTheme="minorEastAsia"/>
                <w:sz w:val="21"/>
                <w:szCs w:val="21"/>
                <w:lang w:bidi="ar"/>
              </w:rPr>
            </w:pPr>
            <w:r>
              <w:rPr>
                <w:rFonts w:hint="eastAsia" w:cs="仿宋_GB2312" w:asciiTheme="minorEastAsia" w:hAnsiTheme="minorEastAsia" w:eastAsiaTheme="minorEastAsia"/>
                <w:sz w:val="21"/>
                <w:szCs w:val="21"/>
                <w:lang w:bidi="ar"/>
              </w:rPr>
              <w:t>不构成重大事故隐患。</w:t>
            </w:r>
          </w:p>
        </w:tc>
      </w:tr>
      <w:tr>
        <w:tblPrEx>
          <w:tblCellMar>
            <w:top w:w="0" w:type="dxa"/>
            <w:left w:w="108" w:type="dxa"/>
            <w:bottom w:w="0" w:type="dxa"/>
            <w:right w:w="108" w:type="dxa"/>
          </w:tblCellMar>
        </w:tblPrEx>
        <w:trPr>
          <w:trHeight w:val="20" w:hRule="atLeast"/>
        </w:trPr>
        <w:tc>
          <w:tcPr>
            <w:tcW w:w="782"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textAlignment w:val="center"/>
              <w:rPr>
                <w:rFonts w:cs="仿宋_GB2312" w:asciiTheme="minorEastAsia" w:hAnsiTheme="minorEastAsia" w:eastAsiaTheme="minorEastAsia"/>
                <w:sz w:val="21"/>
                <w:szCs w:val="21"/>
              </w:rPr>
            </w:pPr>
            <w:r>
              <w:rPr>
                <w:rFonts w:hint="eastAsia" w:cs="仿宋_GB2312" w:asciiTheme="minorEastAsia" w:hAnsiTheme="minorEastAsia" w:eastAsiaTheme="minorEastAsia"/>
                <w:sz w:val="21"/>
                <w:szCs w:val="21"/>
                <w:lang w:bidi="ar"/>
              </w:rPr>
              <w:t>4</w:t>
            </w:r>
          </w:p>
        </w:tc>
        <w:tc>
          <w:tcPr>
            <w:tcW w:w="1232" w:type="dxa"/>
            <w:vMerge w:val="continue"/>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cs="仿宋_GB2312" w:asciiTheme="minorEastAsia" w:hAnsiTheme="minorEastAsia" w:eastAsiaTheme="minorEastAsia"/>
                <w:sz w:val="21"/>
                <w:szCs w:val="21"/>
              </w:rPr>
            </w:pPr>
          </w:p>
        </w:tc>
        <w:tc>
          <w:tcPr>
            <w:tcW w:w="1146"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textAlignment w:val="center"/>
              <w:rPr>
                <w:rFonts w:cs="仿宋_GB2312" w:asciiTheme="minorEastAsia" w:hAnsiTheme="minorEastAsia" w:eastAsiaTheme="minorEastAsia"/>
                <w:sz w:val="21"/>
                <w:szCs w:val="21"/>
              </w:rPr>
            </w:pPr>
            <w:r>
              <w:rPr>
                <w:rFonts w:hint="eastAsia" w:cs="仿宋_GB2312" w:asciiTheme="minorEastAsia" w:hAnsiTheme="minorEastAsia" w:eastAsiaTheme="minorEastAsia"/>
                <w:sz w:val="21"/>
                <w:szCs w:val="21"/>
                <w:lang w:bidi="ar"/>
              </w:rPr>
              <w:t>SY-K002</w:t>
            </w:r>
          </w:p>
        </w:tc>
        <w:tc>
          <w:tcPr>
            <w:tcW w:w="5401"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textAlignment w:val="center"/>
              <w:rPr>
                <w:rFonts w:cs="仿宋_GB2312" w:asciiTheme="minorEastAsia" w:hAnsiTheme="minorEastAsia" w:eastAsiaTheme="minorEastAsia"/>
                <w:sz w:val="21"/>
                <w:szCs w:val="21"/>
              </w:rPr>
            </w:pPr>
            <w:r>
              <w:rPr>
                <w:rFonts w:hint="eastAsia" w:cs="仿宋_GB2312" w:asciiTheme="minorEastAsia" w:hAnsiTheme="minorEastAsia" w:eastAsiaTheme="minorEastAsia"/>
                <w:sz w:val="21"/>
                <w:szCs w:val="21"/>
                <w:lang w:bidi="ar"/>
              </w:rPr>
              <w:t>大</w:t>
            </w:r>
            <w:r>
              <w:rPr>
                <w:rFonts w:cs="仿宋_GB2312" w:asciiTheme="minorEastAsia" w:hAnsiTheme="minorEastAsia" w:eastAsiaTheme="minorEastAsia"/>
                <w:sz w:val="21"/>
                <w:szCs w:val="21"/>
                <w:lang w:bidi="ar"/>
              </w:rPr>
              <w:t>坝防渗和反滤排水设施存在严重缺陷；大坝渗流压力与渗流量变化异常；坝基扬压力明显高于设计值，复核抗滑安全系数不满足规范要求；运行中已出现流土、漏洞、管涌、接触渗漏等严重渗流异常现象；大坝超高不满足规范要求；水库泄洪能力不满足规范要求；水库防洪能力不足</w:t>
            </w:r>
          </w:p>
        </w:tc>
        <w:tc>
          <w:tcPr>
            <w:tcW w:w="4507"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textAlignment w:val="center"/>
              <w:rPr>
                <w:rFonts w:cs="仿宋_GB2312" w:asciiTheme="minorEastAsia" w:hAnsiTheme="minorEastAsia" w:eastAsiaTheme="minorEastAsia"/>
                <w:sz w:val="21"/>
                <w:szCs w:val="21"/>
                <w:lang w:bidi="ar"/>
              </w:rPr>
            </w:pPr>
            <w:r>
              <w:rPr>
                <w:rFonts w:hint="eastAsia" w:cs="仿宋_GB2312" w:asciiTheme="minorEastAsia" w:hAnsiTheme="minorEastAsia" w:eastAsiaTheme="minorEastAsia"/>
                <w:sz w:val="21"/>
                <w:szCs w:val="21"/>
                <w:lang w:bidi="ar"/>
              </w:rPr>
              <w:t>1、通过日常检查，大</w:t>
            </w:r>
            <w:r>
              <w:rPr>
                <w:rFonts w:cs="仿宋_GB2312" w:asciiTheme="minorEastAsia" w:hAnsiTheme="minorEastAsia" w:eastAsiaTheme="minorEastAsia"/>
                <w:sz w:val="21"/>
                <w:szCs w:val="21"/>
                <w:lang w:bidi="ar"/>
              </w:rPr>
              <w:t>坝防渗和反滤排水设施无异常；2</w:t>
            </w:r>
            <w:r>
              <w:rPr>
                <w:rFonts w:cs="仿宋_GB2312" w:asciiTheme="minorEastAsia" w:hAnsiTheme="minorEastAsia" w:eastAsiaTheme="minorEastAsia"/>
                <w:sz w:val="21"/>
                <w:szCs w:val="21"/>
              </w:rPr>
              <w:t>、通过安全监测数据分析，</w:t>
            </w:r>
            <w:r>
              <w:rPr>
                <w:rFonts w:cs="仿宋_GB2312" w:asciiTheme="minorEastAsia" w:hAnsiTheme="minorEastAsia" w:eastAsiaTheme="minorEastAsia"/>
                <w:sz w:val="21"/>
                <w:szCs w:val="21"/>
                <w:lang w:bidi="ar"/>
              </w:rPr>
              <w:t>大坝渗流压力与渗流量变化无异常；3</w:t>
            </w:r>
            <w:r>
              <w:rPr>
                <w:rFonts w:cs="仿宋_GB2312" w:asciiTheme="minorEastAsia" w:hAnsiTheme="minorEastAsia" w:eastAsiaTheme="minorEastAsia"/>
                <w:sz w:val="21"/>
                <w:szCs w:val="21"/>
              </w:rPr>
              <w:t>、通过安全监测数据分析，</w:t>
            </w:r>
            <w:r>
              <w:rPr>
                <w:rFonts w:cs="仿宋_GB2312" w:asciiTheme="minorEastAsia" w:hAnsiTheme="minorEastAsia" w:eastAsiaTheme="minorEastAsia"/>
                <w:sz w:val="21"/>
                <w:szCs w:val="21"/>
                <w:lang w:bidi="ar"/>
              </w:rPr>
              <w:t>坝基扬压力为？，低于设计值？，</w:t>
            </w:r>
            <w:r>
              <w:rPr>
                <w:rFonts w:hint="eastAsia" w:cs="仿宋_GB2312" w:asciiTheme="minorEastAsia" w:hAnsiTheme="minorEastAsia" w:eastAsiaTheme="minorEastAsia"/>
                <w:sz w:val="21"/>
                <w:szCs w:val="21"/>
                <w:lang w:bidi="ar"/>
              </w:rPr>
              <w:t>下闸蓄水安全鉴定报告中显示</w:t>
            </w:r>
            <w:r>
              <w:rPr>
                <w:rFonts w:cs="仿宋_GB2312" w:asciiTheme="minorEastAsia" w:hAnsiTheme="minorEastAsia" w:eastAsiaTheme="minorEastAsia"/>
                <w:sz w:val="21"/>
                <w:szCs w:val="21"/>
                <w:lang w:bidi="ar"/>
              </w:rPr>
              <w:t>抗滑安全系数？？，满足规范要求；4</w:t>
            </w:r>
            <w:r>
              <w:rPr>
                <w:rFonts w:cs="仿宋_GB2312" w:asciiTheme="minorEastAsia" w:hAnsiTheme="minorEastAsia" w:eastAsiaTheme="minorEastAsia"/>
                <w:sz w:val="21"/>
                <w:szCs w:val="21"/>
              </w:rPr>
              <w:t>、通过日常检查，</w:t>
            </w:r>
            <w:r>
              <w:rPr>
                <w:rFonts w:cs="仿宋_GB2312" w:asciiTheme="minorEastAsia" w:hAnsiTheme="minorEastAsia" w:eastAsiaTheme="minorEastAsia"/>
                <w:sz w:val="21"/>
                <w:szCs w:val="21"/>
                <w:lang w:bidi="ar"/>
              </w:rPr>
              <w:t>运行中无流土、漏洞、管涌、接触渗漏等严重渗流异常现象；5</w:t>
            </w:r>
            <w:r>
              <w:rPr>
                <w:rFonts w:cs="仿宋_GB2312" w:asciiTheme="minorEastAsia" w:hAnsiTheme="minorEastAsia" w:eastAsiaTheme="minorEastAsia"/>
                <w:sz w:val="21"/>
                <w:szCs w:val="21"/>
              </w:rPr>
              <w:t>、</w:t>
            </w:r>
            <w:r>
              <w:rPr>
                <w:rFonts w:cs="仿宋_GB2312" w:asciiTheme="minorEastAsia" w:hAnsiTheme="minorEastAsia" w:eastAsiaTheme="minorEastAsia"/>
                <w:sz w:val="21"/>
                <w:szCs w:val="21"/>
                <w:lang w:bidi="ar"/>
              </w:rPr>
              <w:t>大坝超高为？，设计？，满足规范及设计要求；6</w:t>
            </w:r>
            <w:r>
              <w:rPr>
                <w:rFonts w:cs="仿宋_GB2312" w:asciiTheme="minorEastAsia" w:hAnsiTheme="minorEastAsia" w:eastAsiaTheme="minorEastAsia"/>
                <w:sz w:val="21"/>
                <w:szCs w:val="21"/>
              </w:rPr>
              <w:t>、</w:t>
            </w:r>
            <w:r>
              <w:rPr>
                <w:rFonts w:hint="eastAsia" w:cs="仿宋_GB2312" w:asciiTheme="minorEastAsia" w:hAnsiTheme="minorEastAsia" w:eastAsiaTheme="minorEastAsia"/>
                <w:sz w:val="21"/>
                <w:szCs w:val="21"/>
                <w:lang w:bidi="ar"/>
              </w:rPr>
              <w:t>下闸蓄水安全鉴定报告中对</w:t>
            </w:r>
            <w:r>
              <w:rPr>
                <w:rFonts w:cs="仿宋_GB2312" w:asciiTheme="minorEastAsia" w:hAnsiTheme="minorEastAsia" w:eastAsiaTheme="minorEastAsia"/>
                <w:sz w:val="21"/>
                <w:szCs w:val="21"/>
                <w:lang w:bidi="ar"/>
              </w:rPr>
              <w:t>水库泄洪能力复核，结论为“？”，满足规范要求；7</w:t>
            </w:r>
            <w:r>
              <w:rPr>
                <w:rFonts w:cs="仿宋_GB2312" w:asciiTheme="minorEastAsia" w:hAnsiTheme="minorEastAsia" w:eastAsiaTheme="minorEastAsia"/>
                <w:sz w:val="21"/>
                <w:szCs w:val="21"/>
              </w:rPr>
              <w:t>、</w:t>
            </w:r>
            <w:r>
              <w:rPr>
                <w:rFonts w:hint="eastAsia" w:cs="仿宋_GB2312" w:asciiTheme="minorEastAsia" w:hAnsiTheme="minorEastAsia" w:eastAsiaTheme="minorEastAsia"/>
                <w:sz w:val="21"/>
                <w:szCs w:val="21"/>
                <w:lang w:bidi="ar"/>
              </w:rPr>
              <w:t>下闸蓄水安全鉴定报告中对</w:t>
            </w:r>
            <w:r>
              <w:rPr>
                <w:rFonts w:cs="仿宋_GB2312" w:asciiTheme="minorEastAsia" w:hAnsiTheme="minorEastAsia" w:eastAsiaTheme="minorEastAsia"/>
                <w:sz w:val="21"/>
                <w:szCs w:val="21"/>
                <w:lang w:bidi="ar"/>
              </w:rPr>
              <w:t>水库防洪能力进行校核，结论为“？”，满足设计防洪能力。</w:t>
            </w:r>
          </w:p>
        </w:tc>
        <w:tc>
          <w:tcPr>
            <w:tcW w:w="1053"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textAlignment w:val="center"/>
              <w:rPr>
                <w:rFonts w:cs="仿宋_GB2312" w:asciiTheme="minorEastAsia" w:hAnsiTheme="minorEastAsia" w:eastAsiaTheme="minorEastAsia"/>
                <w:sz w:val="21"/>
                <w:szCs w:val="21"/>
                <w:lang w:bidi="ar"/>
              </w:rPr>
            </w:pPr>
            <w:r>
              <w:rPr>
                <w:rFonts w:hint="eastAsia" w:cs="仿宋_GB2312" w:asciiTheme="minorEastAsia" w:hAnsiTheme="minorEastAsia" w:eastAsiaTheme="minorEastAsia"/>
                <w:sz w:val="21"/>
                <w:szCs w:val="21"/>
                <w:lang w:bidi="ar"/>
              </w:rPr>
              <w:t>不构成重大事故隐患。</w:t>
            </w:r>
          </w:p>
        </w:tc>
      </w:tr>
      <w:tr>
        <w:tblPrEx>
          <w:tblCellMar>
            <w:top w:w="0" w:type="dxa"/>
            <w:left w:w="108" w:type="dxa"/>
            <w:bottom w:w="0" w:type="dxa"/>
            <w:right w:w="108" w:type="dxa"/>
          </w:tblCellMar>
        </w:tblPrEx>
        <w:trPr>
          <w:trHeight w:val="20" w:hRule="atLeast"/>
        </w:trPr>
        <w:tc>
          <w:tcPr>
            <w:tcW w:w="782"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textAlignment w:val="center"/>
              <w:rPr>
                <w:rFonts w:cs="仿宋_GB2312" w:asciiTheme="minorEastAsia" w:hAnsiTheme="minorEastAsia" w:eastAsiaTheme="minorEastAsia"/>
                <w:sz w:val="21"/>
                <w:szCs w:val="21"/>
              </w:rPr>
            </w:pPr>
            <w:r>
              <w:rPr>
                <w:rFonts w:hint="eastAsia" w:cs="仿宋_GB2312" w:asciiTheme="minorEastAsia" w:hAnsiTheme="minorEastAsia" w:eastAsiaTheme="minorEastAsia"/>
                <w:sz w:val="21"/>
                <w:szCs w:val="21"/>
                <w:lang w:bidi="ar"/>
              </w:rPr>
              <w:t>5</w:t>
            </w:r>
          </w:p>
        </w:tc>
        <w:tc>
          <w:tcPr>
            <w:tcW w:w="1232" w:type="dxa"/>
            <w:vMerge w:val="continue"/>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cs="仿宋_GB2312" w:asciiTheme="minorEastAsia" w:hAnsiTheme="minorEastAsia" w:eastAsiaTheme="minorEastAsia"/>
                <w:sz w:val="21"/>
                <w:szCs w:val="21"/>
              </w:rPr>
            </w:pPr>
          </w:p>
        </w:tc>
        <w:tc>
          <w:tcPr>
            <w:tcW w:w="1146"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textAlignment w:val="center"/>
              <w:rPr>
                <w:rFonts w:cs="仿宋_GB2312" w:asciiTheme="minorEastAsia" w:hAnsiTheme="minorEastAsia" w:eastAsiaTheme="minorEastAsia"/>
                <w:sz w:val="21"/>
                <w:szCs w:val="21"/>
              </w:rPr>
            </w:pPr>
            <w:r>
              <w:rPr>
                <w:rFonts w:hint="eastAsia" w:cs="仿宋_GB2312" w:asciiTheme="minorEastAsia" w:hAnsiTheme="minorEastAsia" w:eastAsiaTheme="minorEastAsia"/>
                <w:sz w:val="21"/>
                <w:szCs w:val="21"/>
                <w:lang w:bidi="ar"/>
              </w:rPr>
              <w:t>SY-K003</w:t>
            </w:r>
          </w:p>
        </w:tc>
        <w:tc>
          <w:tcPr>
            <w:tcW w:w="5401"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textAlignment w:val="center"/>
              <w:rPr>
                <w:rFonts w:cs="仿宋_GB2312" w:asciiTheme="minorEastAsia" w:hAnsiTheme="minorEastAsia" w:eastAsiaTheme="minorEastAsia"/>
                <w:sz w:val="21"/>
                <w:szCs w:val="21"/>
              </w:rPr>
            </w:pPr>
            <w:r>
              <w:rPr>
                <w:rFonts w:hint="eastAsia" w:cs="仿宋_GB2312" w:asciiTheme="minorEastAsia" w:hAnsiTheme="minorEastAsia" w:eastAsiaTheme="minorEastAsia"/>
                <w:sz w:val="21"/>
                <w:szCs w:val="21"/>
                <w:lang w:bidi="ar"/>
              </w:rPr>
              <w:t>大坝及泄水、输水等建筑物的强度、稳定、泄流安全不满足规范要求，存在危及工程安全的异常变形或近坝岸坡不稳定</w:t>
            </w:r>
          </w:p>
        </w:tc>
        <w:tc>
          <w:tcPr>
            <w:tcW w:w="4507"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textAlignment w:val="center"/>
              <w:rPr>
                <w:rFonts w:cs="仿宋_GB2312" w:asciiTheme="minorEastAsia" w:hAnsiTheme="minorEastAsia" w:eastAsiaTheme="minorEastAsia"/>
                <w:sz w:val="21"/>
                <w:szCs w:val="21"/>
                <w:lang w:bidi="ar"/>
              </w:rPr>
            </w:pPr>
            <w:r>
              <w:rPr>
                <w:rFonts w:hint="eastAsia" w:cs="仿宋_GB2312" w:asciiTheme="minorEastAsia" w:hAnsiTheme="minorEastAsia" w:eastAsiaTheme="minorEastAsia"/>
                <w:sz w:val="21"/>
                <w:szCs w:val="21"/>
                <w:lang w:bidi="ar"/>
              </w:rPr>
              <w:t>隧洞按施工图纸完工，经？？分部工程验收，验收结论为“优”；压力钢管：</w:t>
            </w:r>
          </w:p>
        </w:tc>
        <w:tc>
          <w:tcPr>
            <w:tcW w:w="1053"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textAlignment w:val="center"/>
              <w:rPr>
                <w:rFonts w:cs="仿宋_GB2312" w:asciiTheme="minorEastAsia" w:hAnsiTheme="minorEastAsia" w:eastAsiaTheme="minorEastAsia"/>
                <w:sz w:val="21"/>
                <w:szCs w:val="21"/>
                <w:lang w:bidi="ar"/>
              </w:rPr>
            </w:pPr>
          </w:p>
        </w:tc>
      </w:tr>
      <w:tr>
        <w:tblPrEx>
          <w:tblCellMar>
            <w:top w:w="0" w:type="dxa"/>
            <w:left w:w="108" w:type="dxa"/>
            <w:bottom w:w="0" w:type="dxa"/>
            <w:right w:w="108" w:type="dxa"/>
          </w:tblCellMar>
        </w:tblPrEx>
        <w:trPr>
          <w:trHeight w:val="20" w:hRule="atLeast"/>
        </w:trPr>
        <w:tc>
          <w:tcPr>
            <w:tcW w:w="782"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textAlignment w:val="center"/>
              <w:rPr>
                <w:rFonts w:cs="仿宋_GB2312" w:asciiTheme="minorEastAsia" w:hAnsiTheme="minorEastAsia" w:eastAsiaTheme="minorEastAsia"/>
                <w:sz w:val="21"/>
                <w:szCs w:val="21"/>
              </w:rPr>
            </w:pPr>
            <w:r>
              <w:rPr>
                <w:rFonts w:hint="eastAsia" w:cs="仿宋_GB2312" w:asciiTheme="minorEastAsia" w:hAnsiTheme="minorEastAsia" w:eastAsiaTheme="minorEastAsia"/>
                <w:sz w:val="21"/>
                <w:szCs w:val="21"/>
                <w:lang w:bidi="ar"/>
              </w:rPr>
              <w:t>6</w:t>
            </w:r>
          </w:p>
        </w:tc>
        <w:tc>
          <w:tcPr>
            <w:tcW w:w="1232" w:type="dxa"/>
            <w:vMerge w:val="continue"/>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cs="仿宋_GB2312" w:asciiTheme="minorEastAsia" w:hAnsiTheme="minorEastAsia" w:eastAsiaTheme="minorEastAsia"/>
                <w:sz w:val="21"/>
                <w:szCs w:val="21"/>
              </w:rPr>
            </w:pPr>
          </w:p>
        </w:tc>
        <w:tc>
          <w:tcPr>
            <w:tcW w:w="1146"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textAlignment w:val="center"/>
              <w:rPr>
                <w:rFonts w:cs="仿宋_GB2312" w:asciiTheme="minorEastAsia" w:hAnsiTheme="minorEastAsia" w:eastAsiaTheme="minorEastAsia"/>
                <w:sz w:val="21"/>
                <w:szCs w:val="21"/>
              </w:rPr>
            </w:pPr>
            <w:r>
              <w:rPr>
                <w:rFonts w:hint="eastAsia" w:cs="仿宋_GB2312" w:asciiTheme="minorEastAsia" w:hAnsiTheme="minorEastAsia" w:eastAsiaTheme="minorEastAsia"/>
                <w:sz w:val="21"/>
                <w:szCs w:val="21"/>
                <w:lang w:bidi="ar"/>
              </w:rPr>
              <w:t>SY-K004</w:t>
            </w:r>
          </w:p>
        </w:tc>
        <w:tc>
          <w:tcPr>
            <w:tcW w:w="5401"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textAlignment w:val="center"/>
              <w:rPr>
                <w:rFonts w:cs="仿宋_GB2312" w:asciiTheme="minorEastAsia" w:hAnsiTheme="minorEastAsia" w:eastAsiaTheme="minorEastAsia"/>
                <w:sz w:val="21"/>
                <w:szCs w:val="21"/>
              </w:rPr>
            </w:pPr>
            <w:r>
              <w:rPr>
                <w:rFonts w:hint="eastAsia" w:cs="仿宋_GB2312" w:asciiTheme="minorEastAsia" w:hAnsiTheme="minorEastAsia" w:eastAsiaTheme="minorEastAsia"/>
                <w:sz w:val="21"/>
                <w:szCs w:val="21"/>
                <w:lang w:bidi="ar"/>
              </w:rPr>
              <w:t>有泄洪要求的闸门、启闭机等金属结构安全检测结果为“不安全”，强度、刚度及稳定性不满足规范要求；或维护不善，变形、锈蚀、磨损严重，不能正常运行</w:t>
            </w:r>
          </w:p>
        </w:tc>
        <w:tc>
          <w:tcPr>
            <w:tcW w:w="4507"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textAlignment w:val="center"/>
              <w:rPr>
                <w:rFonts w:cs="仿宋_GB2312" w:asciiTheme="minorEastAsia" w:hAnsiTheme="minorEastAsia" w:eastAsiaTheme="minorEastAsia"/>
                <w:sz w:val="21"/>
                <w:szCs w:val="21"/>
                <w:lang w:bidi="ar"/>
              </w:rPr>
            </w:pPr>
            <w:r>
              <w:rPr>
                <w:rFonts w:hint="eastAsia" w:cs="仿宋_GB2312" w:asciiTheme="minorEastAsia" w:hAnsiTheme="minorEastAsia" w:eastAsiaTheme="minorEastAsia"/>
                <w:sz w:val="21"/>
                <w:szCs w:val="21"/>
                <w:lang w:bidi="ar"/>
              </w:rPr>
              <w:t>1、电站前池闸门、启闭机有泄洪要求，投运前一系列，。。。强度、刚度及稳定性不满足规范及设计要求；2、电站按《?</w:t>
            </w:r>
            <w:r>
              <w:rPr>
                <w:rFonts w:cs="仿宋_GB2312" w:asciiTheme="minorEastAsia" w:hAnsiTheme="minorEastAsia" w:eastAsiaTheme="minorEastAsia"/>
                <w:sz w:val="21"/>
                <w:szCs w:val="21"/>
                <w:lang w:bidi="ar"/>
              </w:rPr>
              <w:t>?</w:t>
            </w:r>
            <w:r>
              <w:rPr>
                <w:rFonts w:hint="eastAsia" w:cs="仿宋_GB2312" w:asciiTheme="minorEastAsia" w:hAnsiTheme="minorEastAsia" w:eastAsiaTheme="minorEastAsia"/>
                <w:sz w:val="21"/>
                <w:szCs w:val="21"/>
                <w:lang w:bidi="ar"/>
              </w:rPr>
              <w:t>维修养护规程》定期（3个月）开展维修养护，处于完好状态。</w:t>
            </w:r>
          </w:p>
        </w:tc>
        <w:tc>
          <w:tcPr>
            <w:tcW w:w="1053"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textAlignment w:val="center"/>
              <w:rPr>
                <w:rFonts w:cs="仿宋_GB2312" w:asciiTheme="minorEastAsia" w:hAnsiTheme="minorEastAsia" w:eastAsiaTheme="minorEastAsia"/>
                <w:sz w:val="21"/>
                <w:szCs w:val="21"/>
                <w:lang w:bidi="ar"/>
              </w:rPr>
            </w:pPr>
          </w:p>
        </w:tc>
      </w:tr>
      <w:tr>
        <w:tblPrEx>
          <w:tblCellMar>
            <w:top w:w="0" w:type="dxa"/>
            <w:left w:w="108" w:type="dxa"/>
            <w:bottom w:w="0" w:type="dxa"/>
            <w:right w:w="108" w:type="dxa"/>
          </w:tblCellMar>
        </w:tblPrEx>
        <w:trPr>
          <w:trHeight w:val="20" w:hRule="atLeast"/>
        </w:trPr>
        <w:tc>
          <w:tcPr>
            <w:tcW w:w="782"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textAlignment w:val="center"/>
              <w:rPr>
                <w:rFonts w:cs="仿宋_GB2312" w:asciiTheme="minorEastAsia" w:hAnsiTheme="minorEastAsia" w:eastAsiaTheme="minorEastAsia"/>
                <w:sz w:val="21"/>
                <w:szCs w:val="21"/>
              </w:rPr>
            </w:pPr>
            <w:r>
              <w:rPr>
                <w:rFonts w:hint="eastAsia" w:cs="仿宋_GB2312" w:asciiTheme="minorEastAsia" w:hAnsiTheme="minorEastAsia" w:eastAsiaTheme="minorEastAsia"/>
                <w:sz w:val="21"/>
                <w:szCs w:val="21"/>
                <w:lang w:bidi="ar"/>
              </w:rPr>
              <w:t>7</w:t>
            </w:r>
          </w:p>
        </w:tc>
        <w:tc>
          <w:tcPr>
            <w:tcW w:w="1232" w:type="dxa"/>
            <w:vMerge w:val="continue"/>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cs="仿宋_GB2312" w:asciiTheme="minorEastAsia" w:hAnsiTheme="minorEastAsia" w:eastAsiaTheme="minorEastAsia"/>
                <w:sz w:val="21"/>
                <w:szCs w:val="21"/>
              </w:rPr>
            </w:pPr>
          </w:p>
        </w:tc>
        <w:tc>
          <w:tcPr>
            <w:tcW w:w="1146"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textAlignment w:val="center"/>
              <w:rPr>
                <w:rFonts w:cs="仿宋_GB2312" w:asciiTheme="minorEastAsia" w:hAnsiTheme="minorEastAsia" w:eastAsiaTheme="minorEastAsia"/>
                <w:sz w:val="21"/>
                <w:szCs w:val="21"/>
              </w:rPr>
            </w:pPr>
            <w:r>
              <w:rPr>
                <w:rFonts w:hint="eastAsia" w:cs="仿宋_GB2312" w:asciiTheme="minorEastAsia" w:hAnsiTheme="minorEastAsia" w:eastAsiaTheme="minorEastAsia"/>
                <w:sz w:val="21"/>
                <w:szCs w:val="21"/>
                <w:lang w:bidi="ar"/>
              </w:rPr>
              <w:t>SY-K005</w:t>
            </w:r>
          </w:p>
        </w:tc>
        <w:tc>
          <w:tcPr>
            <w:tcW w:w="5401"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textAlignment w:val="center"/>
              <w:rPr>
                <w:rFonts w:cs="仿宋_GB2312" w:asciiTheme="minorEastAsia" w:hAnsiTheme="minorEastAsia" w:eastAsiaTheme="minorEastAsia"/>
                <w:sz w:val="21"/>
                <w:szCs w:val="21"/>
              </w:rPr>
            </w:pPr>
            <w:r>
              <w:rPr>
                <w:rFonts w:hint="eastAsia" w:cs="仿宋_GB2312" w:asciiTheme="minorEastAsia" w:hAnsiTheme="minorEastAsia" w:eastAsiaTheme="minorEastAsia"/>
                <w:sz w:val="21"/>
                <w:szCs w:val="21"/>
                <w:lang w:bidi="ar"/>
              </w:rPr>
              <w:t>未经批准擅自调高水库汛限水位；水库未经蓄水验收即投入使用</w:t>
            </w:r>
          </w:p>
        </w:tc>
        <w:tc>
          <w:tcPr>
            <w:tcW w:w="4507"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textAlignment w:val="center"/>
              <w:rPr>
                <w:rFonts w:cs="仿宋_GB2312" w:asciiTheme="minorEastAsia" w:hAnsiTheme="minorEastAsia" w:eastAsiaTheme="minorEastAsia"/>
                <w:sz w:val="21"/>
                <w:szCs w:val="21"/>
                <w:lang w:bidi="ar"/>
              </w:rPr>
            </w:pPr>
          </w:p>
        </w:tc>
        <w:tc>
          <w:tcPr>
            <w:tcW w:w="1053"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textAlignment w:val="center"/>
              <w:rPr>
                <w:rFonts w:cs="仿宋_GB2312" w:asciiTheme="minorEastAsia" w:hAnsiTheme="minorEastAsia" w:eastAsiaTheme="minorEastAsia"/>
                <w:sz w:val="21"/>
                <w:szCs w:val="21"/>
                <w:lang w:bidi="ar"/>
              </w:rPr>
            </w:pPr>
          </w:p>
        </w:tc>
      </w:tr>
      <w:tr>
        <w:tblPrEx>
          <w:tblCellMar>
            <w:top w:w="0" w:type="dxa"/>
            <w:left w:w="108" w:type="dxa"/>
            <w:bottom w:w="0" w:type="dxa"/>
            <w:right w:w="108" w:type="dxa"/>
          </w:tblCellMar>
        </w:tblPrEx>
        <w:trPr>
          <w:trHeight w:val="20" w:hRule="atLeast"/>
        </w:trPr>
        <w:tc>
          <w:tcPr>
            <w:tcW w:w="782"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textAlignment w:val="center"/>
              <w:rPr>
                <w:rFonts w:cs="仿宋_GB2312" w:asciiTheme="minorEastAsia" w:hAnsiTheme="minorEastAsia" w:eastAsiaTheme="minorEastAsia"/>
                <w:sz w:val="21"/>
                <w:szCs w:val="21"/>
              </w:rPr>
            </w:pPr>
            <w:r>
              <w:rPr>
                <w:rFonts w:hint="eastAsia" w:cs="仿宋_GB2312" w:asciiTheme="minorEastAsia" w:hAnsiTheme="minorEastAsia" w:eastAsiaTheme="minorEastAsia"/>
                <w:sz w:val="21"/>
                <w:szCs w:val="21"/>
                <w:lang w:bidi="ar"/>
              </w:rPr>
              <w:t>8</w:t>
            </w:r>
          </w:p>
        </w:tc>
        <w:tc>
          <w:tcPr>
            <w:tcW w:w="1232" w:type="dxa"/>
            <w:vMerge w:val="restart"/>
            <w:tcBorders>
              <w:top w:val="single" w:color="000000" w:sz="4" w:space="0"/>
              <w:left w:val="single" w:color="000000" w:sz="4" w:space="0"/>
              <w:bottom w:val="nil"/>
              <w:right w:val="single" w:color="000000" w:sz="4" w:space="0"/>
            </w:tcBorders>
            <w:vAlign w:val="center"/>
          </w:tcPr>
          <w:p>
            <w:pPr>
              <w:adjustRightInd w:val="0"/>
              <w:snapToGrid w:val="0"/>
              <w:jc w:val="center"/>
              <w:textAlignment w:val="center"/>
              <w:rPr>
                <w:rFonts w:cs="仿宋_GB2312" w:asciiTheme="minorEastAsia" w:hAnsiTheme="minorEastAsia" w:eastAsiaTheme="minorEastAsia"/>
                <w:sz w:val="21"/>
                <w:szCs w:val="21"/>
                <w:lang w:bidi="ar"/>
              </w:rPr>
            </w:pPr>
            <w:r>
              <w:rPr>
                <w:rFonts w:hint="eastAsia" w:cs="仿宋_GB2312" w:asciiTheme="minorEastAsia" w:hAnsiTheme="minorEastAsia" w:eastAsiaTheme="minorEastAsia"/>
                <w:sz w:val="21"/>
                <w:szCs w:val="21"/>
                <w:lang w:bidi="ar"/>
              </w:rPr>
              <w:t>水电站</w:t>
            </w:r>
          </w:p>
          <w:p>
            <w:pPr>
              <w:adjustRightInd w:val="0"/>
              <w:snapToGrid w:val="0"/>
              <w:jc w:val="center"/>
              <w:textAlignment w:val="center"/>
              <w:rPr>
                <w:rFonts w:cs="仿宋_GB2312" w:asciiTheme="minorEastAsia" w:hAnsiTheme="minorEastAsia" w:eastAsiaTheme="minorEastAsia"/>
                <w:sz w:val="21"/>
                <w:szCs w:val="21"/>
              </w:rPr>
            </w:pPr>
            <w:r>
              <w:rPr>
                <w:rFonts w:hint="eastAsia" w:cs="仿宋_GB2312" w:asciiTheme="minorEastAsia" w:hAnsiTheme="minorEastAsia" w:eastAsiaTheme="minorEastAsia"/>
                <w:sz w:val="21"/>
                <w:szCs w:val="21"/>
                <w:lang w:bidi="ar"/>
              </w:rPr>
              <w:t>工程</w:t>
            </w:r>
          </w:p>
        </w:tc>
        <w:tc>
          <w:tcPr>
            <w:tcW w:w="1146"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textAlignment w:val="center"/>
              <w:rPr>
                <w:rFonts w:cs="仿宋_GB2312" w:asciiTheme="minorEastAsia" w:hAnsiTheme="minorEastAsia" w:eastAsiaTheme="minorEastAsia"/>
                <w:sz w:val="21"/>
                <w:szCs w:val="21"/>
              </w:rPr>
            </w:pPr>
            <w:r>
              <w:rPr>
                <w:rFonts w:hint="eastAsia" w:cs="仿宋_GB2312" w:asciiTheme="minorEastAsia" w:hAnsiTheme="minorEastAsia" w:eastAsiaTheme="minorEastAsia"/>
                <w:sz w:val="21"/>
                <w:szCs w:val="21"/>
                <w:lang w:bidi="ar"/>
              </w:rPr>
              <w:t>SY-D001</w:t>
            </w:r>
          </w:p>
        </w:tc>
        <w:tc>
          <w:tcPr>
            <w:tcW w:w="5401"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textAlignment w:val="center"/>
              <w:rPr>
                <w:rFonts w:cs="仿宋_GB2312" w:asciiTheme="minorEastAsia" w:hAnsiTheme="minorEastAsia" w:eastAsiaTheme="minorEastAsia"/>
                <w:sz w:val="21"/>
                <w:szCs w:val="21"/>
              </w:rPr>
            </w:pPr>
            <w:r>
              <w:rPr>
                <w:rFonts w:hint="eastAsia" w:cs="仿宋_GB2312" w:asciiTheme="minorEastAsia" w:hAnsiTheme="minorEastAsia" w:eastAsiaTheme="minorEastAsia"/>
                <w:sz w:val="21"/>
                <w:szCs w:val="21"/>
                <w:lang w:bidi="ar"/>
              </w:rPr>
              <w:t>小型水电站安全评价为C类，未采取有效管控措施</w:t>
            </w:r>
          </w:p>
        </w:tc>
        <w:tc>
          <w:tcPr>
            <w:tcW w:w="4507"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textAlignment w:val="center"/>
              <w:rPr>
                <w:rFonts w:cs="仿宋_GB2312" w:asciiTheme="minorEastAsia" w:hAnsiTheme="minorEastAsia" w:eastAsiaTheme="minorEastAsia"/>
                <w:sz w:val="21"/>
                <w:szCs w:val="21"/>
                <w:lang w:bidi="ar"/>
              </w:rPr>
            </w:pPr>
            <w:r>
              <w:rPr>
                <w:rFonts w:hint="eastAsia" w:cs="仿宋_GB2312" w:asciiTheme="minorEastAsia" w:hAnsiTheme="minorEastAsia" w:eastAsiaTheme="minorEastAsia"/>
                <w:sz w:val="21"/>
                <w:szCs w:val="21"/>
                <w:lang w:bidi="ar"/>
              </w:rPr>
              <w:t>公司按G</w:t>
            </w:r>
            <w:r>
              <w:rPr>
                <w:rFonts w:cs="仿宋_GB2312" w:asciiTheme="minorEastAsia" w:hAnsiTheme="minorEastAsia" w:eastAsiaTheme="minorEastAsia"/>
                <w:sz w:val="21"/>
                <w:szCs w:val="21"/>
                <w:lang w:bidi="ar"/>
              </w:rPr>
              <w:t>B/T50876</w:t>
            </w:r>
            <w:r>
              <w:rPr>
                <w:rFonts w:hint="eastAsia" w:cs="仿宋_GB2312" w:asciiTheme="minorEastAsia" w:hAnsiTheme="minorEastAsia" w:eastAsiaTheme="minorEastAsia"/>
                <w:sz w:val="21"/>
                <w:szCs w:val="21"/>
                <w:lang w:bidi="ar"/>
              </w:rPr>
              <w:t>自主开展了安全评价，评价结论为“A类”，电站整体处于安全状态。</w:t>
            </w:r>
          </w:p>
        </w:tc>
        <w:tc>
          <w:tcPr>
            <w:tcW w:w="1053"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textAlignment w:val="center"/>
              <w:rPr>
                <w:rFonts w:cs="仿宋_GB2312" w:asciiTheme="minorEastAsia" w:hAnsiTheme="minorEastAsia" w:eastAsiaTheme="minorEastAsia"/>
                <w:sz w:val="21"/>
                <w:szCs w:val="21"/>
                <w:lang w:bidi="ar"/>
              </w:rPr>
            </w:pPr>
          </w:p>
        </w:tc>
      </w:tr>
      <w:tr>
        <w:tblPrEx>
          <w:tblCellMar>
            <w:top w:w="0" w:type="dxa"/>
            <w:left w:w="108" w:type="dxa"/>
            <w:bottom w:w="0" w:type="dxa"/>
            <w:right w:w="108" w:type="dxa"/>
          </w:tblCellMar>
        </w:tblPrEx>
        <w:trPr>
          <w:trHeight w:val="20" w:hRule="atLeast"/>
        </w:trPr>
        <w:tc>
          <w:tcPr>
            <w:tcW w:w="782" w:type="dxa"/>
            <w:tcBorders>
              <w:top w:val="single" w:color="000000" w:sz="4" w:space="0"/>
              <w:left w:val="single" w:color="000000" w:sz="4" w:space="0"/>
              <w:bottom w:val="nil"/>
              <w:right w:val="single" w:color="000000" w:sz="4" w:space="0"/>
            </w:tcBorders>
            <w:vAlign w:val="center"/>
          </w:tcPr>
          <w:p>
            <w:pPr>
              <w:adjustRightInd w:val="0"/>
              <w:snapToGrid w:val="0"/>
              <w:jc w:val="center"/>
              <w:textAlignment w:val="center"/>
              <w:rPr>
                <w:rFonts w:cs="仿宋_GB2312" w:asciiTheme="minorEastAsia" w:hAnsiTheme="minorEastAsia" w:eastAsiaTheme="minorEastAsia"/>
                <w:sz w:val="21"/>
                <w:szCs w:val="21"/>
              </w:rPr>
            </w:pPr>
            <w:r>
              <w:rPr>
                <w:rFonts w:hint="eastAsia" w:cs="仿宋_GB2312" w:asciiTheme="minorEastAsia" w:hAnsiTheme="minorEastAsia" w:eastAsiaTheme="minorEastAsia"/>
                <w:sz w:val="21"/>
                <w:szCs w:val="21"/>
                <w:lang w:bidi="ar"/>
              </w:rPr>
              <w:t>9</w:t>
            </w:r>
          </w:p>
        </w:tc>
        <w:tc>
          <w:tcPr>
            <w:tcW w:w="1232" w:type="dxa"/>
            <w:vMerge w:val="continue"/>
            <w:tcBorders>
              <w:top w:val="single" w:color="000000" w:sz="4" w:space="0"/>
              <w:left w:val="single" w:color="000000" w:sz="4" w:space="0"/>
              <w:bottom w:val="nil"/>
              <w:right w:val="single" w:color="000000" w:sz="4" w:space="0"/>
            </w:tcBorders>
            <w:vAlign w:val="center"/>
          </w:tcPr>
          <w:p>
            <w:pPr>
              <w:adjustRightInd w:val="0"/>
              <w:snapToGrid w:val="0"/>
              <w:jc w:val="center"/>
              <w:rPr>
                <w:rFonts w:cs="仿宋_GB2312" w:asciiTheme="minorEastAsia" w:hAnsiTheme="minorEastAsia" w:eastAsiaTheme="minorEastAsia"/>
                <w:sz w:val="21"/>
                <w:szCs w:val="21"/>
              </w:rPr>
            </w:pPr>
          </w:p>
        </w:tc>
        <w:tc>
          <w:tcPr>
            <w:tcW w:w="1146"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textAlignment w:val="center"/>
              <w:rPr>
                <w:rFonts w:cs="仿宋_GB2312" w:asciiTheme="minorEastAsia" w:hAnsiTheme="minorEastAsia" w:eastAsiaTheme="minorEastAsia"/>
                <w:sz w:val="21"/>
                <w:szCs w:val="21"/>
              </w:rPr>
            </w:pPr>
            <w:r>
              <w:rPr>
                <w:rFonts w:hint="eastAsia" w:cs="仿宋_GB2312" w:asciiTheme="minorEastAsia" w:hAnsiTheme="minorEastAsia" w:eastAsiaTheme="minorEastAsia"/>
                <w:sz w:val="21"/>
                <w:szCs w:val="21"/>
                <w:lang w:bidi="ar"/>
              </w:rPr>
              <w:t>SY-D002</w:t>
            </w:r>
          </w:p>
        </w:tc>
        <w:tc>
          <w:tcPr>
            <w:tcW w:w="5401" w:type="dxa"/>
            <w:tcBorders>
              <w:top w:val="single" w:color="000000" w:sz="4" w:space="0"/>
              <w:left w:val="single" w:color="000000" w:sz="4" w:space="0"/>
              <w:bottom w:val="nil"/>
              <w:right w:val="single" w:color="000000" w:sz="4" w:space="0"/>
            </w:tcBorders>
            <w:vAlign w:val="center"/>
          </w:tcPr>
          <w:p>
            <w:pPr>
              <w:adjustRightInd w:val="0"/>
              <w:snapToGrid w:val="0"/>
              <w:jc w:val="left"/>
              <w:textAlignment w:val="center"/>
              <w:rPr>
                <w:rFonts w:cs="仿宋_GB2312" w:asciiTheme="minorEastAsia" w:hAnsiTheme="minorEastAsia" w:eastAsiaTheme="minorEastAsia"/>
                <w:sz w:val="21"/>
                <w:szCs w:val="21"/>
              </w:rPr>
            </w:pPr>
            <w:r>
              <w:rPr>
                <w:rFonts w:hint="eastAsia" w:cs="仿宋_GB2312" w:asciiTheme="minorEastAsia" w:hAnsiTheme="minorEastAsia" w:eastAsiaTheme="minorEastAsia"/>
                <w:sz w:val="21"/>
                <w:szCs w:val="21"/>
                <w:lang w:bidi="ar"/>
              </w:rPr>
              <w:t>主要发供电设备异常运行已达到规程标准的紧急停运条件而未停止运行；可能出现六氟化硫泄漏、聚集的场所，未设置监测报警及通风装置；有限空间作业未经审批或未开展有限空间气体检测</w:t>
            </w:r>
          </w:p>
        </w:tc>
        <w:tc>
          <w:tcPr>
            <w:tcW w:w="4507" w:type="dxa"/>
            <w:tcBorders>
              <w:top w:val="single" w:color="000000" w:sz="4" w:space="0"/>
              <w:left w:val="single" w:color="000000" w:sz="4" w:space="0"/>
              <w:bottom w:val="nil"/>
              <w:right w:val="single" w:color="000000" w:sz="4" w:space="0"/>
            </w:tcBorders>
            <w:vAlign w:val="center"/>
          </w:tcPr>
          <w:p>
            <w:pPr>
              <w:adjustRightInd w:val="0"/>
              <w:snapToGrid w:val="0"/>
              <w:textAlignment w:val="center"/>
              <w:rPr>
                <w:rFonts w:cs="仿宋_GB2312" w:asciiTheme="minorEastAsia" w:hAnsiTheme="minorEastAsia" w:eastAsiaTheme="minorEastAsia"/>
                <w:sz w:val="21"/>
                <w:szCs w:val="21"/>
                <w:lang w:bidi="ar"/>
              </w:rPr>
            </w:pPr>
          </w:p>
        </w:tc>
        <w:tc>
          <w:tcPr>
            <w:tcW w:w="1053" w:type="dxa"/>
            <w:tcBorders>
              <w:top w:val="single" w:color="000000" w:sz="4" w:space="0"/>
              <w:left w:val="single" w:color="000000" w:sz="4" w:space="0"/>
              <w:bottom w:val="nil"/>
              <w:right w:val="single" w:color="000000" w:sz="4" w:space="0"/>
            </w:tcBorders>
            <w:vAlign w:val="center"/>
          </w:tcPr>
          <w:p>
            <w:pPr>
              <w:adjustRightInd w:val="0"/>
              <w:snapToGrid w:val="0"/>
              <w:jc w:val="center"/>
              <w:textAlignment w:val="center"/>
              <w:rPr>
                <w:rFonts w:cs="仿宋_GB2312" w:asciiTheme="minorEastAsia" w:hAnsiTheme="minorEastAsia" w:eastAsiaTheme="minorEastAsia"/>
                <w:sz w:val="21"/>
                <w:szCs w:val="21"/>
                <w:lang w:bidi="ar"/>
              </w:rPr>
            </w:pPr>
          </w:p>
        </w:tc>
      </w:tr>
      <w:tr>
        <w:tblPrEx>
          <w:tblCellMar>
            <w:top w:w="0" w:type="dxa"/>
            <w:left w:w="108" w:type="dxa"/>
            <w:bottom w:w="0" w:type="dxa"/>
            <w:right w:w="108" w:type="dxa"/>
          </w:tblCellMar>
        </w:tblPrEx>
        <w:trPr>
          <w:trHeight w:val="20" w:hRule="atLeast"/>
        </w:trPr>
        <w:tc>
          <w:tcPr>
            <w:tcW w:w="782"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textAlignment w:val="center"/>
              <w:rPr>
                <w:rFonts w:cs="仿宋_GB2312" w:asciiTheme="minorEastAsia" w:hAnsiTheme="minorEastAsia" w:eastAsiaTheme="minorEastAsia"/>
                <w:sz w:val="21"/>
                <w:szCs w:val="21"/>
              </w:rPr>
            </w:pPr>
            <w:r>
              <w:rPr>
                <w:rFonts w:hint="eastAsia" w:cs="仿宋_GB2312" w:asciiTheme="minorEastAsia" w:hAnsiTheme="minorEastAsia" w:eastAsiaTheme="minorEastAsia"/>
                <w:sz w:val="21"/>
                <w:szCs w:val="21"/>
                <w:lang w:bidi="ar"/>
              </w:rPr>
              <w:t>10</w:t>
            </w:r>
          </w:p>
        </w:tc>
        <w:tc>
          <w:tcPr>
            <w:tcW w:w="1232" w:type="dxa"/>
            <w:tcBorders>
              <w:top w:val="single" w:color="000000" w:sz="4" w:space="0"/>
              <w:left w:val="single" w:color="000000" w:sz="4" w:space="0"/>
              <w:bottom w:val="nil"/>
              <w:right w:val="single" w:color="000000" w:sz="4" w:space="0"/>
            </w:tcBorders>
            <w:vAlign w:val="center"/>
          </w:tcPr>
          <w:p>
            <w:pPr>
              <w:adjustRightInd w:val="0"/>
              <w:snapToGrid w:val="0"/>
              <w:jc w:val="center"/>
              <w:textAlignment w:val="center"/>
              <w:rPr>
                <w:rFonts w:cs="仿宋_GB2312" w:asciiTheme="minorEastAsia" w:hAnsiTheme="minorEastAsia" w:eastAsiaTheme="minorEastAsia"/>
                <w:sz w:val="21"/>
                <w:szCs w:val="21"/>
              </w:rPr>
            </w:pPr>
            <w:r>
              <w:rPr>
                <w:rFonts w:hint="eastAsia" w:cs="仿宋_GB2312" w:asciiTheme="minorEastAsia" w:hAnsiTheme="minorEastAsia" w:eastAsiaTheme="minorEastAsia"/>
                <w:sz w:val="21"/>
                <w:szCs w:val="21"/>
                <w:lang w:bidi="ar"/>
              </w:rPr>
              <w:t>泵站</w:t>
            </w:r>
          </w:p>
        </w:tc>
        <w:tc>
          <w:tcPr>
            <w:tcW w:w="1146"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textAlignment w:val="center"/>
              <w:rPr>
                <w:rFonts w:cs="仿宋_GB2312" w:asciiTheme="minorEastAsia" w:hAnsiTheme="minorEastAsia" w:eastAsiaTheme="minorEastAsia"/>
                <w:sz w:val="21"/>
                <w:szCs w:val="21"/>
              </w:rPr>
            </w:pPr>
            <w:r>
              <w:rPr>
                <w:rFonts w:hint="eastAsia" w:cs="仿宋_GB2312" w:asciiTheme="minorEastAsia" w:hAnsiTheme="minorEastAsia" w:eastAsiaTheme="minorEastAsia"/>
                <w:sz w:val="21"/>
                <w:szCs w:val="21"/>
                <w:lang w:bidi="ar"/>
              </w:rPr>
              <w:t>SY-B001</w:t>
            </w:r>
          </w:p>
        </w:tc>
        <w:tc>
          <w:tcPr>
            <w:tcW w:w="5401"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textAlignment w:val="center"/>
              <w:rPr>
                <w:rFonts w:cs="仿宋_GB2312" w:asciiTheme="minorEastAsia" w:hAnsiTheme="minorEastAsia" w:eastAsiaTheme="minorEastAsia"/>
                <w:sz w:val="21"/>
                <w:szCs w:val="21"/>
              </w:rPr>
            </w:pPr>
            <w:r>
              <w:rPr>
                <w:rFonts w:hint="eastAsia" w:cs="仿宋_GB2312" w:asciiTheme="minorEastAsia" w:hAnsiTheme="minorEastAsia" w:eastAsiaTheme="minorEastAsia"/>
                <w:sz w:val="21"/>
                <w:szCs w:val="21"/>
                <w:lang w:bidi="ar"/>
              </w:rPr>
              <w:t>泵站综合评定为三类、四类，未采取有效管控措施</w:t>
            </w:r>
          </w:p>
        </w:tc>
        <w:tc>
          <w:tcPr>
            <w:tcW w:w="4507"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textAlignment w:val="center"/>
              <w:rPr>
                <w:rFonts w:cs="仿宋_GB2312" w:asciiTheme="minorEastAsia" w:hAnsiTheme="minorEastAsia" w:eastAsiaTheme="minorEastAsia"/>
                <w:sz w:val="21"/>
                <w:szCs w:val="21"/>
                <w:lang w:bidi="ar"/>
              </w:rPr>
            </w:pPr>
            <w:r>
              <w:rPr>
                <w:rFonts w:hint="eastAsia" w:cs="仿宋_GB2312" w:asciiTheme="minorEastAsia" w:hAnsiTheme="minorEastAsia" w:eastAsiaTheme="minorEastAsia"/>
                <w:sz w:val="21"/>
                <w:szCs w:val="21"/>
                <w:lang w:bidi="ar"/>
              </w:rPr>
              <w:t>本单位不涉及！</w:t>
            </w:r>
          </w:p>
        </w:tc>
        <w:tc>
          <w:tcPr>
            <w:tcW w:w="1053"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textAlignment w:val="center"/>
              <w:rPr>
                <w:rFonts w:cs="仿宋_GB2312" w:asciiTheme="minorEastAsia" w:hAnsiTheme="minorEastAsia" w:eastAsiaTheme="minorEastAsia"/>
                <w:sz w:val="21"/>
                <w:szCs w:val="21"/>
                <w:lang w:bidi="ar"/>
              </w:rPr>
            </w:pPr>
          </w:p>
        </w:tc>
      </w:tr>
      <w:tr>
        <w:tblPrEx>
          <w:tblCellMar>
            <w:top w:w="0" w:type="dxa"/>
            <w:left w:w="108" w:type="dxa"/>
            <w:bottom w:w="0" w:type="dxa"/>
            <w:right w:w="108" w:type="dxa"/>
          </w:tblCellMar>
        </w:tblPrEx>
        <w:trPr>
          <w:trHeight w:val="20" w:hRule="atLeast"/>
        </w:trPr>
        <w:tc>
          <w:tcPr>
            <w:tcW w:w="782"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textAlignment w:val="center"/>
              <w:rPr>
                <w:rFonts w:cs="仿宋_GB2312" w:asciiTheme="minorEastAsia" w:hAnsiTheme="minorEastAsia" w:eastAsiaTheme="minorEastAsia"/>
                <w:sz w:val="21"/>
                <w:szCs w:val="21"/>
              </w:rPr>
            </w:pPr>
            <w:r>
              <w:rPr>
                <w:rFonts w:hint="eastAsia" w:cs="仿宋_GB2312" w:asciiTheme="minorEastAsia" w:hAnsiTheme="minorEastAsia" w:eastAsiaTheme="minorEastAsia"/>
                <w:sz w:val="21"/>
                <w:szCs w:val="21"/>
                <w:lang w:bidi="ar"/>
              </w:rPr>
              <w:t>11</w:t>
            </w:r>
          </w:p>
        </w:tc>
        <w:tc>
          <w:tcPr>
            <w:tcW w:w="1232" w:type="dxa"/>
            <w:vMerge w:val="restar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textAlignment w:val="center"/>
              <w:rPr>
                <w:rFonts w:cs="仿宋_GB2312" w:asciiTheme="minorEastAsia" w:hAnsiTheme="minorEastAsia" w:eastAsiaTheme="minorEastAsia"/>
                <w:sz w:val="21"/>
                <w:szCs w:val="21"/>
              </w:rPr>
            </w:pPr>
            <w:r>
              <w:rPr>
                <w:rFonts w:hint="eastAsia" w:cs="仿宋_GB2312" w:asciiTheme="minorEastAsia" w:hAnsiTheme="minorEastAsia" w:eastAsiaTheme="minorEastAsia"/>
                <w:sz w:val="21"/>
                <w:szCs w:val="21"/>
                <w:lang w:bidi="ar"/>
              </w:rPr>
              <w:t>水闸工程</w:t>
            </w:r>
          </w:p>
        </w:tc>
        <w:tc>
          <w:tcPr>
            <w:tcW w:w="1146"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textAlignment w:val="center"/>
              <w:rPr>
                <w:rFonts w:cs="仿宋_GB2312" w:asciiTheme="minorEastAsia" w:hAnsiTheme="minorEastAsia" w:eastAsiaTheme="minorEastAsia"/>
                <w:sz w:val="21"/>
                <w:szCs w:val="21"/>
              </w:rPr>
            </w:pPr>
            <w:r>
              <w:rPr>
                <w:rFonts w:hint="eastAsia" w:cs="仿宋_GB2312" w:asciiTheme="minorEastAsia" w:hAnsiTheme="minorEastAsia" w:eastAsiaTheme="minorEastAsia"/>
                <w:sz w:val="21"/>
                <w:szCs w:val="21"/>
                <w:lang w:bidi="ar"/>
              </w:rPr>
              <w:t>SY-Z001</w:t>
            </w:r>
          </w:p>
        </w:tc>
        <w:tc>
          <w:tcPr>
            <w:tcW w:w="5401"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textAlignment w:val="center"/>
              <w:rPr>
                <w:rFonts w:cs="仿宋_GB2312" w:asciiTheme="minorEastAsia" w:hAnsiTheme="minorEastAsia" w:eastAsiaTheme="minorEastAsia"/>
                <w:sz w:val="21"/>
                <w:szCs w:val="21"/>
              </w:rPr>
            </w:pPr>
            <w:r>
              <w:rPr>
                <w:rFonts w:hint="eastAsia" w:cs="仿宋_GB2312" w:asciiTheme="minorEastAsia" w:hAnsiTheme="minorEastAsia" w:eastAsiaTheme="minorEastAsia"/>
                <w:sz w:val="21"/>
                <w:szCs w:val="21"/>
                <w:lang w:bidi="ar"/>
              </w:rPr>
              <w:t>水闸安全鉴定为三类、四类闸，未采取有效管控措施</w:t>
            </w:r>
          </w:p>
        </w:tc>
        <w:tc>
          <w:tcPr>
            <w:tcW w:w="4507"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textAlignment w:val="center"/>
              <w:rPr>
                <w:rFonts w:cs="仿宋_GB2312" w:asciiTheme="minorEastAsia" w:hAnsiTheme="minorEastAsia" w:eastAsiaTheme="minorEastAsia"/>
                <w:sz w:val="21"/>
                <w:szCs w:val="21"/>
                <w:lang w:bidi="ar"/>
              </w:rPr>
            </w:pPr>
            <w:r>
              <w:rPr>
                <w:rFonts w:hint="eastAsia" w:cs="仿宋_GB2312" w:asciiTheme="minorEastAsia" w:hAnsiTheme="minorEastAsia" w:eastAsiaTheme="minorEastAsia"/>
                <w:sz w:val="21"/>
                <w:szCs w:val="21"/>
                <w:lang w:bidi="ar"/>
              </w:rPr>
              <w:t>本单位不涉及！</w:t>
            </w:r>
          </w:p>
        </w:tc>
        <w:tc>
          <w:tcPr>
            <w:tcW w:w="1053"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textAlignment w:val="center"/>
              <w:rPr>
                <w:rFonts w:cs="仿宋_GB2312" w:asciiTheme="minorEastAsia" w:hAnsiTheme="minorEastAsia" w:eastAsiaTheme="minorEastAsia"/>
                <w:sz w:val="21"/>
                <w:szCs w:val="21"/>
                <w:lang w:bidi="ar"/>
              </w:rPr>
            </w:pPr>
          </w:p>
        </w:tc>
      </w:tr>
      <w:tr>
        <w:tblPrEx>
          <w:tblCellMar>
            <w:top w:w="0" w:type="dxa"/>
            <w:left w:w="108" w:type="dxa"/>
            <w:bottom w:w="0" w:type="dxa"/>
            <w:right w:w="108" w:type="dxa"/>
          </w:tblCellMar>
        </w:tblPrEx>
        <w:trPr>
          <w:trHeight w:val="20" w:hRule="atLeast"/>
        </w:trPr>
        <w:tc>
          <w:tcPr>
            <w:tcW w:w="782"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textAlignment w:val="center"/>
              <w:rPr>
                <w:rFonts w:cs="仿宋_GB2312" w:asciiTheme="minorEastAsia" w:hAnsiTheme="minorEastAsia" w:eastAsiaTheme="minorEastAsia"/>
                <w:sz w:val="21"/>
                <w:szCs w:val="21"/>
              </w:rPr>
            </w:pPr>
            <w:r>
              <w:rPr>
                <w:rFonts w:hint="eastAsia" w:cs="仿宋_GB2312" w:asciiTheme="minorEastAsia" w:hAnsiTheme="minorEastAsia" w:eastAsiaTheme="minorEastAsia"/>
                <w:sz w:val="21"/>
                <w:szCs w:val="21"/>
                <w:lang w:bidi="ar"/>
              </w:rPr>
              <w:t>12</w:t>
            </w:r>
          </w:p>
        </w:tc>
        <w:tc>
          <w:tcPr>
            <w:tcW w:w="1232" w:type="dxa"/>
            <w:vMerge w:val="continue"/>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cs="仿宋_GB2312" w:asciiTheme="minorEastAsia" w:hAnsiTheme="minorEastAsia" w:eastAsiaTheme="minorEastAsia"/>
                <w:sz w:val="21"/>
                <w:szCs w:val="21"/>
              </w:rPr>
            </w:pPr>
          </w:p>
        </w:tc>
        <w:tc>
          <w:tcPr>
            <w:tcW w:w="1146"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textAlignment w:val="center"/>
              <w:rPr>
                <w:rFonts w:cs="仿宋_GB2312" w:asciiTheme="minorEastAsia" w:hAnsiTheme="minorEastAsia" w:eastAsiaTheme="minorEastAsia"/>
                <w:sz w:val="21"/>
                <w:szCs w:val="21"/>
              </w:rPr>
            </w:pPr>
            <w:r>
              <w:rPr>
                <w:rFonts w:hint="eastAsia" w:cs="仿宋_GB2312" w:asciiTheme="minorEastAsia" w:hAnsiTheme="minorEastAsia" w:eastAsiaTheme="minorEastAsia"/>
                <w:sz w:val="21"/>
                <w:szCs w:val="21"/>
                <w:lang w:bidi="ar"/>
              </w:rPr>
              <w:t>SY-Z002</w:t>
            </w:r>
          </w:p>
        </w:tc>
        <w:tc>
          <w:tcPr>
            <w:tcW w:w="5401"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textAlignment w:val="center"/>
              <w:rPr>
                <w:rFonts w:cs="仿宋_GB2312" w:asciiTheme="minorEastAsia" w:hAnsiTheme="minorEastAsia" w:eastAsiaTheme="minorEastAsia"/>
                <w:sz w:val="21"/>
                <w:szCs w:val="21"/>
              </w:rPr>
            </w:pPr>
            <w:r>
              <w:rPr>
                <w:rFonts w:hint="eastAsia" w:cs="仿宋_GB2312" w:asciiTheme="minorEastAsia" w:hAnsiTheme="minorEastAsia" w:eastAsiaTheme="minorEastAsia"/>
                <w:sz w:val="21"/>
                <w:szCs w:val="21"/>
                <w:lang w:bidi="ar"/>
              </w:rPr>
              <w:t>水闸的主体结构不均匀沉降、垂直位移、水平位移超出允许值，可能导致整体失稳；止水系统破坏</w:t>
            </w:r>
          </w:p>
        </w:tc>
        <w:tc>
          <w:tcPr>
            <w:tcW w:w="4507"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textAlignment w:val="center"/>
              <w:rPr>
                <w:rFonts w:cs="仿宋_GB2312" w:asciiTheme="minorEastAsia" w:hAnsiTheme="minorEastAsia" w:eastAsiaTheme="minorEastAsia"/>
                <w:sz w:val="21"/>
                <w:szCs w:val="21"/>
                <w:lang w:bidi="ar"/>
              </w:rPr>
            </w:pPr>
            <w:r>
              <w:rPr>
                <w:rFonts w:hint="eastAsia" w:cs="仿宋_GB2312" w:asciiTheme="minorEastAsia" w:hAnsiTheme="minorEastAsia" w:eastAsiaTheme="minorEastAsia"/>
                <w:sz w:val="21"/>
                <w:szCs w:val="21"/>
                <w:lang w:bidi="ar"/>
              </w:rPr>
              <w:t>本单位不涉及！</w:t>
            </w:r>
          </w:p>
        </w:tc>
        <w:tc>
          <w:tcPr>
            <w:tcW w:w="1053"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textAlignment w:val="center"/>
              <w:rPr>
                <w:rFonts w:cs="仿宋_GB2312" w:asciiTheme="minorEastAsia" w:hAnsiTheme="minorEastAsia" w:eastAsiaTheme="minorEastAsia"/>
                <w:sz w:val="21"/>
                <w:szCs w:val="21"/>
                <w:lang w:bidi="ar"/>
              </w:rPr>
            </w:pPr>
          </w:p>
        </w:tc>
      </w:tr>
      <w:tr>
        <w:tblPrEx>
          <w:tblCellMar>
            <w:top w:w="0" w:type="dxa"/>
            <w:left w:w="108" w:type="dxa"/>
            <w:bottom w:w="0" w:type="dxa"/>
            <w:right w:w="108" w:type="dxa"/>
          </w:tblCellMar>
        </w:tblPrEx>
        <w:trPr>
          <w:trHeight w:val="20" w:hRule="atLeast"/>
        </w:trPr>
        <w:tc>
          <w:tcPr>
            <w:tcW w:w="782"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textAlignment w:val="center"/>
              <w:rPr>
                <w:rFonts w:cs="仿宋_GB2312" w:asciiTheme="minorEastAsia" w:hAnsiTheme="minorEastAsia" w:eastAsiaTheme="minorEastAsia"/>
                <w:sz w:val="21"/>
                <w:szCs w:val="21"/>
              </w:rPr>
            </w:pPr>
            <w:r>
              <w:rPr>
                <w:rFonts w:hint="eastAsia" w:cs="仿宋_GB2312" w:asciiTheme="minorEastAsia" w:hAnsiTheme="minorEastAsia" w:eastAsiaTheme="minorEastAsia"/>
                <w:sz w:val="21"/>
                <w:szCs w:val="21"/>
                <w:lang w:bidi="ar"/>
              </w:rPr>
              <w:t>13</w:t>
            </w:r>
          </w:p>
        </w:tc>
        <w:tc>
          <w:tcPr>
            <w:tcW w:w="1232" w:type="dxa"/>
            <w:vMerge w:val="continue"/>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cs="仿宋_GB2312" w:asciiTheme="minorEastAsia" w:hAnsiTheme="minorEastAsia" w:eastAsiaTheme="minorEastAsia"/>
                <w:sz w:val="21"/>
                <w:szCs w:val="21"/>
              </w:rPr>
            </w:pPr>
          </w:p>
        </w:tc>
        <w:tc>
          <w:tcPr>
            <w:tcW w:w="1146"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textAlignment w:val="center"/>
              <w:rPr>
                <w:rFonts w:cs="仿宋_GB2312" w:asciiTheme="minorEastAsia" w:hAnsiTheme="minorEastAsia" w:eastAsiaTheme="minorEastAsia"/>
                <w:sz w:val="21"/>
                <w:szCs w:val="21"/>
              </w:rPr>
            </w:pPr>
            <w:r>
              <w:rPr>
                <w:rFonts w:hint="eastAsia" w:cs="仿宋_GB2312" w:asciiTheme="minorEastAsia" w:hAnsiTheme="minorEastAsia" w:eastAsiaTheme="minorEastAsia"/>
                <w:sz w:val="21"/>
                <w:szCs w:val="21"/>
                <w:lang w:bidi="ar"/>
              </w:rPr>
              <w:t>SY-Z003</w:t>
            </w:r>
          </w:p>
        </w:tc>
        <w:tc>
          <w:tcPr>
            <w:tcW w:w="5401"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textAlignment w:val="center"/>
              <w:rPr>
                <w:rFonts w:cs="仿宋_GB2312" w:asciiTheme="minorEastAsia" w:hAnsiTheme="minorEastAsia" w:eastAsiaTheme="minorEastAsia"/>
                <w:sz w:val="21"/>
                <w:szCs w:val="21"/>
              </w:rPr>
            </w:pPr>
            <w:r>
              <w:rPr>
                <w:rFonts w:hint="eastAsia" w:cs="仿宋_GB2312" w:asciiTheme="minorEastAsia" w:hAnsiTheme="minorEastAsia" w:eastAsiaTheme="minorEastAsia"/>
                <w:sz w:val="21"/>
                <w:szCs w:val="21"/>
                <w:lang w:bidi="ar"/>
              </w:rPr>
              <w:t>水闸监测发现铺盖、底板、上下游连接段底部淘空存在失稳的可能</w:t>
            </w:r>
          </w:p>
        </w:tc>
        <w:tc>
          <w:tcPr>
            <w:tcW w:w="4507"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textAlignment w:val="center"/>
              <w:rPr>
                <w:rFonts w:cs="仿宋_GB2312" w:asciiTheme="minorEastAsia" w:hAnsiTheme="minorEastAsia" w:eastAsiaTheme="minorEastAsia"/>
                <w:sz w:val="21"/>
                <w:szCs w:val="21"/>
                <w:lang w:bidi="ar"/>
              </w:rPr>
            </w:pPr>
            <w:r>
              <w:rPr>
                <w:rFonts w:hint="eastAsia" w:cs="仿宋_GB2312" w:asciiTheme="minorEastAsia" w:hAnsiTheme="minorEastAsia" w:eastAsiaTheme="minorEastAsia"/>
                <w:sz w:val="21"/>
                <w:szCs w:val="21"/>
                <w:lang w:bidi="ar"/>
              </w:rPr>
              <w:t>本单位不涉及！</w:t>
            </w:r>
          </w:p>
        </w:tc>
        <w:tc>
          <w:tcPr>
            <w:tcW w:w="1053"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textAlignment w:val="center"/>
              <w:rPr>
                <w:rFonts w:cs="仿宋_GB2312" w:asciiTheme="minorEastAsia" w:hAnsiTheme="minorEastAsia" w:eastAsiaTheme="minorEastAsia"/>
                <w:sz w:val="21"/>
                <w:szCs w:val="21"/>
                <w:lang w:bidi="ar"/>
              </w:rPr>
            </w:pPr>
          </w:p>
        </w:tc>
      </w:tr>
      <w:tr>
        <w:tblPrEx>
          <w:tblCellMar>
            <w:top w:w="0" w:type="dxa"/>
            <w:left w:w="108" w:type="dxa"/>
            <w:bottom w:w="0" w:type="dxa"/>
            <w:right w:w="108" w:type="dxa"/>
          </w:tblCellMar>
        </w:tblPrEx>
        <w:trPr>
          <w:trHeight w:val="20" w:hRule="atLeast"/>
        </w:trPr>
        <w:tc>
          <w:tcPr>
            <w:tcW w:w="782"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textAlignment w:val="center"/>
              <w:rPr>
                <w:rFonts w:cs="仿宋_GB2312" w:asciiTheme="minorEastAsia" w:hAnsiTheme="minorEastAsia" w:eastAsiaTheme="minorEastAsia"/>
                <w:sz w:val="21"/>
                <w:szCs w:val="21"/>
              </w:rPr>
            </w:pPr>
            <w:r>
              <w:rPr>
                <w:rFonts w:hint="eastAsia" w:cs="仿宋_GB2312" w:asciiTheme="minorEastAsia" w:hAnsiTheme="minorEastAsia" w:eastAsiaTheme="minorEastAsia"/>
                <w:sz w:val="21"/>
                <w:szCs w:val="21"/>
                <w:lang w:bidi="ar"/>
              </w:rPr>
              <w:t>14</w:t>
            </w:r>
          </w:p>
        </w:tc>
        <w:tc>
          <w:tcPr>
            <w:tcW w:w="1232" w:type="dxa"/>
            <w:vMerge w:val="restar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textAlignment w:val="center"/>
              <w:rPr>
                <w:rFonts w:cs="仿宋_GB2312" w:asciiTheme="minorEastAsia" w:hAnsiTheme="minorEastAsia" w:eastAsiaTheme="minorEastAsia"/>
                <w:sz w:val="21"/>
                <w:szCs w:val="21"/>
              </w:rPr>
            </w:pPr>
            <w:r>
              <w:rPr>
                <w:rFonts w:hint="eastAsia" w:cs="仿宋_GB2312" w:asciiTheme="minorEastAsia" w:hAnsiTheme="minorEastAsia" w:eastAsiaTheme="minorEastAsia"/>
                <w:sz w:val="21"/>
                <w:szCs w:val="21"/>
                <w:lang w:bidi="ar"/>
              </w:rPr>
              <w:t>堤防工程</w:t>
            </w:r>
          </w:p>
        </w:tc>
        <w:tc>
          <w:tcPr>
            <w:tcW w:w="1146"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textAlignment w:val="center"/>
              <w:rPr>
                <w:rFonts w:cs="仿宋_GB2312" w:asciiTheme="minorEastAsia" w:hAnsiTheme="minorEastAsia" w:eastAsiaTheme="minorEastAsia"/>
                <w:sz w:val="21"/>
                <w:szCs w:val="21"/>
              </w:rPr>
            </w:pPr>
            <w:r>
              <w:rPr>
                <w:rFonts w:hint="eastAsia" w:cs="仿宋_GB2312" w:asciiTheme="minorEastAsia" w:hAnsiTheme="minorEastAsia" w:eastAsiaTheme="minorEastAsia"/>
                <w:sz w:val="21"/>
                <w:szCs w:val="21"/>
                <w:lang w:bidi="ar"/>
              </w:rPr>
              <w:t>SY-F001</w:t>
            </w:r>
          </w:p>
        </w:tc>
        <w:tc>
          <w:tcPr>
            <w:tcW w:w="5401"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textAlignment w:val="center"/>
              <w:rPr>
                <w:rFonts w:cs="仿宋_GB2312" w:asciiTheme="minorEastAsia" w:hAnsiTheme="minorEastAsia" w:eastAsiaTheme="minorEastAsia"/>
                <w:sz w:val="21"/>
                <w:szCs w:val="21"/>
              </w:rPr>
            </w:pPr>
            <w:r>
              <w:rPr>
                <w:rFonts w:hint="eastAsia" w:cs="仿宋_GB2312" w:asciiTheme="minorEastAsia" w:hAnsiTheme="minorEastAsia" w:eastAsiaTheme="minorEastAsia"/>
                <w:sz w:val="21"/>
                <w:szCs w:val="21"/>
                <w:lang w:bidi="ar"/>
              </w:rPr>
              <w:t>堤防安全综合评价为三类，未采取有效管控措施</w:t>
            </w:r>
          </w:p>
        </w:tc>
        <w:tc>
          <w:tcPr>
            <w:tcW w:w="4507"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textAlignment w:val="center"/>
              <w:rPr>
                <w:rFonts w:cs="仿宋_GB2312" w:asciiTheme="minorEastAsia" w:hAnsiTheme="minorEastAsia" w:eastAsiaTheme="minorEastAsia"/>
                <w:sz w:val="21"/>
                <w:szCs w:val="21"/>
                <w:lang w:bidi="ar"/>
              </w:rPr>
            </w:pPr>
            <w:r>
              <w:rPr>
                <w:rFonts w:hint="eastAsia" w:cs="仿宋_GB2312" w:asciiTheme="minorEastAsia" w:hAnsiTheme="minorEastAsia" w:eastAsiaTheme="minorEastAsia"/>
                <w:sz w:val="21"/>
                <w:szCs w:val="21"/>
                <w:lang w:bidi="ar"/>
              </w:rPr>
              <w:t>本单位不涉及！</w:t>
            </w:r>
          </w:p>
        </w:tc>
        <w:tc>
          <w:tcPr>
            <w:tcW w:w="1053"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textAlignment w:val="center"/>
              <w:rPr>
                <w:rFonts w:cs="仿宋_GB2312" w:asciiTheme="minorEastAsia" w:hAnsiTheme="minorEastAsia" w:eastAsiaTheme="minorEastAsia"/>
                <w:sz w:val="21"/>
                <w:szCs w:val="21"/>
                <w:lang w:bidi="ar"/>
              </w:rPr>
            </w:pPr>
          </w:p>
        </w:tc>
      </w:tr>
      <w:tr>
        <w:tblPrEx>
          <w:tblCellMar>
            <w:top w:w="0" w:type="dxa"/>
            <w:left w:w="108" w:type="dxa"/>
            <w:bottom w:w="0" w:type="dxa"/>
            <w:right w:w="108" w:type="dxa"/>
          </w:tblCellMar>
        </w:tblPrEx>
        <w:trPr>
          <w:trHeight w:val="20" w:hRule="atLeast"/>
        </w:trPr>
        <w:tc>
          <w:tcPr>
            <w:tcW w:w="782"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textAlignment w:val="center"/>
              <w:rPr>
                <w:rFonts w:cs="仿宋_GB2312" w:asciiTheme="minorEastAsia" w:hAnsiTheme="minorEastAsia" w:eastAsiaTheme="minorEastAsia"/>
                <w:sz w:val="21"/>
                <w:szCs w:val="21"/>
              </w:rPr>
            </w:pPr>
            <w:r>
              <w:rPr>
                <w:rFonts w:hint="eastAsia" w:cs="仿宋_GB2312" w:asciiTheme="minorEastAsia" w:hAnsiTheme="minorEastAsia" w:eastAsiaTheme="minorEastAsia"/>
                <w:sz w:val="21"/>
                <w:szCs w:val="21"/>
                <w:lang w:bidi="ar"/>
              </w:rPr>
              <w:t>15</w:t>
            </w:r>
          </w:p>
        </w:tc>
        <w:tc>
          <w:tcPr>
            <w:tcW w:w="1232" w:type="dxa"/>
            <w:vMerge w:val="continue"/>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cs="仿宋_GB2312" w:asciiTheme="minorEastAsia" w:hAnsiTheme="minorEastAsia" w:eastAsiaTheme="minorEastAsia"/>
                <w:sz w:val="21"/>
                <w:szCs w:val="21"/>
              </w:rPr>
            </w:pPr>
          </w:p>
        </w:tc>
        <w:tc>
          <w:tcPr>
            <w:tcW w:w="1146"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textAlignment w:val="center"/>
              <w:rPr>
                <w:rFonts w:cs="仿宋_GB2312" w:asciiTheme="minorEastAsia" w:hAnsiTheme="minorEastAsia" w:eastAsiaTheme="minorEastAsia"/>
                <w:sz w:val="21"/>
                <w:szCs w:val="21"/>
              </w:rPr>
            </w:pPr>
            <w:r>
              <w:rPr>
                <w:rFonts w:hint="eastAsia" w:cs="仿宋_GB2312" w:asciiTheme="minorEastAsia" w:hAnsiTheme="minorEastAsia" w:eastAsiaTheme="minorEastAsia"/>
                <w:sz w:val="21"/>
                <w:szCs w:val="21"/>
                <w:lang w:bidi="ar"/>
              </w:rPr>
              <w:t>SY-F002</w:t>
            </w:r>
          </w:p>
        </w:tc>
        <w:tc>
          <w:tcPr>
            <w:tcW w:w="5401"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textAlignment w:val="center"/>
              <w:rPr>
                <w:rFonts w:cs="仿宋_GB2312" w:asciiTheme="minorEastAsia" w:hAnsiTheme="minorEastAsia" w:eastAsiaTheme="minorEastAsia"/>
                <w:sz w:val="21"/>
                <w:szCs w:val="21"/>
              </w:rPr>
            </w:pPr>
            <w:r>
              <w:rPr>
                <w:rFonts w:hint="eastAsia" w:cs="仿宋_GB2312" w:asciiTheme="minorEastAsia" w:hAnsiTheme="minorEastAsia" w:eastAsiaTheme="minorEastAsia"/>
                <w:sz w:val="21"/>
                <w:szCs w:val="21"/>
                <w:lang w:bidi="ar"/>
              </w:rPr>
              <w:t>堤防渗流坡降和覆盖层盖重不满足标准的要求，或工程已出现严重渗流异常现象</w:t>
            </w:r>
          </w:p>
        </w:tc>
        <w:tc>
          <w:tcPr>
            <w:tcW w:w="4507"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textAlignment w:val="center"/>
              <w:rPr>
                <w:rFonts w:cs="仿宋_GB2312" w:asciiTheme="minorEastAsia" w:hAnsiTheme="minorEastAsia" w:eastAsiaTheme="minorEastAsia"/>
                <w:sz w:val="21"/>
                <w:szCs w:val="21"/>
                <w:lang w:bidi="ar"/>
              </w:rPr>
            </w:pPr>
            <w:r>
              <w:rPr>
                <w:rFonts w:hint="eastAsia" w:cs="仿宋_GB2312" w:asciiTheme="minorEastAsia" w:hAnsiTheme="minorEastAsia" w:eastAsiaTheme="minorEastAsia"/>
                <w:sz w:val="21"/>
                <w:szCs w:val="21"/>
                <w:lang w:bidi="ar"/>
              </w:rPr>
              <w:t>本单位不涉及！</w:t>
            </w:r>
          </w:p>
        </w:tc>
        <w:tc>
          <w:tcPr>
            <w:tcW w:w="1053"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textAlignment w:val="center"/>
              <w:rPr>
                <w:rFonts w:cs="仿宋_GB2312" w:asciiTheme="minorEastAsia" w:hAnsiTheme="minorEastAsia" w:eastAsiaTheme="minorEastAsia"/>
                <w:sz w:val="21"/>
                <w:szCs w:val="21"/>
                <w:lang w:bidi="ar"/>
              </w:rPr>
            </w:pPr>
          </w:p>
        </w:tc>
      </w:tr>
      <w:tr>
        <w:tblPrEx>
          <w:tblCellMar>
            <w:top w:w="0" w:type="dxa"/>
            <w:left w:w="108" w:type="dxa"/>
            <w:bottom w:w="0" w:type="dxa"/>
            <w:right w:w="108" w:type="dxa"/>
          </w:tblCellMar>
        </w:tblPrEx>
        <w:trPr>
          <w:trHeight w:val="20" w:hRule="atLeast"/>
        </w:trPr>
        <w:tc>
          <w:tcPr>
            <w:tcW w:w="782"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textAlignment w:val="center"/>
              <w:rPr>
                <w:rFonts w:cs="仿宋_GB2312" w:asciiTheme="minorEastAsia" w:hAnsiTheme="minorEastAsia" w:eastAsiaTheme="minorEastAsia"/>
                <w:sz w:val="21"/>
                <w:szCs w:val="21"/>
              </w:rPr>
            </w:pPr>
            <w:r>
              <w:rPr>
                <w:rFonts w:hint="eastAsia" w:cs="仿宋_GB2312" w:asciiTheme="minorEastAsia" w:hAnsiTheme="minorEastAsia" w:eastAsiaTheme="minorEastAsia"/>
                <w:sz w:val="21"/>
                <w:szCs w:val="21"/>
                <w:lang w:bidi="ar"/>
              </w:rPr>
              <w:t>16</w:t>
            </w:r>
          </w:p>
        </w:tc>
        <w:tc>
          <w:tcPr>
            <w:tcW w:w="1232" w:type="dxa"/>
            <w:vMerge w:val="continue"/>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cs="仿宋_GB2312" w:asciiTheme="minorEastAsia" w:hAnsiTheme="minorEastAsia" w:eastAsiaTheme="minorEastAsia"/>
                <w:sz w:val="21"/>
                <w:szCs w:val="21"/>
              </w:rPr>
            </w:pPr>
          </w:p>
        </w:tc>
        <w:tc>
          <w:tcPr>
            <w:tcW w:w="1146"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textAlignment w:val="center"/>
              <w:rPr>
                <w:rFonts w:cs="仿宋_GB2312" w:asciiTheme="minorEastAsia" w:hAnsiTheme="minorEastAsia" w:eastAsiaTheme="minorEastAsia"/>
                <w:sz w:val="21"/>
                <w:szCs w:val="21"/>
              </w:rPr>
            </w:pPr>
            <w:r>
              <w:rPr>
                <w:rFonts w:hint="eastAsia" w:cs="仿宋_GB2312" w:asciiTheme="minorEastAsia" w:hAnsiTheme="minorEastAsia" w:eastAsiaTheme="minorEastAsia"/>
                <w:sz w:val="21"/>
                <w:szCs w:val="21"/>
                <w:lang w:bidi="ar"/>
              </w:rPr>
              <w:t>SY-F003</w:t>
            </w:r>
          </w:p>
        </w:tc>
        <w:tc>
          <w:tcPr>
            <w:tcW w:w="5401"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textAlignment w:val="center"/>
              <w:rPr>
                <w:rFonts w:cs="仿宋_GB2312" w:asciiTheme="minorEastAsia" w:hAnsiTheme="minorEastAsia" w:eastAsiaTheme="minorEastAsia"/>
                <w:sz w:val="21"/>
                <w:szCs w:val="21"/>
              </w:rPr>
            </w:pPr>
            <w:r>
              <w:rPr>
                <w:rFonts w:hint="eastAsia" w:cs="仿宋_GB2312" w:asciiTheme="minorEastAsia" w:hAnsiTheme="minorEastAsia" w:eastAsiaTheme="minorEastAsia"/>
                <w:sz w:val="21"/>
                <w:szCs w:val="21"/>
                <w:lang w:bidi="ar"/>
              </w:rPr>
              <w:t>堤防及防护</w:t>
            </w:r>
            <w:r>
              <w:rPr>
                <w:rFonts w:cs="仿宋_GB2312" w:asciiTheme="minorEastAsia" w:hAnsiTheme="minorEastAsia" w:eastAsiaTheme="minorEastAsia"/>
                <w:sz w:val="21"/>
                <w:szCs w:val="21"/>
                <w:lang w:bidi="ar"/>
              </w:rPr>
              <w:t>结构稳定性不满足规范要求，或已发现危及堤防稳定的现象</w:t>
            </w:r>
          </w:p>
        </w:tc>
        <w:tc>
          <w:tcPr>
            <w:tcW w:w="4507"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textAlignment w:val="center"/>
              <w:rPr>
                <w:rFonts w:cs="仿宋_GB2312" w:asciiTheme="minorEastAsia" w:hAnsiTheme="minorEastAsia" w:eastAsiaTheme="minorEastAsia"/>
                <w:sz w:val="21"/>
                <w:szCs w:val="21"/>
                <w:lang w:bidi="ar"/>
              </w:rPr>
            </w:pPr>
            <w:r>
              <w:rPr>
                <w:rFonts w:hint="eastAsia" w:cs="仿宋_GB2312" w:asciiTheme="minorEastAsia" w:hAnsiTheme="minorEastAsia" w:eastAsiaTheme="minorEastAsia"/>
                <w:sz w:val="21"/>
                <w:szCs w:val="21"/>
                <w:lang w:bidi="ar"/>
              </w:rPr>
              <w:t>本单位不涉及！</w:t>
            </w:r>
          </w:p>
        </w:tc>
        <w:tc>
          <w:tcPr>
            <w:tcW w:w="1053"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textAlignment w:val="center"/>
              <w:rPr>
                <w:rFonts w:cs="仿宋_GB2312" w:asciiTheme="minorEastAsia" w:hAnsiTheme="minorEastAsia" w:eastAsiaTheme="minorEastAsia"/>
                <w:sz w:val="21"/>
                <w:szCs w:val="21"/>
                <w:lang w:bidi="ar"/>
              </w:rPr>
            </w:pPr>
          </w:p>
        </w:tc>
      </w:tr>
      <w:tr>
        <w:tblPrEx>
          <w:tblCellMar>
            <w:top w:w="0" w:type="dxa"/>
            <w:left w:w="108" w:type="dxa"/>
            <w:bottom w:w="0" w:type="dxa"/>
            <w:right w:w="108" w:type="dxa"/>
          </w:tblCellMar>
        </w:tblPrEx>
        <w:trPr>
          <w:trHeight w:val="20" w:hRule="atLeast"/>
        </w:trPr>
        <w:tc>
          <w:tcPr>
            <w:tcW w:w="782"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textAlignment w:val="center"/>
              <w:rPr>
                <w:rFonts w:cs="仿宋_GB2312" w:asciiTheme="minorEastAsia" w:hAnsiTheme="minorEastAsia" w:eastAsiaTheme="minorEastAsia"/>
                <w:sz w:val="21"/>
                <w:szCs w:val="21"/>
              </w:rPr>
            </w:pPr>
            <w:r>
              <w:rPr>
                <w:rFonts w:hint="eastAsia" w:cs="仿宋_GB2312" w:asciiTheme="minorEastAsia" w:hAnsiTheme="minorEastAsia" w:eastAsiaTheme="minorEastAsia"/>
                <w:sz w:val="21"/>
                <w:szCs w:val="21"/>
                <w:lang w:bidi="ar"/>
              </w:rPr>
              <w:t>17</w:t>
            </w:r>
          </w:p>
        </w:tc>
        <w:tc>
          <w:tcPr>
            <w:tcW w:w="1232" w:type="dxa"/>
            <w:vMerge w:val="restar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textAlignment w:val="center"/>
              <w:rPr>
                <w:rFonts w:cs="仿宋_GB2312" w:asciiTheme="minorEastAsia" w:hAnsiTheme="minorEastAsia" w:eastAsiaTheme="minorEastAsia"/>
                <w:sz w:val="21"/>
                <w:szCs w:val="21"/>
              </w:rPr>
            </w:pPr>
            <w:r>
              <w:rPr>
                <w:rFonts w:hint="eastAsia" w:cs="仿宋_GB2312" w:asciiTheme="minorEastAsia" w:hAnsiTheme="minorEastAsia" w:eastAsiaTheme="minorEastAsia"/>
                <w:sz w:val="21"/>
                <w:szCs w:val="21"/>
                <w:lang w:bidi="ar"/>
              </w:rPr>
              <w:t>引调水及灌区工程</w:t>
            </w:r>
          </w:p>
        </w:tc>
        <w:tc>
          <w:tcPr>
            <w:tcW w:w="1146"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textAlignment w:val="center"/>
              <w:rPr>
                <w:rFonts w:cs="仿宋_GB2312" w:asciiTheme="minorEastAsia" w:hAnsiTheme="minorEastAsia" w:eastAsiaTheme="minorEastAsia"/>
                <w:sz w:val="21"/>
                <w:szCs w:val="21"/>
              </w:rPr>
            </w:pPr>
            <w:r>
              <w:rPr>
                <w:rFonts w:hint="eastAsia" w:cs="仿宋_GB2312" w:asciiTheme="minorEastAsia" w:hAnsiTheme="minorEastAsia" w:eastAsiaTheme="minorEastAsia"/>
                <w:sz w:val="21"/>
                <w:szCs w:val="21"/>
                <w:lang w:bidi="ar"/>
              </w:rPr>
              <w:t>SY-YG001</w:t>
            </w:r>
          </w:p>
        </w:tc>
        <w:tc>
          <w:tcPr>
            <w:tcW w:w="5401"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textAlignment w:val="center"/>
              <w:rPr>
                <w:rFonts w:cs="仿宋_GB2312" w:asciiTheme="minorEastAsia" w:hAnsiTheme="minorEastAsia" w:eastAsiaTheme="minorEastAsia"/>
                <w:sz w:val="21"/>
                <w:szCs w:val="21"/>
              </w:rPr>
            </w:pPr>
            <w:r>
              <w:rPr>
                <w:rFonts w:hint="eastAsia" w:cs="仿宋_GB2312" w:asciiTheme="minorEastAsia" w:hAnsiTheme="minorEastAsia" w:eastAsiaTheme="minorEastAsia"/>
                <w:sz w:val="21"/>
                <w:szCs w:val="21"/>
                <w:lang w:bidi="ar"/>
              </w:rPr>
              <w:t>渡槽及跨渠建筑物地基沉降量超过设计要求；排架倾斜较大，水下基础露空较大，超过设计要求；渡槽结构主体裂缝多，碳化破损严重，止水失效，漏水严重</w:t>
            </w:r>
          </w:p>
        </w:tc>
        <w:tc>
          <w:tcPr>
            <w:tcW w:w="4507"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textAlignment w:val="center"/>
              <w:rPr>
                <w:rFonts w:cs="仿宋_GB2312" w:asciiTheme="minorEastAsia" w:hAnsiTheme="minorEastAsia" w:eastAsiaTheme="minorEastAsia"/>
                <w:sz w:val="21"/>
                <w:szCs w:val="21"/>
                <w:lang w:bidi="ar"/>
              </w:rPr>
            </w:pPr>
            <w:r>
              <w:rPr>
                <w:rFonts w:hint="eastAsia" w:cs="仿宋_GB2312" w:asciiTheme="minorEastAsia" w:hAnsiTheme="minorEastAsia" w:eastAsiaTheme="minorEastAsia"/>
                <w:sz w:val="21"/>
                <w:szCs w:val="21"/>
                <w:lang w:bidi="ar"/>
              </w:rPr>
              <w:t>本单位不涉及！</w:t>
            </w:r>
          </w:p>
        </w:tc>
        <w:tc>
          <w:tcPr>
            <w:tcW w:w="1053"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textAlignment w:val="center"/>
              <w:rPr>
                <w:rFonts w:cs="仿宋_GB2312" w:asciiTheme="minorEastAsia" w:hAnsiTheme="minorEastAsia" w:eastAsiaTheme="minorEastAsia"/>
                <w:sz w:val="21"/>
                <w:szCs w:val="21"/>
                <w:lang w:bidi="ar"/>
              </w:rPr>
            </w:pPr>
          </w:p>
        </w:tc>
      </w:tr>
      <w:tr>
        <w:tblPrEx>
          <w:tblCellMar>
            <w:top w:w="0" w:type="dxa"/>
            <w:left w:w="108" w:type="dxa"/>
            <w:bottom w:w="0" w:type="dxa"/>
            <w:right w:w="108" w:type="dxa"/>
          </w:tblCellMar>
        </w:tblPrEx>
        <w:trPr>
          <w:trHeight w:val="20" w:hRule="atLeast"/>
        </w:trPr>
        <w:tc>
          <w:tcPr>
            <w:tcW w:w="782"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textAlignment w:val="center"/>
              <w:rPr>
                <w:rFonts w:cs="仿宋_GB2312" w:asciiTheme="minorEastAsia" w:hAnsiTheme="minorEastAsia" w:eastAsiaTheme="minorEastAsia"/>
                <w:sz w:val="21"/>
                <w:szCs w:val="21"/>
              </w:rPr>
            </w:pPr>
            <w:r>
              <w:rPr>
                <w:rFonts w:hint="eastAsia" w:cs="仿宋_GB2312" w:asciiTheme="minorEastAsia" w:hAnsiTheme="minorEastAsia" w:eastAsiaTheme="minorEastAsia"/>
                <w:sz w:val="21"/>
                <w:szCs w:val="21"/>
                <w:lang w:bidi="ar"/>
              </w:rPr>
              <w:t>18</w:t>
            </w:r>
          </w:p>
        </w:tc>
        <w:tc>
          <w:tcPr>
            <w:tcW w:w="1232" w:type="dxa"/>
            <w:vMerge w:val="continue"/>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cs="仿宋_GB2312" w:asciiTheme="minorEastAsia" w:hAnsiTheme="minorEastAsia" w:eastAsiaTheme="minorEastAsia"/>
                <w:sz w:val="21"/>
                <w:szCs w:val="21"/>
              </w:rPr>
            </w:pPr>
          </w:p>
        </w:tc>
        <w:tc>
          <w:tcPr>
            <w:tcW w:w="1146"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textAlignment w:val="center"/>
              <w:rPr>
                <w:rFonts w:cs="仿宋_GB2312" w:asciiTheme="minorEastAsia" w:hAnsiTheme="minorEastAsia" w:eastAsiaTheme="minorEastAsia"/>
                <w:sz w:val="21"/>
                <w:szCs w:val="21"/>
              </w:rPr>
            </w:pPr>
            <w:r>
              <w:rPr>
                <w:rFonts w:hint="eastAsia" w:cs="仿宋_GB2312" w:asciiTheme="minorEastAsia" w:hAnsiTheme="minorEastAsia" w:eastAsiaTheme="minorEastAsia"/>
                <w:sz w:val="21"/>
                <w:szCs w:val="21"/>
                <w:lang w:bidi="ar"/>
              </w:rPr>
              <w:t>SY-YG002</w:t>
            </w:r>
          </w:p>
        </w:tc>
        <w:tc>
          <w:tcPr>
            <w:tcW w:w="5401"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textAlignment w:val="center"/>
              <w:rPr>
                <w:rFonts w:cs="仿宋_GB2312" w:asciiTheme="minorEastAsia" w:hAnsiTheme="minorEastAsia" w:eastAsiaTheme="minorEastAsia"/>
                <w:sz w:val="21"/>
                <w:szCs w:val="21"/>
              </w:rPr>
            </w:pPr>
            <w:r>
              <w:rPr>
                <w:rFonts w:hint="eastAsia" w:cs="仿宋_GB2312" w:asciiTheme="minorEastAsia" w:hAnsiTheme="minorEastAsia" w:eastAsiaTheme="minorEastAsia"/>
                <w:sz w:val="21"/>
                <w:szCs w:val="21"/>
                <w:lang w:bidi="ar"/>
              </w:rPr>
              <w:t>隧洞洞脸边坡不稳定；隧洞围岩或支护结构严重变形</w:t>
            </w:r>
          </w:p>
        </w:tc>
        <w:tc>
          <w:tcPr>
            <w:tcW w:w="4507"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textAlignment w:val="center"/>
              <w:rPr>
                <w:rFonts w:cs="仿宋_GB2312" w:asciiTheme="minorEastAsia" w:hAnsiTheme="minorEastAsia" w:eastAsiaTheme="minorEastAsia"/>
                <w:sz w:val="21"/>
                <w:szCs w:val="21"/>
                <w:lang w:bidi="ar"/>
              </w:rPr>
            </w:pPr>
            <w:r>
              <w:rPr>
                <w:rFonts w:hint="eastAsia" w:cs="仿宋_GB2312" w:asciiTheme="minorEastAsia" w:hAnsiTheme="minorEastAsia" w:eastAsiaTheme="minorEastAsia"/>
                <w:sz w:val="21"/>
                <w:szCs w:val="21"/>
                <w:lang w:bidi="ar"/>
              </w:rPr>
              <w:t>本单位不涉及！</w:t>
            </w:r>
          </w:p>
        </w:tc>
        <w:tc>
          <w:tcPr>
            <w:tcW w:w="1053"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textAlignment w:val="center"/>
              <w:rPr>
                <w:rFonts w:cs="仿宋_GB2312" w:asciiTheme="minorEastAsia" w:hAnsiTheme="minorEastAsia" w:eastAsiaTheme="minorEastAsia"/>
                <w:sz w:val="21"/>
                <w:szCs w:val="21"/>
                <w:lang w:bidi="ar"/>
              </w:rPr>
            </w:pPr>
          </w:p>
        </w:tc>
      </w:tr>
      <w:tr>
        <w:tblPrEx>
          <w:tblCellMar>
            <w:top w:w="0" w:type="dxa"/>
            <w:left w:w="108" w:type="dxa"/>
            <w:bottom w:w="0" w:type="dxa"/>
            <w:right w:w="108" w:type="dxa"/>
          </w:tblCellMar>
        </w:tblPrEx>
        <w:trPr>
          <w:trHeight w:val="20" w:hRule="atLeast"/>
        </w:trPr>
        <w:tc>
          <w:tcPr>
            <w:tcW w:w="782"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textAlignment w:val="center"/>
              <w:rPr>
                <w:rFonts w:cs="仿宋_GB2312" w:asciiTheme="minorEastAsia" w:hAnsiTheme="minorEastAsia" w:eastAsiaTheme="minorEastAsia"/>
                <w:sz w:val="21"/>
                <w:szCs w:val="21"/>
              </w:rPr>
            </w:pPr>
            <w:r>
              <w:rPr>
                <w:rFonts w:hint="eastAsia" w:cs="仿宋_GB2312" w:asciiTheme="minorEastAsia" w:hAnsiTheme="minorEastAsia" w:eastAsiaTheme="minorEastAsia"/>
                <w:sz w:val="21"/>
                <w:szCs w:val="21"/>
                <w:lang w:bidi="ar"/>
              </w:rPr>
              <w:t>19</w:t>
            </w:r>
          </w:p>
        </w:tc>
        <w:tc>
          <w:tcPr>
            <w:tcW w:w="1232" w:type="dxa"/>
            <w:vMerge w:val="continue"/>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cs="仿宋_GB2312" w:asciiTheme="minorEastAsia" w:hAnsiTheme="minorEastAsia" w:eastAsiaTheme="minorEastAsia"/>
                <w:sz w:val="21"/>
                <w:szCs w:val="21"/>
              </w:rPr>
            </w:pPr>
          </w:p>
        </w:tc>
        <w:tc>
          <w:tcPr>
            <w:tcW w:w="1146"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textAlignment w:val="center"/>
              <w:rPr>
                <w:rFonts w:cs="仿宋_GB2312" w:asciiTheme="minorEastAsia" w:hAnsiTheme="minorEastAsia" w:eastAsiaTheme="minorEastAsia"/>
                <w:sz w:val="21"/>
                <w:szCs w:val="21"/>
              </w:rPr>
            </w:pPr>
            <w:r>
              <w:rPr>
                <w:rFonts w:hint="eastAsia" w:cs="仿宋_GB2312" w:asciiTheme="minorEastAsia" w:hAnsiTheme="minorEastAsia" w:eastAsiaTheme="minorEastAsia"/>
                <w:sz w:val="21"/>
                <w:szCs w:val="21"/>
                <w:lang w:bidi="ar"/>
              </w:rPr>
              <w:t>SY-YG003</w:t>
            </w:r>
          </w:p>
        </w:tc>
        <w:tc>
          <w:tcPr>
            <w:tcW w:w="5401"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textAlignment w:val="center"/>
              <w:rPr>
                <w:rFonts w:cs="仿宋_GB2312" w:asciiTheme="minorEastAsia" w:hAnsiTheme="minorEastAsia" w:eastAsiaTheme="minorEastAsia"/>
                <w:sz w:val="21"/>
                <w:szCs w:val="21"/>
              </w:rPr>
            </w:pPr>
            <w:r>
              <w:rPr>
                <w:rFonts w:hint="eastAsia" w:cs="仿宋_GB2312" w:asciiTheme="minorEastAsia" w:hAnsiTheme="minorEastAsia" w:eastAsiaTheme="minorEastAsia"/>
                <w:sz w:val="21"/>
                <w:szCs w:val="21"/>
                <w:lang w:bidi="ar"/>
              </w:rPr>
              <w:t>高填方或傍山渠坡出现管涌等渗透破坏现象或塌陷、边坡失稳等现象</w:t>
            </w:r>
          </w:p>
        </w:tc>
        <w:tc>
          <w:tcPr>
            <w:tcW w:w="4507"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textAlignment w:val="center"/>
              <w:rPr>
                <w:rFonts w:cs="仿宋_GB2312" w:asciiTheme="minorEastAsia" w:hAnsiTheme="minorEastAsia" w:eastAsiaTheme="minorEastAsia"/>
                <w:sz w:val="21"/>
                <w:szCs w:val="21"/>
                <w:lang w:bidi="ar"/>
              </w:rPr>
            </w:pPr>
            <w:r>
              <w:rPr>
                <w:rFonts w:hint="eastAsia" w:cs="仿宋_GB2312" w:asciiTheme="minorEastAsia" w:hAnsiTheme="minorEastAsia" w:eastAsiaTheme="minorEastAsia"/>
                <w:sz w:val="21"/>
                <w:szCs w:val="21"/>
                <w:lang w:bidi="ar"/>
              </w:rPr>
              <w:t>本单位不涉及！</w:t>
            </w:r>
          </w:p>
        </w:tc>
        <w:tc>
          <w:tcPr>
            <w:tcW w:w="1053"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textAlignment w:val="center"/>
              <w:rPr>
                <w:rFonts w:cs="仿宋_GB2312" w:asciiTheme="minorEastAsia" w:hAnsiTheme="minorEastAsia" w:eastAsiaTheme="minorEastAsia"/>
                <w:sz w:val="21"/>
                <w:szCs w:val="21"/>
                <w:lang w:bidi="ar"/>
              </w:rPr>
            </w:pPr>
          </w:p>
        </w:tc>
      </w:tr>
      <w:tr>
        <w:tblPrEx>
          <w:tblCellMar>
            <w:top w:w="0" w:type="dxa"/>
            <w:left w:w="108" w:type="dxa"/>
            <w:bottom w:w="0" w:type="dxa"/>
            <w:right w:w="108" w:type="dxa"/>
          </w:tblCellMar>
        </w:tblPrEx>
        <w:trPr>
          <w:trHeight w:val="20" w:hRule="atLeast"/>
        </w:trPr>
        <w:tc>
          <w:tcPr>
            <w:tcW w:w="782"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textAlignment w:val="center"/>
              <w:rPr>
                <w:rFonts w:cs="仿宋_GB2312" w:asciiTheme="minorEastAsia" w:hAnsiTheme="minorEastAsia" w:eastAsiaTheme="minorEastAsia"/>
                <w:sz w:val="21"/>
                <w:szCs w:val="21"/>
              </w:rPr>
            </w:pPr>
            <w:r>
              <w:rPr>
                <w:rFonts w:hint="eastAsia" w:cs="仿宋_GB2312" w:asciiTheme="minorEastAsia" w:hAnsiTheme="minorEastAsia" w:eastAsiaTheme="minorEastAsia"/>
                <w:sz w:val="21"/>
                <w:szCs w:val="21"/>
                <w:lang w:bidi="ar"/>
              </w:rPr>
              <w:t>20</w:t>
            </w:r>
          </w:p>
        </w:tc>
        <w:tc>
          <w:tcPr>
            <w:tcW w:w="1232"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textAlignment w:val="center"/>
              <w:rPr>
                <w:rFonts w:cs="仿宋_GB2312" w:asciiTheme="minorEastAsia" w:hAnsiTheme="minorEastAsia" w:eastAsiaTheme="minorEastAsia"/>
                <w:sz w:val="21"/>
                <w:szCs w:val="21"/>
              </w:rPr>
            </w:pPr>
            <w:r>
              <w:rPr>
                <w:rFonts w:hint="eastAsia" w:cs="仿宋_GB2312" w:asciiTheme="minorEastAsia" w:hAnsiTheme="minorEastAsia" w:eastAsiaTheme="minorEastAsia"/>
                <w:sz w:val="21"/>
                <w:szCs w:val="21"/>
                <w:lang w:bidi="ar"/>
              </w:rPr>
              <w:t>淤地坝工程</w:t>
            </w:r>
          </w:p>
        </w:tc>
        <w:tc>
          <w:tcPr>
            <w:tcW w:w="1146"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textAlignment w:val="center"/>
              <w:rPr>
                <w:rFonts w:cs="仿宋_GB2312" w:asciiTheme="minorEastAsia" w:hAnsiTheme="minorEastAsia" w:eastAsiaTheme="minorEastAsia"/>
                <w:sz w:val="21"/>
                <w:szCs w:val="21"/>
              </w:rPr>
            </w:pPr>
            <w:r>
              <w:rPr>
                <w:rFonts w:hint="eastAsia" w:cs="仿宋_GB2312" w:asciiTheme="minorEastAsia" w:hAnsiTheme="minorEastAsia" w:eastAsiaTheme="minorEastAsia"/>
                <w:sz w:val="21"/>
                <w:szCs w:val="21"/>
                <w:lang w:bidi="ar"/>
              </w:rPr>
              <w:t>SY-NK001</w:t>
            </w:r>
          </w:p>
        </w:tc>
        <w:tc>
          <w:tcPr>
            <w:tcW w:w="5401"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left"/>
              <w:textAlignment w:val="center"/>
              <w:rPr>
                <w:rFonts w:cs="仿宋_GB2312" w:asciiTheme="minorEastAsia" w:hAnsiTheme="minorEastAsia" w:eastAsiaTheme="minorEastAsia"/>
                <w:sz w:val="21"/>
                <w:szCs w:val="21"/>
              </w:rPr>
            </w:pPr>
            <w:r>
              <w:rPr>
                <w:rFonts w:hint="eastAsia" w:cs="仿宋_GB2312" w:asciiTheme="minorEastAsia" w:hAnsiTheme="minorEastAsia" w:eastAsiaTheme="minorEastAsia"/>
                <w:sz w:val="21"/>
                <w:szCs w:val="21"/>
                <w:lang w:bidi="ar"/>
              </w:rPr>
              <w:t>下游影响范围有村庄、学校、工矿等的大中型淤地坝无溢洪道或无放水设施；坝体坝肩出现贯通性横向裂缝或纵向滑动性裂缝；坝坡出现破坏性滑坡、塌陷、冲沟，坝体出现冲缺、管涌、流土；放水建筑物（卧管、竖井、涵洞、涵管等）或溢洪道出现损毁、断裂、坍塌、基部掏刷、悬空</w:t>
            </w:r>
          </w:p>
        </w:tc>
        <w:tc>
          <w:tcPr>
            <w:tcW w:w="4507"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textAlignment w:val="center"/>
              <w:rPr>
                <w:rFonts w:cs="仿宋_GB2312" w:asciiTheme="minorEastAsia" w:hAnsiTheme="minorEastAsia" w:eastAsiaTheme="minorEastAsia"/>
                <w:sz w:val="21"/>
                <w:szCs w:val="21"/>
                <w:lang w:bidi="ar"/>
              </w:rPr>
            </w:pPr>
            <w:r>
              <w:rPr>
                <w:rFonts w:hint="eastAsia" w:cs="仿宋_GB2312" w:asciiTheme="minorEastAsia" w:hAnsiTheme="minorEastAsia" w:eastAsiaTheme="minorEastAsia"/>
                <w:sz w:val="21"/>
                <w:szCs w:val="21"/>
                <w:lang w:bidi="ar"/>
              </w:rPr>
              <w:t>本单位不涉及！</w:t>
            </w:r>
          </w:p>
        </w:tc>
        <w:tc>
          <w:tcPr>
            <w:tcW w:w="1053"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textAlignment w:val="center"/>
              <w:rPr>
                <w:rFonts w:cs="仿宋_GB2312" w:asciiTheme="minorEastAsia" w:hAnsiTheme="minorEastAsia" w:eastAsiaTheme="minorEastAsia"/>
                <w:sz w:val="21"/>
                <w:szCs w:val="21"/>
                <w:lang w:bidi="ar"/>
              </w:rPr>
            </w:pPr>
          </w:p>
        </w:tc>
      </w:tr>
    </w:tbl>
    <w:p>
      <w:pPr>
        <w:jc w:val="left"/>
        <w:rPr>
          <w:rFonts w:asciiTheme="minorEastAsia" w:hAnsiTheme="minorEastAsia" w:eastAsiaTheme="minorEastAsia"/>
          <w:sz w:val="21"/>
          <w:szCs w:val="21"/>
        </w:rPr>
        <w:sectPr>
          <w:pgSz w:w="16838" w:h="11906" w:orient="landscape"/>
          <w:pgMar w:top="1797" w:right="1440" w:bottom="1797" w:left="1440" w:header="851" w:footer="992" w:gutter="0"/>
          <w:cols w:space="425" w:num="1"/>
          <w:docGrid w:type="lines" w:linePitch="435" w:charSpace="0"/>
        </w:sectPr>
      </w:pPr>
      <w:r>
        <w:rPr>
          <w:rFonts w:hint="eastAsia" w:asciiTheme="minorEastAsia" w:hAnsiTheme="minorEastAsia" w:eastAsiaTheme="minorEastAsia"/>
        </w:rPr>
        <w:t xml:space="preserve">判定小组组长： </w:t>
      </w:r>
      <w:r>
        <w:rPr>
          <w:rFonts w:asciiTheme="minorEastAsia" w:hAnsiTheme="minorEastAsia" w:eastAsiaTheme="minorEastAsia"/>
        </w:rPr>
        <w:t xml:space="preserve">                         </w:t>
      </w:r>
      <w:r>
        <w:rPr>
          <w:rFonts w:hint="eastAsia" w:asciiTheme="minorEastAsia" w:hAnsiTheme="minorEastAsia" w:eastAsiaTheme="minorEastAsia"/>
        </w:rPr>
        <w:t>成 员：</w:t>
      </w:r>
    </w:p>
    <w:p>
      <w:pPr>
        <w:jc w:val="center"/>
        <w:outlineLvl w:val="0"/>
        <w:rPr>
          <w:rFonts w:ascii="方正小标宋_GBK" w:hAnsi="黑体" w:eastAsia="方正小标宋_GBK"/>
          <w:b/>
          <w:bCs/>
          <w:sz w:val="28"/>
          <w:szCs w:val="28"/>
        </w:rPr>
      </w:pPr>
      <w:bookmarkStart w:id="222" w:name="_Toc117541354"/>
      <w:bookmarkStart w:id="223" w:name="_Toc119336636"/>
      <w:r>
        <w:rPr>
          <w:rFonts w:hint="eastAsia" w:ascii="方正小标宋_GBK" w:hAnsi="黑体" w:eastAsia="方正小标宋_GBK"/>
          <w:b/>
          <w:bCs/>
          <w:sz w:val="28"/>
          <w:szCs w:val="28"/>
        </w:rPr>
        <w:t>附录G.3</w:t>
      </w:r>
      <w:bookmarkEnd w:id="222"/>
      <w:bookmarkEnd w:id="223"/>
    </w:p>
    <w:p>
      <w:pPr>
        <w:jc w:val="center"/>
        <w:rPr>
          <w:rFonts w:ascii="方正小标宋_GBK" w:hAnsi="黑体" w:eastAsia="方正小标宋_GBK"/>
          <w:b/>
          <w:bCs/>
          <w:sz w:val="28"/>
          <w:szCs w:val="28"/>
        </w:rPr>
      </w:pPr>
      <w:r>
        <w:rPr>
          <w:rFonts w:hint="eastAsia" w:ascii="方正小标宋_GBK" w:hAnsi="黑体" w:eastAsia="方正小标宋_GBK"/>
          <w:b/>
          <w:bCs/>
          <w:sz w:val="28"/>
          <w:szCs w:val="28"/>
        </w:rPr>
        <w:t>（资料性附录）</w:t>
      </w:r>
    </w:p>
    <w:p>
      <w:pPr>
        <w:jc w:val="center"/>
        <w:rPr>
          <w:rFonts w:ascii="方正小标宋_GBK" w:hAnsi="黑体" w:eastAsia="方正小标宋_GBK"/>
          <w:b/>
          <w:bCs/>
          <w:sz w:val="28"/>
          <w:szCs w:val="28"/>
        </w:rPr>
      </w:pPr>
    </w:p>
    <w:p>
      <w:pPr>
        <w:jc w:val="center"/>
        <w:outlineLvl w:val="1"/>
        <w:rPr>
          <w:rFonts w:ascii="方正小标宋_GBK" w:hAnsi="黑体" w:eastAsia="方正小标宋_GBK"/>
          <w:b/>
          <w:bCs/>
          <w:sz w:val="28"/>
          <w:szCs w:val="28"/>
        </w:rPr>
      </w:pPr>
      <w:bookmarkStart w:id="224" w:name="_Toc119336637"/>
      <w:bookmarkStart w:id="225" w:name="_Toc117541355"/>
      <w:r>
        <w:rPr>
          <w:rFonts w:hint="eastAsia" w:ascii="方正小标宋_GBK" w:hAnsi="黑体" w:eastAsia="方正小标宋_GBK"/>
          <w:b/>
          <w:bCs/>
          <w:sz w:val="28"/>
          <w:szCs w:val="28"/>
        </w:rPr>
        <w:t>《危险源辨识与风险评价报告》主要内容及要求</w:t>
      </w:r>
      <w:bookmarkEnd w:id="224"/>
      <w:bookmarkEnd w:id="225"/>
    </w:p>
    <w:p>
      <w:pPr>
        <w:rPr>
          <w:rFonts w:asciiTheme="minorEastAsia" w:hAnsiTheme="minorEastAsia" w:eastAsiaTheme="minorEastAsia"/>
          <w:sz w:val="21"/>
          <w:szCs w:val="21"/>
        </w:rPr>
      </w:pPr>
    </w:p>
    <w:p>
      <w:pPr>
        <w:spacing w:line="520" w:lineRule="exact"/>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一、工程简介：</w:t>
      </w:r>
    </w:p>
    <w:p>
      <w:pPr>
        <w:spacing w:line="520" w:lineRule="exact"/>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工程概况，对施工作业环境、危险物质仓储区、生活及办公区自然环境、危险特性、工作或作业持续时间等进行描述。（水利水电工程施工）</w:t>
      </w:r>
    </w:p>
    <w:p>
      <w:pPr>
        <w:spacing w:line="520" w:lineRule="exact"/>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工程概况（包括工程组成、工程等别、设计标准、抗震等级、主要特征值、工程地质条件及周边自然环境等），工程运行管理概况（工程建设年份及运行时间、安全鉴定情况、除险加固情况，危险物质仓储区、生活及办公区的危险特性描述等），管理单位安全生产管理基本情况。（水库、水闸运行，水电站、泵站运行，堤防、淤地坝运行）</w:t>
      </w:r>
    </w:p>
    <w:p>
      <w:pPr>
        <w:spacing w:line="520" w:lineRule="exact"/>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二、危险源辨识与风险评价主要依据。</w:t>
      </w:r>
    </w:p>
    <w:p>
      <w:pPr>
        <w:spacing w:line="520" w:lineRule="exact"/>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三、危险源辨识和风险评价方法：结合工程运行管理实际选用相适应的方法。</w:t>
      </w:r>
    </w:p>
    <w:p>
      <w:pPr>
        <w:spacing w:line="520" w:lineRule="exact"/>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四、危险源辨识与风险评价内容：危险源名称、类别、级别、所在部位或项目、事故诱因、可能导致的事故，危险源风险等级。</w:t>
      </w:r>
    </w:p>
    <w:p>
      <w:pPr>
        <w:spacing w:line="520" w:lineRule="exact"/>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五、安全管控措施：根据危险源辨识与风险评价结果，对危险源提出安全管理制度、技术及管理措施等。</w:t>
      </w:r>
    </w:p>
    <w:p>
      <w:pPr>
        <w:spacing w:line="520" w:lineRule="exact"/>
        <w:ind w:firstLine="560" w:firstLineChars="200"/>
        <w:rPr>
          <w:rFonts w:asciiTheme="minorEastAsia" w:hAnsiTheme="minorEastAsia" w:eastAsiaTheme="minorEastAsia"/>
          <w:sz w:val="28"/>
          <w:szCs w:val="28"/>
        </w:rPr>
        <w:sectPr>
          <w:pgSz w:w="11906" w:h="16838"/>
          <w:pgMar w:top="1440" w:right="1797" w:bottom="1440" w:left="1797" w:header="851" w:footer="992" w:gutter="0"/>
          <w:cols w:space="425" w:num="1"/>
          <w:docGrid w:type="lines" w:linePitch="435" w:charSpace="0"/>
        </w:sectPr>
      </w:pPr>
      <w:r>
        <w:rPr>
          <w:rFonts w:hint="eastAsia" w:asciiTheme="minorEastAsia" w:hAnsiTheme="minorEastAsia" w:eastAsiaTheme="minorEastAsia"/>
          <w:sz w:val="28"/>
          <w:szCs w:val="28"/>
        </w:rPr>
        <w:t>六、应急预案：根据危险源辨识与风险评价结果，提出有关应急预案。</w:t>
      </w:r>
    </w:p>
    <w:p>
      <w:pPr>
        <w:jc w:val="center"/>
        <w:outlineLvl w:val="0"/>
        <w:rPr>
          <w:rFonts w:ascii="方正小标宋_GBK" w:hAnsi="黑体" w:eastAsia="方正小标宋_GBK"/>
          <w:b/>
          <w:bCs/>
          <w:sz w:val="28"/>
          <w:szCs w:val="28"/>
        </w:rPr>
      </w:pPr>
      <w:bookmarkStart w:id="226" w:name="_Toc117541356"/>
      <w:bookmarkStart w:id="227" w:name="_Toc119336638"/>
      <w:r>
        <w:rPr>
          <w:rFonts w:hint="eastAsia" w:ascii="方正小标宋_GBK" w:hAnsi="黑体" w:eastAsia="方正小标宋_GBK"/>
          <w:b/>
          <w:bCs/>
          <w:sz w:val="28"/>
          <w:szCs w:val="28"/>
        </w:rPr>
        <w:t>附录H.1</w:t>
      </w:r>
      <w:bookmarkEnd w:id="226"/>
      <w:bookmarkEnd w:id="227"/>
    </w:p>
    <w:p>
      <w:pPr>
        <w:jc w:val="center"/>
        <w:rPr>
          <w:rFonts w:ascii="方正小标宋_GBK" w:hAnsi="黑体" w:eastAsia="方正小标宋_GBK"/>
          <w:b/>
          <w:bCs/>
          <w:sz w:val="28"/>
          <w:szCs w:val="28"/>
        </w:rPr>
      </w:pPr>
      <w:r>
        <w:rPr>
          <w:rFonts w:hint="eastAsia" w:ascii="方正小标宋_GBK" w:hAnsi="黑体" w:eastAsia="方正小标宋_GBK"/>
          <w:b/>
          <w:bCs/>
          <w:sz w:val="28"/>
          <w:szCs w:val="28"/>
        </w:rPr>
        <w:t>（资料性附录）</w:t>
      </w:r>
    </w:p>
    <w:p>
      <w:pPr>
        <w:jc w:val="center"/>
        <w:rPr>
          <w:rFonts w:ascii="方正小标宋_GBK" w:hAnsi="黑体" w:eastAsia="方正小标宋_GBK"/>
          <w:b/>
          <w:bCs/>
          <w:sz w:val="28"/>
          <w:szCs w:val="28"/>
        </w:rPr>
      </w:pPr>
      <w:r>
        <w:rPr>
          <w:rFonts w:hint="eastAsia" w:ascii="方正小标宋_GBK" w:hAnsi="黑体" w:eastAsia="方正小标宋_GBK"/>
          <w:b/>
          <w:bCs/>
          <w:sz w:val="28"/>
          <w:szCs w:val="28"/>
        </w:rPr>
        <w:t>《风险分级管控清单（或危险源基本信息）》</w:t>
      </w:r>
    </w:p>
    <w:p>
      <w:pPr>
        <w:jc w:val="center"/>
        <w:rPr>
          <w:rFonts w:ascii="方正小标宋_GBK" w:hAnsi="黑体" w:eastAsia="方正小标宋_GBK"/>
          <w:b/>
          <w:bCs/>
          <w:sz w:val="28"/>
          <w:szCs w:val="28"/>
        </w:rPr>
      </w:pPr>
    </w:p>
    <w:p>
      <w:pPr>
        <w:jc w:val="center"/>
        <w:outlineLvl w:val="1"/>
        <w:rPr>
          <w:rFonts w:ascii="方正小标宋_GBK" w:hAnsi="黑体" w:eastAsia="方正小标宋_GBK"/>
          <w:b/>
          <w:bCs/>
          <w:sz w:val="28"/>
          <w:szCs w:val="28"/>
        </w:rPr>
      </w:pPr>
      <w:bookmarkStart w:id="228" w:name="_Toc119336639"/>
      <w:bookmarkStart w:id="229" w:name="_Toc117541357"/>
      <w:r>
        <w:rPr>
          <w:rFonts w:hint="eastAsia" w:ascii="方正小标宋_GBK" w:hAnsi="黑体" w:eastAsia="方正小标宋_GBK"/>
          <w:b/>
          <w:bCs/>
          <w:sz w:val="28"/>
          <w:szCs w:val="28"/>
        </w:rPr>
        <w:t>风险分级管控清单</w:t>
      </w:r>
      <w:bookmarkEnd w:id="228"/>
      <w:bookmarkEnd w:id="229"/>
    </w:p>
    <w:p>
      <w:pPr>
        <w:jc w:val="left"/>
        <w:rPr>
          <w:rFonts w:ascii="仿宋" w:hAnsi="仿宋" w:eastAsia="仿宋" w:cs="仿宋_GB2312"/>
        </w:rPr>
      </w:pPr>
      <w:r>
        <w:rPr>
          <w:rFonts w:hint="eastAsia" w:ascii="宋体" w:hAnsi="宋体" w:eastAsia="宋体" w:cs="宋体"/>
          <w:b/>
          <w:sz w:val="21"/>
          <w:szCs w:val="21"/>
        </w:rPr>
        <w:t xml:space="preserve">单位（项目部）： </w:t>
      </w:r>
      <w:r>
        <w:rPr>
          <w:rFonts w:ascii="宋体" w:hAnsi="宋体" w:eastAsia="宋体" w:cs="宋体"/>
          <w:b/>
          <w:sz w:val="21"/>
          <w:szCs w:val="21"/>
        </w:rPr>
        <w:t xml:space="preserve">                                                                       </w:t>
      </w:r>
      <w:r>
        <w:rPr>
          <w:rFonts w:hint="eastAsia" w:ascii="宋体" w:hAnsi="宋体" w:eastAsia="宋体" w:cs="宋体"/>
          <w:b/>
          <w:sz w:val="21"/>
          <w:szCs w:val="21"/>
        </w:rPr>
        <w:t>日期：</w:t>
      </w:r>
    </w:p>
    <w:tbl>
      <w:tblPr>
        <w:tblStyle w:val="34"/>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71"/>
        <w:gridCol w:w="944"/>
        <w:gridCol w:w="720"/>
        <w:gridCol w:w="1732"/>
        <w:gridCol w:w="1440"/>
        <w:gridCol w:w="1429"/>
        <w:gridCol w:w="1024"/>
        <w:gridCol w:w="825"/>
        <w:gridCol w:w="1324"/>
        <w:gridCol w:w="1321"/>
        <w:gridCol w:w="1322"/>
        <w:gridCol w:w="132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97" w:hRule="atLeast"/>
          <w:tblHeader/>
        </w:trPr>
        <w:tc>
          <w:tcPr>
            <w:tcW w:w="272" w:type="pct"/>
            <w:vAlign w:val="center"/>
          </w:tcPr>
          <w:p>
            <w:pPr>
              <w:jc w:val="center"/>
              <w:rPr>
                <w:rFonts w:ascii="宋体" w:hAnsi="宋体" w:eastAsia="宋体" w:cs="宋体"/>
                <w:b/>
                <w:sz w:val="21"/>
                <w:szCs w:val="21"/>
              </w:rPr>
            </w:pPr>
            <w:bookmarkStart w:id="230" w:name="_Hlk78810912"/>
            <w:r>
              <w:rPr>
                <w:rFonts w:hint="eastAsia" w:ascii="宋体" w:hAnsi="宋体" w:eastAsia="宋体" w:cs="宋体"/>
                <w:b/>
                <w:sz w:val="21"/>
                <w:szCs w:val="21"/>
              </w:rPr>
              <w:t>序号</w:t>
            </w:r>
          </w:p>
        </w:tc>
        <w:tc>
          <w:tcPr>
            <w:tcW w:w="333" w:type="pct"/>
            <w:vAlign w:val="center"/>
          </w:tcPr>
          <w:p>
            <w:pPr>
              <w:jc w:val="center"/>
              <w:rPr>
                <w:rFonts w:ascii="宋体" w:hAnsi="宋体" w:eastAsia="宋体" w:cs="宋体"/>
                <w:b/>
                <w:sz w:val="21"/>
                <w:szCs w:val="21"/>
              </w:rPr>
            </w:pPr>
            <w:r>
              <w:rPr>
                <w:rFonts w:hint="eastAsia" w:ascii="宋体" w:hAnsi="宋体" w:eastAsia="宋体" w:cs="宋体"/>
                <w:b/>
                <w:sz w:val="21"/>
                <w:szCs w:val="21"/>
              </w:rPr>
              <w:t>危险源</w:t>
            </w:r>
          </w:p>
          <w:p>
            <w:pPr>
              <w:jc w:val="center"/>
              <w:rPr>
                <w:rFonts w:ascii="宋体" w:hAnsi="宋体" w:eastAsia="宋体" w:cs="宋体"/>
                <w:b/>
                <w:sz w:val="21"/>
                <w:szCs w:val="21"/>
              </w:rPr>
            </w:pPr>
            <w:r>
              <w:rPr>
                <w:rFonts w:hint="eastAsia" w:ascii="宋体" w:hAnsi="宋体" w:eastAsia="宋体" w:cs="宋体"/>
                <w:b/>
                <w:sz w:val="21"/>
                <w:szCs w:val="21"/>
              </w:rPr>
              <w:t>类别</w:t>
            </w:r>
          </w:p>
        </w:tc>
        <w:tc>
          <w:tcPr>
            <w:tcW w:w="254" w:type="pct"/>
            <w:vAlign w:val="center"/>
          </w:tcPr>
          <w:p>
            <w:pPr>
              <w:jc w:val="center"/>
              <w:rPr>
                <w:rFonts w:ascii="宋体" w:hAnsi="宋体" w:eastAsia="宋体" w:cs="宋体"/>
                <w:b/>
                <w:sz w:val="21"/>
                <w:szCs w:val="21"/>
              </w:rPr>
            </w:pPr>
            <w:r>
              <w:rPr>
                <w:rFonts w:hint="eastAsia" w:ascii="宋体" w:hAnsi="宋体" w:eastAsia="宋体" w:cs="宋体"/>
                <w:b/>
                <w:sz w:val="21"/>
                <w:szCs w:val="21"/>
              </w:rPr>
              <w:t>项目</w:t>
            </w:r>
          </w:p>
        </w:tc>
        <w:tc>
          <w:tcPr>
            <w:tcW w:w="611" w:type="pct"/>
            <w:vAlign w:val="center"/>
          </w:tcPr>
          <w:p>
            <w:pPr>
              <w:rPr>
                <w:rFonts w:ascii="宋体" w:hAnsi="宋体" w:eastAsia="宋体" w:cs="宋体"/>
                <w:b/>
                <w:sz w:val="21"/>
                <w:szCs w:val="21"/>
              </w:rPr>
            </w:pPr>
            <w:r>
              <w:rPr>
                <w:rFonts w:hint="eastAsia" w:ascii="宋体" w:hAnsi="宋体" w:eastAsia="宋体" w:cs="宋体"/>
                <w:b/>
                <w:sz w:val="21"/>
                <w:szCs w:val="21"/>
              </w:rPr>
              <w:t>作业区域（步骤/部位/环节）</w:t>
            </w:r>
          </w:p>
        </w:tc>
        <w:tc>
          <w:tcPr>
            <w:tcW w:w="508" w:type="pct"/>
            <w:vAlign w:val="center"/>
          </w:tcPr>
          <w:p>
            <w:pPr>
              <w:jc w:val="center"/>
              <w:rPr>
                <w:rFonts w:ascii="宋体" w:hAnsi="宋体" w:eastAsia="宋体" w:cs="宋体"/>
                <w:b/>
                <w:sz w:val="21"/>
                <w:szCs w:val="21"/>
              </w:rPr>
            </w:pPr>
            <w:r>
              <w:rPr>
                <w:rFonts w:hint="eastAsia" w:ascii="宋体" w:hAnsi="宋体" w:eastAsia="宋体" w:cs="宋体"/>
                <w:b/>
                <w:sz w:val="21"/>
                <w:szCs w:val="21"/>
              </w:rPr>
              <w:t>危险源名称</w:t>
            </w:r>
          </w:p>
        </w:tc>
        <w:tc>
          <w:tcPr>
            <w:tcW w:w="504" w:type="pct"/>
            <w:vAlign w:val="center"/>
          </w:tcPr>
          <w:p>
            <w:pPr>
              <w:jc w:val="center"/>
              <w:rPr>
                <w:rFonts w:ascii="宋体" w:hAnsi="宋体" w:eastAsia="宋体" w:cs="宋体"/>
                <w:b/>
                <w:sz w:val="21"/>
                <w:szCs w:val="21"/>
              </w:rPr>
            </w:pPr>
            <w:r>
              <w:rPr>
                <w:rFonts w:hint="eastAsia" w:ascii="宋体" w:hAnsi="宋体" w:eastAsia="宋体" w:cs="宋体"/>
                <w:b/>
                <w:sz w:val="21"/>
                <w:szCs w:val="21"/>
              </w:rPr>
              <w:t>可能导致的事故类型</w:t>
            </w:r>
          </w:p>
        </w:tc>
        <w:tc>
          <w:tcPr>
            <w:tcW w:w="361" w:type="pct"/>
            <w:vAlign w:val="center"/>
          </w:tcPr>
          <w:p>
            <w:pPr>
              <w:jc w:val="center"/>
              <w:rPr>
                <w:rFonts w:ascii="宋体" w:hAnsi="宋体" w:eastAsia="宋体" w:cs="宋体"/>
                <w:b/>
                <w:sz w:val="21"/>
                <w:szCs w:val="21"/>
              </w:rPr>
            </w:pPr>
            <w:r>
              <w:rPr>
                <w:rFonts w:hint="eastAsia" w:ascii="宋体" w:hAnsi="宋体" w:eastAsia="宋体" w:cs="宋体"/>
                <w:b/>
                <w:sz w:val="21"/>
                <w:szCs w:val="21"/>
              </w:rPr>
              <w:t>危险源级别</w:t>
            </w:r>
          </w:p>
        </w:tc>
        <w:tc>
          <w:tcPr>
            <w:tcW w:w="291" w:type="pct"/>
            <w:vAlign w:val="center"/>
          </w:tcPr>
          <w:p>
            <w:pPr>
              <w:jc w:val="center"/>
              <w:rPr>
                <w:rFonts w:ascii="宋体" w:hAnsi="宋体" w:eastAsia="宋体" w:cs="宋体"/>
                <w:b/>
                <w:sz w:val="21"/>
                <w:szCs w:val="21"/>
              </w:rPr>
            </w:pPr>
            <w:r>
              <w:rPr>
                <w:rFonts w:hint="eastAsia" w:ascii="宋体" w:hAnsi="宋体" w:eastAsia="宋体" w:cs="宋体"/>
                <w:b/>
                <w:sz w:val="21"/>
                <w:szCs w:val="21"/>
              </w:rPr>
              <w:t>风险等级</w:t>
            </w:r>
          </w:p>
        </w:tc>
        <w:tc>
          <w:tcPr>
            <w:tcW w:w="467" w:type="pct"/>
            <w:vAlign w:val="center"/>
          </w:tcPr>
          <w:p>
            <w:pPr>
              <w:jc w:val="center"/>
              <w:rPr>
                <w:rFonts w:ascii="宋体" w:hAnsi="宋体" w:eastAsia="宋体" w:cs="宋体"/>
                <w:b/>
                <w:sz w:val="21"/>
                <w:szCs w:val="21"/>
              </w:rPr>
            </w:pPr>
            <w:r>
              <w:rPr>
                <w:rFonts w:hint="eastAsia" w:ascii="宋体" w:hAnsi="宋体" w:eastAsia="宋体" w:cs="宋体"/>
                <w:b/>
                <w:sz w:val="21"/>
                <w:szCs w:val="21"/>
              </w:rPr>
              <w:t>颜色</w:t>
            </w:r>
          </w:p>
          <w:p>
            <w:pPr>
              <w:jc w:val="center"/>
              <w:rPr>
                <w:rFonts w:ascii="宋体" w:hAnsi="宋体" w:eastAsia="宋体" w:cs="宋体"/>
                <w:b/>
                <w:sz w:val="21"/>
                <w:szCs w:val="21"/>
              </w:rPr>
            </w:pPr>
            <w:r>
              <w:rPr>
                <w:rFonts w:hint="eastAsia" w:ascii="宋体" w:hAnsi="宋体" w:eastAsia="宋体" w:cs="宋体"/>
                <w:b/>
                <w:sz w:val="21"/>
                <w:szCs w:val="21"/>
              </w:rPr>
              <w:t>标识</w:t>
            </w:r>
          </w:p>
        </w:tc>
        <w:tc>
          <w:tcPr>
            <w:tcW w:w="466" w:type="pct"/>
            <w:vAlign w:val="center"/>
          </w:tcPr>
          <w:p>
            <w:pPr>
              <w:jc w:val="center"/>
              <w:rPr>
                <w:rFonts w:ascii="宋体" w:hAnsi="宋体" w:eastAsia="宋体" w:cs="宋体"/>
                <w:b/>
                <w:sz w:val="21"/>
                <w:szCs w:val="21"/>
              </w:rPr>
            </w:pPr>
            <w:r>
              <w:rPr>
                <w:rFonts w:hint="eastAsia" w:ascii="宋体" w:hAnsi="宋体" w:eastAsia="宋体" w:cs="宋体"/>
                <w:b/>
                <w:sz w:val="21"/>
                <w:szCs w:val="21"/>
              </w:rPr>
              <w:t>管控措施</w:t>
            </w:r>
          </w:p>
        </w:tc>
        <w:tc>
          <w:tcPr>
            <w:tcW w:w="466" w:type="pct"/>
            <w:vAlign w:val="center"/>
          </w:tcPr>
          <w:p>
            <w:pPr>
              <w:jc w:val="center"/>
              <w:rPr>
                <w:rFonts w:ascii="宋体" w:hAnsi="宋体" w:eastAsia="宋体" w:cs="宋体"/>
                <w:b/>
                <w:sz w:val="21"/>
                <w:szCs w:val="21"/>
              </w:rPr>
            </w:pPr>
            <w:r>
              <w:rPr>
                <w:rFonts w:ascii="宋体" w:hAnsi="宋体" w:eastAsia="宋体" w:cs="宋体"/>
                <w:b/>
                <w:sz w:val="21"/>
                <w:szCs w:val="21"/>
              </w:rPr>
              <w:t>管控层级</w:t>
            </w:r>
          </w:p>
        </w:tc>
        <w:tc>
          <w:tcPr>
            <w:tcW w:w="466" w:type="pct"/>
            <w:vAlign w:val="center"/>
          </w:tcPr>
          <w:p>
            <w:pPr>
              <w:jc w:val="center"/>
              <w:rPr>
                <w:rFonts w:ascii="宋体" w:hAnsi="宋体" w:eastAsia="宋体" w:cs="宋体"/>
                <w:b/>
                <w:sz w:val="21"/>
                <w:szCs w:val="21"/>
              </w:rPr>
            </w:pPr>
            <w:r>
              <w:rPr>
                <w:rFonts w:hint="eastAsia" w:ascii="宋体" w:hAnsi="宋体" w:eastAsia="宋体" w:cs="宋体"/>
                <w:b/>
                <w:sz w:val="21"/>
                <w:szCs w:val="21"/>
              </w:rPr>
              <w:t>责任人及</w:t>
            </w:r>
          </w:p>
          <w:p>
            <w:pPr>
              <w:jc w:val="center"/>
              <w:rPr>
                <w:rFonts w:ascii="宋体" w:hAnsi="宋体" w:eastAsia="宋体" w:cs="宋体"/>
                <w:b/>
                <w:sz w:val="21"/>
                <w:szCs w:val="21"/>
              </w:rPr>
            </w:pPr>
            <w:r>
              <w:rPr>
                <w:rFonts w:hint="eastAsia" w:ascii="宋体" w:hAnsi="宋体" w:eastAsia="宋体" w:cs="宋体"/>
                <w:b/>
                <w:sz w:val="21"/>
                <w:szCs w:val="21"/>
              </w:rPr>
              <w:t>联系方式</w:t>
            </w:r>
          </w:p>
        </w:tc>
      </w:tr>
      <w:bookmarkEnd w:id="230"/>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25" w:hRule="atLeast"/>
          <w:tblHeader/>
        </w:trPr>
        <w:tc>
          <w:tcPr>
            <w:tcW w:w="272" w:type="pct"/>
            <w:vAlign w:val="center"/>
          </w:tcPr>
          <w:p>
            <w:pPr>
              <w:numPr>
                <w:ilvl w:val="0"/>
                <w:numId w:val="3"/>
              </w:numPr>
              <w:jc w:val="center"/>
              <w:rPr>
                <w:rFonts w:ascii="宋体" w:hAnsi="宋体" w:eastAsia="宋体" w:cs="宋体"/>
                <w:b/>
                <w:sz w:val="21"/>
                <w:szCs w:val="21"/>
              </w:rPr>
            </w:pPr>
          </w:p>
        </w:tc>
        <w:tc>
          <w:tcPr>
            <w:tcW w:w="333" w:type="pct"/>
            <w:vAlign w:val="center"/>
          </w:tcPr>
          <w:p>
            <w:pPr>
              <w:jc w:val="left"/>
              <w:rPr>
                <w:rFonts w:ascii="宋体" w:hAnsi="宋体" w:eastAsia="宋体" w:cs="宋体"/>
                <w:b/>
                <w:sz w:val="21"/>
                <w:szCs w:val="21"/>
              </w:rPr>
            </w:pPr>
          </w:p>
        </w:tc>
        <w:tc>
          <w:tcPr>
            <w:tcW w:w="254" w:type="pct"/>
          </w:tcPr>
          <w:p>
            <w:pPr>
              <w:jc w:val="left"/>
              <w:rPr>
                <w:rFonts w:ascii="宋体" w:hAnsi="宋体" w:eastAsia="宋体" w:cs="宋体"/>
                <w:b/>
                <w:sz w:val="21"/>
                <w:szCs w:val="21"/>
              </w:rPr>
            </w:pPr>
          </w:p>
        </w:tc>
        <w:tc>
          <w:tcPr>
            <w:tcW w:w="611" w:type="pct"/>
            <w:vAlign w:val="center"/>
          </w:tcPr>
          <w:p>
            <w:pPr>
              <w:jc w:val="left"/>
              <w:rPr>
                <w:rFonts w:ascii="宋体" w:hAnsi="宋体" w:eastAsia="宋体" w:cs="宋体"/>
                <w:b/>
                <w:sz w:val="21"/>
                <w:szCs w:val="21"/>
              </w:rPr>
            </w:pPr>
          </w:p>
        </w:tc>
        <w:tc>
          <w:tcPr>
            <w:tcW w:w="508" w:type="pct"/>
            <w:vAlign w:val="center"/>
          </w:tcPr>
          <w:p>
            <w:pPr>
              <w:jc w:val="left"/>
              <w:rPr>
                <w:rFonts w:ascii="宋体" w:hAnsi="宋体" w:eastAsia="宋体" w:cs="宋体"/>
                <w:b/>
                <w:sz w:val="21"/>
                <w:szCs w:val="21"/>
              </w:rPr>
            </w:pPr>
          </w:p>
        </w:tc>
        <w:tc>
          <w:tcPr>
            <w:tcW w:w="504" w:type="pct"/>
            <w:vAlign w:val="center"/>
          </w:tcPr>
          <w:p>
            <w:pPr>
              <w:jc w:val="center"/>
              <w:rPr>
                <w:rFonts w:ascii="宋体" w:hAnsi="宋体" w:eastAsia="宋体" w:cs="宋体"/>
                <w:b/>
                <w:sz w:val="21"/>
                <w:szCs w:val="21"/>
              </w:rPr>
            </w:pPr>
          </w:p>
        </w:tc>
        <w:tc>
          <w:tcPr>
            <w:tcW w:w="361" w:type="pct"/>
            <w:vAlign w:val="center"/>
          </w:tcPr>
          <w:p>
            <w:pPr>
              <w:jc w:val="left"/>
              <w:rPr>
                <w:rFonts w:ascii="宋体" w:hAnsi="宋体" w:eastAsia="宋体" w:cs="宋体"/>
                <w:b/>
                <w:sz w:val="21"/>
                <w:szCs w:val="21"/>
              </w:rPr>
            </w:pPr>
          </w:p>
        </w:tc>
        <w:tc>
          <w:tcPr>
            <w:tcW w:w="291" w:type="pct"/>
            <w:vAlign w:val="center"/>
          </w:tcPr>
          <w:p>
            <w:pPr>
              <w:jc w:val="left"/>
              <w:rPr>
                <w:rFonts w:ascii="宋体" w:hAnsi="宋体" w:eastAsia="宋体" w:cs="宋体"/>
                <w:b/>
                <w:sz w:val="21"/>
                <w:szCs w:val="21"/>
              </w:rPr>
            </w:pPr>
          </w:p>
        </w:tc>
        <w:tc>
          <w:tcPr>
            <w:tcW w:w="467" w:type="pct"/>
            <w:vAlign w:val="center"/>
          </w:tcPr>
          <w:p>
            <w:pPr>
              <w:jc w:val="left"/>
              <w:rPr>
                <w:rFonts w:ascii="宋体" w:hAnsi="宋体" w:eastAsia="宋体" w:cs="宋体"/>
                <w:b/>
                <w:sz w:val="21"/>
                <w:szCs w:val="21"/>
              </w:rPr>
            </w:pPr>
          </w:p>
        </w:tc>
        <w:tc>
          <w:tcPr>
            <w:tcW w:w="466" w:type="pct"/>
          </w:tcPr>
          <w:p>
            <w:pPr>
              <w:jc w:val="left"/>
              <w:rPr>
                <w:rFonts w:ascii="宋体" w:hAnsi="宋体" w:eastAsia="宋体" w:cs="宋体"/>
                <w:b/>
                <w:sz w:val="21"/>
                <w:szCs w:val="21"/>
              </w:rPr>
            </w:pPr>
          </w:p>
        </w:tc>
        <w:tc>
          <w:tcPr>
            <w:tcW w:w="466" w:type="pct"/>
          </w:tcPr>
          <w:p>
            <w:pPr>
              <w:jc w:val="left"/>
              <w:rPr>
                <w:rFonts w:ascii="宋体" w:hAnsi="宋体" w:eastAsia="宋体" w:cs="宋体"/>
                <w:b/>
                <w:sz w:val="21"/>
                <w:szCs w:val="21"/>
              </w:rPr>
            </w:pPr>
          </w:p>
        </w:tc>
        <w:tc>
          <w:tcPr>
            <w:tcW w:w="466" w:type="pct"/>
          </w:tcPr>
          <w:p>
            <w:pPr>
              <w:jc w:val="left"/>
              <w:rPr>
                <w:rFonts w:ascii="宋体" w:hAnsi="宋体" w:eastAsia="宋体" w:cs="宋体"/>
                <w:b/>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25" w:hRule="atLeast"/>
          <w:tblHeader/>
        </w:trPr>
        <w:tc>
          <w:tcPr>
            <w:tcW w:w="272" w:type="pct"/>
            <w:vAlign w:val="center"/>
          </w:tcPr>
          <w:p>
            <w:pPr>
              <w:numPr>
                <w:ilvl w:val="0"/>
                <w:numId w:val="3"/>
              </w:numPr>
              <w:jc w:val="center"/>
              <w:rPr>
                <w:rFonts w:ascii="宋体" w:hAnsi="宋体" w:eastAsia="宋体" w:cs="宋体"/>
                <w:b/>
                <w:sz w:val="21"/>
                <w:szCs w:val="21"/>
              </w:rPr>
            </w:pPr>
          </w:p>
        </w:tc>
        <w:tc>
          <w:tcPr>
            <w:tcW w:w="333" w:type="pct"/>
            <w:vAlign w:val="center"/>
          </w:tcPr>
          <w:p>
            <w:pPr>
              <w:jc w:val="left"/>
              <w:rPr>
                <w:rFonts w:ascii="宋体" w:hAnsi="宋体" w:eastAsia="宋体" w:cs="宋体"/>
                <w:b/>
                <w:sz w:val="21"/>
                <w:szCs w:val="21"/>
              </w:rPr>
            </w:pPr>
          </w:p>
        </w:tc>
        <w:tc>
          <w:tcPr>
            <w:tcW w:w="254" w:type="pct"/>
          </w:tcPr>
          <w:p>
            <w:pPr>
              <w:jc w:val="left"/>
              <w:rPr>
                <w:rFonts w:ascii="宋体" w:hAnsi="宋体" w:eastAsia="宋体" w:cs="宋体"/>
                <w:b/>
                <w:sz w:val="21"/>
                <w:szCs w:val="21"/>
              </w:rPr>
            </w:pPr>
          </w:p>
        </w:tc>
        <w:tc>
          <w:tcPr>
            <w:tcW w:w="611" w:type="pct"/>
            <w:vAlign w:val="center"/>
          </w:tcPr>
          <w:p>
            <w:pPr>
              <w:jc w:val="left"/>
              <w:rPr>
                <w:rFonts w:ascii="宋体" w:hAnsi="宋体" w:eastAsia="宋体" w:cs="宋体"/>
                <w:b/>
                <w:sz w:val="21"/>
                <w:szCs w:val="21"/>
              </w:rPr>
            </w:pPr>
          </w:p>
        </w:tc>
        <w:tc>
          <w:tcPr>
            <w:tcW w:w="508" w:type="pct"/>
            <w:vAlign w:val="center"/>
          </w:tcPr>
          <w:p>
            <w:pPr>
              <w:jc w:val="left"/>
              <w:rPr>
                <w:rFonts w:ascii="宋体" w:hAnsi="宋体" w:eastAsia="宋体" w:cs="宋体"/>
                <w:b/>
                <w:sz w:val="21"/>
                <w:szCs w:val="21"/>
              </w:rPr>
            </w:pPr>
          </w:p>
        </w:tc>
        <w:tc>
          <w:tcPr>
            <w:tcW w:w="504" w:type="pct"/>
            <w:vAlign w:val="center"/>
          </w:tcPr>
          <w:p>
            <w:pPr>
              <w:jc w:val="center"/>
              <w:rPr>
                <w:rFonts w:ascii="宋体" w:hAnsi="宋体" w:eastAsia="宋体" w:cs="宋体"/>
                <w:b/>
                <w:sz w:val="21"/>
                <w:szCs w:val="21"/>
              </w:rPr>
            </w:pPr>
          </w:p>
        </w:tc>
        <w:tc>
          <w:tcPr>
            <w:tcW w:w="361" w:type="pct"/>
            <w:vAlign w:val="center"/>
          </w:tcPr>
          <w:p>
            <w:pPr>
              <w:jc w:val="left"/>
              <w:rPr>
                <w:rFonts w:ascii="宋体" w:hAnsi="宋体" w:eastAsia="宋体" w:cs="宋体"/>
                <w:b/>
                <w:sz w:val="21"/>
                <w:szCs w:val="21"/>
              </w:rPr>
            </w:pPr>
          </w:p>
        </w:tc>
        <w:tc>
          <w:tcPr>
            <w:tcW w:w="291" w:type="pct"/>
            <w:vAlign w:val="center"/>
          </w:tcPr>
          <w:p>
            <w:pPr>
              <w:jc w:val="left"/>
              <w:rPr>
                <w:rFonts w:ascii="宋体" w:hAnsi="宋体" w:eastAsia="宋体" w:cs="宋体"/>
                <w:b/>
                <w:sz w:val="21"/>
                <w:szCs w:val="21"/>
              </w:rPr>
            </w:pPr>
          </w:p>
        </w:tc>
        <w:tc>
          <w:tcPr>
            <w:tcW w:w="467" w:type="pct"/>
            <w:vAlign w:val="center"/>
          </w:tcPr>
          <w:p>
            <w:pPr>
              <w:jc w:val="left"/>
              <w:rPr>
                <w:rFonts w:ascii="宋体" w:hAnsi="宋体" w:eastAsia="宋体" w:cs="宋体"/>
                <w:b/>
                <w:sz w:val="21"/>
                <w:szCs w:val="21"/>
              </w:rPr>
            </w:pPr>
          </w:p>
        </w:tc>
        <w:tc>
          <w:tcPr>
            <w:tcW w:w="466" w:type="pct"/>
          </w:tcPr>
          <w:p>
            <w:pPr>
              <w:jc w:val="left"/>
              <w:rPr>
                <w:rFonts w:ascii="宋体" w:hAnsi="宋体" w:eastAsia="宋体" w:cs="宋体"/>
                <w:b/>
                <w:sz w:val="21"/>
                <w:szCs w:val="21"/>
              </w:rPr>
            </w:pPr>
          </w:p>
        </w:tc>
        <w:tc>
          <w:tcPr>
            <w:tcW w:w="466" w:type="pct"/>
          </w:tcPr>
          <w:p>
            <w:pPr>
              <w:jc w:val="left"/>
              <w:rPr>
                <w:rFonts w:ascii="宋体" w:hAnsi="宋体" w:eastAsia="宋体" w:cs="宋体"/>
                <w:b/>
                <w:sz w:val="21"/>
                <w:szCs w:val="21"/>
              </w:rPr>
            </w:pPr>
          </w:p>
        </w:tc>
        <w:tc>
          <w:tcPr>
            <w:tcW w:w="466" w:type="pct"/>
          </w:tcPr>
          <w:p>
            <w:pPr>
              <w:jc w:val="left"/>
              <w:rPr>
                <w:rFonts w:ascii="宋体" w:hAnsi="宋体" w:eastAsia="宋体" w:cs="宋体"/>
                <w:b/>
                <w:sz w:val="21"/>
                <w:szCs w:val="21"/>
              </w:rPr>
            </w:pPr>
          </w:p>
        </w:tc>
      </w:tr>
    </w:tbl>
    <w:p>
      <w:pPr>
        <w:spacing w:line="400" w:lineRule="exact"/>
        <w:rPr>
          <w:rFonts w:ascii="宋体" w:hAnsi="宋体" w:eastAsia="宋体" w:cs="宋体"/>
          <w:b/>
          <w:sz w:val="21"/>
          <w:szCs w:val="21"/>
        </w:rPr>
      </w:pPr>
      <w:r>
        <w:rPr>
          <w:rFonts w:hint="eastAsia" w:ascii="宋体" w:hAnsi="宋体" w:eastAsia="宋体" w:cs="宋体"/>
          <w:b/>
          <w:bCs/>
          <w:szCs w:val="21"/>
        </w:rPr>
        <w:t xml:space="preserve"> </w:t>
      </w:r>
      <w:r>
        <w:rPr>
          <w:rFonts w:hint="eastAsia" w:ascii="宋体" w:hAnsi="宋体" w:eastAsia="宋体" w:cs="宋体"/>
          <w:b/>
          <w:bCs/>
          <w:sz w:val="21"/>
          <w:szCs w:val="21"/>
        </w:rPr>
        <w:t>审批：                                                                 编制：</w:t>
      </w:r>
    </w:p>
    <w:p>
      <w:pPr>
        <w:spacing w:line="400" w:lineRule="exact"/>
        <w:ind w:firstLine="371" w:firstLineChars="176"/>
        <w:jc w:val="left"/>
        <w:textAlignment w:val="center"/>
        <w:rPr>
          <w:rFonts w:ascii="宋体" w:hAnsi="宋体" w:eastAsia="宋体" w:cs="宋体"/>
          <w:b/>
          <w:sz w:val="21"/>
          <w:szCs w:val="21"/>
        </w:rPr>
      </w:pPr>
      <w:r>
        <w:rPr>
          <w:rFonts w:hint="eastAsia" w:ascii="宋体" w:hAnsi="宋体" w:eastAsia="宋体" w:cs="宋体"/>
          <w:b/>
          <w:sz w:val="21"/>
          <w:szCs w:val="21"/>
        </w:rPr>
        <w:t>说明：控制措施一般从工程技术措施、管理控制措施、个体防护措施、教育培训措施、应急处置措施、监测监控等方面进行制定，有关单位在使用时可依据实际情况对该表进行调整及增减控制措施类别。</w:t>
      </w:r>
    </w:p>
    <w:p>
      <w:pPr>
        <w:rPr>
          <w:rFonts w:asciiTheme="minorEastAsia" w:hAnsiTheme="minorEastAsia" w:eastAsiaTheme="minorEastAsia"/>
          <w:sz w:val="21"/>
          <w:szCs w:val="21"/>
        </w:rPr>
      </w:pPr>
    </w:p>
    <w:p>
      <w:pPr>
        <w:rPr>
          <w:rFonts w:asciiTheme="minorEastAsia" w:hAnsiTheme="minorEastAsia" w:eastAsiaTheme="minorEastAsia"/>
          <w:sz w:val="21"/>
          <w:szCs w:val="21"/>
        </w:rPr>
      </w:pPr>
    </w:p>
    <w:p>
      <w:pPr>
        <w:rPr>
          <w:rFonts w:asciiTheme="minorEastAsia" w:hAnsiTheme="minorEastAsia" w:eastAsiaTheme="minorEastAsia"/>
          <w:sz w:val="21"/>
          <w:szCs w:val="21"/>
        </w:rPr>
        <w:sectPr>
          <w:footerReference r:id="rId5" w:type="default"/>
          <w:pgSz w:w="16838" w:h="11906" w:orient="landscape"/>
          <w:pgMar w:top="1797" w:right="1440" w:bottom="1797" w:left="1440" w:header="851" w:footer="992" w:gutter="0"/>
          <w:cols w:space="425" w:num="1"/>
          <w:docGrid w:type="lines" w:linePitch="435" w:charSpace="0"/>
        </w:sectPr>
      </w:pPr>
    </w:p>
    <w:p>
      <w:pPr>
        <w:jc w:val="center"/>
        <w:outlineLvl w:val="0"/>
        <w:rPr>
          <w:rFonts w:ascii="方正小标宋_GBK" w:hAnsi="黑体" w:eastAsia="方正小标宋_GBK"/>
          <w:b/>
          <w:bCs/>
          <w:sz w:val="28"/>
          <w:szCs w:val="28"/>
        </w:rPr>
      </w:pPr>
      <w:bookmarkStart w:id="231" w:name="_Toc117541358"/>
      <w:bookmarkStart w:id="232" w:name="_Toc119336640"/>
      <w:r>
        <w:rPr>
          <w:rFonts w:hint="eastAsia" w:ascii="方正小标宋_GBK" w:hAnsi="黑体" w:eastAsia="方正小标宋_GBK"/>
          <w:b/>
          <w:bCs/>
          <w:sz w:val="28"/>
          <w:szCs w:val="28"/>
        </w:rPr>
        <w:t>附录H.2</w:t>
      </w:r>
      <w:bookmarkEnd w:id="231"/>
      <w:bookmarkEnd w:id="232"/>
    </w:p>
    <w:p>
      <w:pPr>
        <w:jc w:val="center"/>
        <w:rPr>
          <w:rFonts w:ascii="方正小标宋_GBK" w:hAnsi="黑体" w:eastAsia="方正小标宋_GBK"/>
          <w:b/>
          <w:bCs/>
          <w:sz w:val="28"/>
          <w:szCs w:val="28"/>
        </w:rPr>
      </w:pPr>
      <w:r>
        <w:rPr>
          <w:rFonts w:hint="eastAsia" w:ascii="方正小标宋_GBK" w:hAnsi="黑体" w:eastAsia="方正小标宋_GBK"/>
          <w:b/>
          <w:bCs/>
          <w:sz w:val="28"/>
          <w:szCs w:val="28"/>
        </w:rPr>
        <w:t>（资料性附录）</w:t>
      </w:r>
    </w:p>
    <w:p>
      <w:pPr>
        <w:jc w:val="center"/>
        <w:rPr>
          <w:rFonts w:ascii="方正小标宋_GBK" w:hAnsi="黑体" w:eastAsia="方正小标宋_GBK"/>
          <w:b/>
          <w:bCs/>
          <w:sz w:val="28"/>
          <w:szCs w:val="28"/>
        </w:rPr>
      </w:pPr>
    </w:p>
    <w:p>
      <w:pPr>
        <w:jc w:val="center"/>
        <w:outlineLvl w:val="1"/>
        <w:rPr>
          <w:rFonts w:ascii="方正小标宋_GBK" w:hAnsi="黑体" w:eastAsia="方正小标宋_GBK"/>
          <w:b/>
          <w:bCs/>
          <w:sz w:val="28"/>
          <w:szCs w:val="28"/>
        </w:rPr>
      </w:pPr>
      <w:bookmarkStart w:id="233" w:name="_Toc119336641"/>
      <w:bookmarkStart w:id="234" w:name="_Toc117541359"/>
      <w:r>
        <w:rPr>
          <w:rFonts w:hint="eastAsia" w:ascii="方正小标宋_GBK" w:hAnsi="黑体" w:eastAsia="方正小标宋_GBK"/>
          <w:b/>
          <w:bCs/>
          <w:sz w:val="28"/>
          <w:szCs w:val="28"/>
        </w:rPr>
        <w:t>风险管控措施评审记录表</w:t>
      </w:r>
      <w:bookmarkEnd w:id="233"/>
      <w:bookmarkEnd w:id="234"/>
    </w:p>
    <w:tbl>
      <w:tblPr>
        <w:tblStyle w:val="34"/>
        <w:tblW w:w="141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18"/>
        <w:gridCol w:w="851"/>
        <w:gridCol w:w="850"/>
        <w:gridCol w:w="851"/>
        <w:gridCol w:w="709"/>
        <w:gridCol w:w="850"/>
        <w:gridCol w:w="851"/>
        <w:gridCol w:w="992"/>
        <w:gridCol w:w="1276"/>
        <w:gridCol w:w="992"/>
        <w:gridCol w:w="1843"/>
        <w:gridCol w:w="708"/>
        <w:gridCol w:w="22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atLeast"/>
          <w:jc w:val="center"/>
        </w:trPr>
        <w:tc>
          <w:tcPr>
            <w:tcW w:w="611" w:type="dxa"/>
            <w:vAlign w:val="center"/>
          </w:tcPr>
          <w:p>
            <w:pPr>
              <w:widowControl w:val="0"/>
              <w:snapToGrid w:val="0"/>
              <w:spacing w:line="360" w:lineRule="exact"/>
              <w:rPr>
                <w:rFonts w:asciiTheme="minorEastAsia" w:hAnsiTheme="minorEastAsia" w:eastAsiaTheme="minorEastAsia"/>
                <w:kern w:val="2"/>
                <w:sz w:val="21"/>
                <w:szCs w:val="21"/>
              </w:rPr>
            </w:pPr>
            <w:r>
              <w:rPr>
                <w:rFonts w:asciiTheme="minorEastAsia" w:hAnsiTheme="minorEastAsia" w:eastAsiaTheme="minorEastAsia"/>
                <w:kern w:val="2"/>
                <w:sz w:val="21"/>
                <w:szCs w:val="21"/>
              </w:rPr>
              <w:t>序号</w:t>
            </w:r>
          </w:p>
        </w:tc>
        <w:tc>
          <w:tcPr>
            <w:tcW w:w="518" w:type="dxa"/>
            <w:vAlign w:val="center"/>
          </w:tcPr>
          <w:p>
            <w:pPr>
              <w:widowControl w:val="0"/>
              <w:snapToGrid w:val="0"/>
              <w:spacing w:line="360" w:lineRule="exact"/>
              <w:jc w:val="center"/>
              <w:rPr>
                <w:rFonts w:asciiTheme="minorEastAsia" w:hAnsiTheme="minorEastAsia" w:eastAsiaTheme="minorEastAsia"/>
                <w:kern w:val="2"/>
                <w:sz w:val="21"/>
                <w:szCs w:val="21"/>
              </w:rPr>
            </w:pPr>
            <w:r>
              <w:rPr>
                <w:rFonts w:asciiTheme="minorEastAsia" w:hAnsiTheme="minorEastAsia" w:eastAsiaTheme="minorEastAsia"/>
                <w:kern w:val="2"/>
                <w:sz w:val="21"/>
                <w:szCs w:val="21"/>
              </w:rPr>
              <w:t>类别</w:t>
            </w:r>
          </w:p>
        </w:tc>
        <w:tc>
          <w:tcPr>
            <w:tcW w:w="851" w:type="dxa"/>
            <w:vAlign w:val="center"/>
          </w:tcPr>
          <w:p>
            <w:pPr>
              <w:widowControl w:val="0"/>
              <w:snapToGrid w:val="0"/>
              <w:spacing w:line="360" w:lineRule="exact"/>
              <w:jc w:val="center"/>
              <w:rPr>
                <w:rFonts w:asciiTheme="minorEastAsia" w:hAnsiTheme="minorEastAsia" w:eastAsiaTheme="minorEastAsia"/>
                <w:kern w:val="2"/>
                <w:sz w:val="21"/>
                <w:szCs w:val="21"/>
              </w:rPr>
            </w:pPr>
            <w:r>
              <w:rPr>
                <w:rFonts w:asciiTheme="minorEastAsia" w:hAnsiTheme="minorEastAsia" w:eastAsiaTheme="minorEastAsia"/>
                <w:kern w:val="2"/>
                <w:sz w:val="21"/>
                <w:szCs w:val="21"/>
              </w:rPr>
              <w:t>危险源名称</w:t>
            </w:r>
          </w:p>
        </w:tc>
        <w:tc>
          <w:tcPr>
            <w:tcW w:w="850" w:type="dxa"/>
            <w:vAlign w:val="center"/>
          </w:tcPr>
          <w:p>
            <w:pPr>
              <w:widowControl w:val="0"/>
              <w:snapToGrid w:val="0"/>
              <w:spacing w:line="360" w:lineRule="exact"/>
              <w:jc w:val="center"/>
              <w:rPr>
                <w:rFonts w:asciiTheme="minorEastAsia" w:hAnsiTheme="minorEastAsia" w:eastAsiaTheme="minorEastAsia"/>
                <w:kern w:val="2"/>
                <w:sz w:val="21"/>
                <w:szCs w:val="21"/>
              </w:rPr>
            </w:pPr>
            <w:r>
              <w:rPr>
                <w:rFonts w:asciiTheme="minorEastAsia" w:hAnsiTheme="minorEastAsia" w:eastAsiaTheme="minorEastAsia"/>
                <w:kern w:val="2"/>
                <w:sz w:val="21"/>
                <w:szCs w:val="21"/>
              </w:rPr>
              <w:t>危险源级别</w:t>
            </w:r>
          </w:p>
        </w:tc>
        <w:tc>
          <w:tcPr>
            <w:tcW w:w="851" w:type="dxa"/>
            <w:vAlign w:val="center"/>
          </w:tcPr>
          <w:p>
            <w:pPr>
              <w:widowControl w:val="0"/>
              <w:snapToGrid w:val="0"/>
              <w:spacing w:line="360" w:lineRule="exact"/>
              <w:jc w:val="center"/>
              <w:rPr>
                <w:rFonts w:asciiTheme="minorEastAsia" w:hAnsiTheme="minorEastAsia" w:eastAsiaTheme="minorEastAsia"/>
                <w:kern w:val="2"/>
                <w:sz w:val="21"/>
                <w:szCs w:val="21"/>
              </w:rPr>
            </w:pPr>
            <w:r>
              <w:rPr>
                <w:rFonts w:asciiTheme="minorEastAsia" w:hAnsiTheme="minorEastAsia" w:eastAsiaTheme="minorEastAsia"/>
                <w:kern w:val="2"/>
                <w:sz w:val="21"/>
                <w:szCs w:val="21"/>
              </w:rPr>
              <w:t>潜在事故类型</w:t>
            </w:r>
          </w:p>
        </w:tc>
        <w:tc>
          <w:tcPr>
            <w:tcW w:w="709" w:type="dxa"/>
            <w:vAlign w:val="center"/>
          </w:tcPr>
          <w:p>
            <w:pPr>
              <w:widowControl w:val="0"/>
              <w:snapToGrid w:val="0"/>
              <w:spacing w:line="360" w:lineRule="exact"/>
              <w:jc w:val="center"/>
              <w:rPr>
                <w:rFonts w:asciiTheme="minorEastAsia" w:hAnsiTheme="minorEastAsia" w:eastAsiaTheme="minorEastAsia"/>
                <w:kern w:val="2"/>
                <w:sz w:val="21"/>
                <w:szCs w:val="21"/>
              </w:rPr>
            </w:pPr>
            <w:r>
              <w:rPr>
                <w:rFonts w:asciiTheme="minorEastAsia" w:hAnsiTheme="minorEastAsia" w:eastAsiaTheme="minorEastAsia"/>
                <w:kern w:val="2"/>
                <w:sz w:val="21"/>
                <w:szCs w:val="21"/>
              </w:rPr>
              <w:t>风险</w:t>
            </w:r>
          </w:p>
          <w:p>
            <w:pPr>
              <w:widowControl w:val="0"/>
              <w:snapToGrid w:val="0"/>
              <w:spacing w:line="360" w:lineRule="exact"/>
              <w:jc w:val="center"/>
              <w:rPr>
                <w:rFonts w:asciiTheme="minorEastAsia" w:hAnsiTheme="minorEastAsia" w:eastAsiaTheme="minorEastAsia"/>
                <w:kern w:val="2"/>
                <w:sz w:val="21"/>
                <w:szCs w:val="21"/>
              </w:rPr>
            </w:pPr>
            <w:r>
              <w:rPr>
                <w:rFonts w:asciiTheme="minorEastAsia" w:hAnsiTheme="minorEastAsia" w:eastAsiaTheme="minorEastAsia"/>
                <w:kern w:val="2"/>
                <w:sz w:val="21"/>
                <w:szCs w:val="21"/>
              </w:rPr>
              <w:t>等级</w:t>
            </w:r>
          </w:p>
        </w:tc>
        <w:tc>
          <w:tcPr>
            <w:tcW w:w="850" w:type="dxa"/>
            <w:vAlign w:val="center"/>
          </w:tcPr>
          <w:p>
            <w:pPr>
              <w:widowControl w:val="0"/>
              <w:snapToGrid w:val="0"/>
              <w:spacing w:line="360" w:lineRule="exact"/>
              <w:jc w:val="center"/>
              <w:rPr>
                <w:rFonts w:asciiTheme="minorEastAsia" w:hAnsiTheme="minorEastAsia" w:eastAsiaTheme="minorEastAsia"/>
                <w:kern w:val="2"/>
                <w:sz w:val="21"/>
                <w:szCs w:val="21"/>
              </w:rPr>
            </w:pPr>
            <w:r>
              <w:rPr>
                <w:rFonts w:asciiTheme="minorEastAsia" w:hAnsiTheme="minorEastAsia" w:eastAsiaTheme="minorEastAsia"/>
                <w:kern w:val="2"/>
                <w:sz w:val="21"/>
                <w:szCs w:val="21"/>
              </w:rPr>
              <w:t>风险主要控制措施</w:t>
            </w:r>
          </w:p>
        </w:tc>
        <w:tc>
          <w:tcPr>
            <w:tcW w:w="851" w:type="dxa"/>
            <w:vAlign w:val="center"/>
          </w:tcPr>
          <w:p>
            <w:pPr>
              <w:widowControl w:val="0"/>
              <w:snapToGrid w:val="0"/>
              <w:spacing w:line="360" w:lineRule="exact"/>
              <w:jc w:val="center"/>
              <w:rPr>
                <w:rFonts w:asciiTheme="minorEastAsia" w:hAnsiTheme="minorEastAsia" w:eastAsiaTheme="minorEastAsia"/>
                <w:kern w:val="2"/>
                <w:sz w:val="21"/>
                <w:szCs w:val="21"/>
              </w:rPr>
            </w:pPr>
            <w:r>
              <w:rPr>
                <w:rFonts w:asciiTheme="minorEastAsia" w:hAnsiTheme="minorEastAsia" w:eastAsiaTheme="minorEastAsia"/>
                <w:kern w:val="2"/>
                <w:sz w:val="21"/>
                <w:szCs w:val="21"/>
              </w:rPr>
              <w:t>是否可行和有效</w:t>
            </w:r>
          </w:p>
        </w:tc>
        <w:tc>
          <w:tcPr>
            <w:tcW w:w="992" w:type="dxa"/>
            <w:vAlign w:val="center"/>
          </w:tcPr>
          <w:p>
            <w:pPr>
              <w:widowControl w:val="0"/>
              <w:snapToGrid w:val="0"/>
              <w:spacing w:line="360" w:lineRule="exact"/>
              <w:jc w:val="center"/>
              <w:rPr>
                <w:rFonts w:asciiTheme="minorEastAsia" w:hAnsiTheme="minorEastAsia" w:eastAsiaTheme="minorEastAsia"/>
                <w:kern w:val="2"/>
                <w:sz w:val="21"/>
                <w:szCs w:val="21"/>
              </w:rPr>
            </w:pPr>
            <w:r>
              <w:rPr>
                <w:rFonts w:asciiTheme="minorEastAsia" w:hAnsiTheme="minorEastAsia" w:eastAsiaTheme="minorEastAsia"/>
                <w:kern w:val="2"/>
                <w:sz w:val="21"/>
                <w:szCs w:val="21"/>
              </w:rPr>
              <w:t>是否降至可接受风险</w:t>
            </w:r>
          </w:p>
        </w:tc>
        <w:tc>
          <w:tcPr>
            <w:tcW w:w="1276" w:type="dxa"/>
            <w:vAlign w:val="center"/>
          </w:tcPr>
          <w:p>
            <w:pPr>
              <w:widowControl w:val="0"/>
              <w:snapToGrid w:val="0"/>
              <w:spacing w:line="360" w:lineRule="exact"/>
              <w:jc w:val="center"/>
              <w:rPr>
                <w:rFonts w:asciiTheme="minorEastAsia" w:hAnsiTheme="minorEastAsia" w:eastAsiaTheme="minorEastAsia"/>
                <w:kern w:val="2"/>
                <w:sz w:val="21"/>
                <w:szCs w:val="21"/>
              </w:rPr>
            </w:pPr>
            <w:r>
              <w:rPr>
                <w:rFonts w:asciiTheme="minorEastAsia" w:hAnsiTheme="minorEastAsia" w:eastAsiaTheme="minorEastAsia"/>
                <w:kern w:val="2"/>
                <w:sz w:val="21"/>
                <w:szCs w:val="21"/>
              </w:rPr>
              <w:t>是否产生新危险源或危险有害因素</w:t>
            </w:r>
          </w:p>
        </w:tc>
        <w:tc>
          <w:tcPr>
            <w:tcW w:w="992" w:type="dxa"/>
            <w:vAlign w:val="center"/>
          </w:tcPr>
          <w:p>
            <w:pPr>
              <w:widowControl w:val="0"/>
              <w:snapToGrid w:val="0"/>
              <w:spacing w:line="360" w:lineRule="exact"/>
              <w:jc w:val="center"/>
              <w:rPr>
                <w:rFonts w:asciiTheme="minorEastAsia" w:hAnsiTheme="minorEastAsia" w:eastAsiaTheme="minorEastAsia"/>
                <w:kern w:val="2"/>
                <w:sz w:val="21"/>
                <w:szCs w:val="21"/>
              </w:rPr>
            </w:pPr>
            <w:r>
              <w:rPr>
                <w:rFonts w:asciiTheme="minorEastAsia" w:hAnsiTheme="minorEastAsia" w:eastAsiaTheme="minorEastAsia"/>
                <w:kern w:val="2"/>
                <w:sz w:val="21"/>
                <w:szCs w:val="21"/>
              </w:rPr>
              <w:t>是否最佳解决方案</w:t>
            </w:r>
          </w:p>
        </w:tc>
        <w:tc>
          <w:tcPr>
            <w:tcW w:w="1843" w:type="dxa"/>
          </w:tcPr>
          <w:p>
            <w:pPr>
              <w:widowControl w:val="0"/>
              <w:snapToGrid w:val="0"/>
              <w:spacing w:line="360" w:lineRule="exact"/>
              <w:jc w:val="center"/>
              <w:rPr>
                <w:rFonts w:asciiTheme="minorEastAsia" w:hAnsiTheme="minorEastAsia" w:eastAsiaTheme="minorEastAsia"/>
                <w:kern w:val="2"/>
                <w:sz w:val="21"/>
                <w:szCs w:val="21"/>
              </w:rPr>
            </w:pPr>
            <w:r>
              <w:rPr>
                <w:rFonts w:hint="eastAsia" w:asciiTheme="minorEastAsia" w:hAnsiTheme="minorEastAsia" w:eastAsiaTheme="minorEastAsia"/>
                <w:kern w:val="2"/>
                <w:sz w:val="21"/>
                <w:szCs w:val="21"/>
              </w:rPr>
              <w:t>是否有临时措施方案和（或）应急救援措施方案</w:t>
            </w:r>
          </w:p>
        </w:tc>
        <w:tc>
          <w:tcPr>
            <w:tcW w:w="708" w:type="dxa"/>
            <w:vAlign w:val="center"/>
          </w:tcPr>
          <w:p>
            <w:pPr>
              <w:widowControl w:val="0"/>
              <w:snapToGrid w:val="0"/>
              <w:spacing w:line="360" w:lineRule="exact"/>
              <w:jc w:val="center"/>
              <w:rPr>
                <w:rFonts w:asciiTheme="minorEastAsia" w:hAnsiTheme="minorEastAsia" w:eastAsiaTheme="minorEastAsia"/>
                <w:kern w:val="2"/>
                <w:sz w:val="21"/>
                <w:szCs w:val="21"/>
              </w:rPr>
            </w:pPr>
            <w:r>
              <w:rPr>
                <w:rFonts w:asciiTheme="minorEastAsia" w:hAnsiTheme="minorEastAsia" w:eastAsiaTheme="minorEastAsia"/>
                <w:kern w:val="2"/>
                <w:sz w:val="21"/>
                <w:szCs w:val="21"/>
              </w:rPr>
              <w:t>评审</w:t>
            </w:r>
          </w:p>
          <w:p>
            <w:pPr>
              <w:widowControl w:val="0"/>
              <w:snapToGrid w:val="0"/>
              <w:spacing w:line="360" w:lineRule="exact"/>
              <w:jc w:val="center"/>
              <w:rPr>
                <w:rFonts w:asciiTheme="minorEastAsia" w:hAnsiTheme="minorEastAsia" w:eastAsiaTheme="minorEastAsia"/>
                <w:kern w:val="2"/>
                <w:sz w:val="21"/>
                <w:szCs w:val="21"/>
              </w:rPr>
            </w:pPr>
            <w:r>
              <w:rPr>
                <w:rFonts w:asciiTheme="minorEastAsia" w:hAnsiTheme="minorEastAsia" w:eastAsiaTheme="minorEastAsia"/>
                <w:kern w:val="2"/>
                <w:sz w:val="21"/>
                <w:szCs w:val="21"/>
              </w:rPr>
              <w:t>结论</w:t>
            </w:r>
          </w:p>
        </w:tc>
        <w:tc>
          <w:tcPr>
            <w:tcW w:w="2291" w:type="dxa"/>
            <w:vAlign w:val="center"/>
          </w:tcPr>
          <w:p>
            <w:pPr>
              <w:widowControl w:val="0"/>
              <w:snapToGrid w:val="0"/>
              <w:spacing w:line="360" w:lineRule="exact"/>
              <w:jc w:val="center"/>
              <w:rPr>
                <w:rFonts w:asciiTheme="minorEastAsia" w:hAnsiTheme="minorEastAsia" w:eastAsiaTheme="minorEastAsia"/>
                <w:kern w:val="2"/>
                <w:sz w:val="21"/>
                <w:szCs w:val="21"/>
              </w:rPr>
            </w:pPr>
            <w:r>
              <w:rPr>
                <w:rFonts w:asciiTheme="minorEastAsia" w:hAnsiTheme="minorEastAsia" w:eastAsiaTheme="minorEastAsia"/>
                <w:kern w:val="2"/>
                <w:sz w:val="21"/>
                <w:szCs w:val="21"/>
              </w:rPr>
              <w:t>改进（增加）主要风险管控措施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3" w:hRule="atLeast"/>
          <w:jc w:val="center"/>
        </w:trPr>
        <w:tc>
          <w:tcPr>
            <w:tcW w:w="611" w:type="dxa"/>
            <w:vAlign w:val="center"/>
          </w:tcPr>
          <w:p>
            <w:pPr>
              <w:widowControl w:val="0"/>
              <w:adjustRightInd w:val="0"/>
              <w:snapToGrid w:val="0"/>
              <w:spacing w:line="360" w:lineRule="exact"/>
              <w:jc w:val="center"/>
              <w:rPr>
                <w:rFonts w:asciiTheme="minorEastAsia" w:hAnsiTheme="minorEastAsia" w:eastAsiaTheme="minorEastAsia"/>
                <w:kern w:val="2"/>
                <w:sz w:val="21"/>
                <w:szCs w:val="21"/>
              </w:rPr>
            </w:pPr>
          </w:p>
        </w:tc>
        <w:tc>
          <w:tcPr>
            <w:tcW w:w="518" w:type="dxa"/>
            <w:vAlign w:val="center"/>
          </w:tcPr>
          <w:p>
            <w:pPr>
              <w:widowControl w:val="0"/>
              <w:adjustRightInd w:val="0"/>
              <w:snapToGrid w:val="0"/>
              <w:spacing w:line="360" w:lineRule="exact"/>
              <w:jc w:val="center"/>
              <w:rPr>
                <w:rFonts w:asciiTheme="minorEastAsia" w:hAnsiTheme="minorEastAsia" w:eastAsiaTheme="minorEastAsia"/>
                <w:kern w:val="2"/>
                <w:sz w:val="21"/>
                <w:szCs w:val="21"/>
              </w:rPr>
            </w:pPr>
          </w:p>
        </w:tc>
        <w:tc>
          <w:tcPr>
            <w:tcW w:w="851" w:type="dxa"/>
            <w:vAlign w:val="center"/>
          </w:tcPr>
          <w:p>
            <w:pPr>
              <w:widowControl w:val="0"/>
              <w:adjustRightInd w:val="0"/>
              <w:snapToGrid w:val="0"/>
              <w:spacing w:line="360" w:lineRule="exact"/>
              <w:jc w:val="center"/>
              <w:rPr>
                <w:rFonts w:asciiTheme="minorEastAsia" w:hAnsiTheme="minorEastAsia" w:eastAsiaTheme="minorEastAsia"/>
                <w:kern w:val="2"/>
                <w:sz w:val="21"/>
                <w:szCs w:val="21"/>
              </w:rPr>
            </w:pPr>
          </w:p>
        </w:tc>
        <w:tc>
          <w:tcPr>
            <w:tcW w:w="850" w:type="dxa"/>
            <w:vAlign w:val="center"/>
          </w:tcPr>
          <w:p>
            <w:pPr>
              <w:widowControl w:val="0"/>
              <w:adjustRightInd w:val="0"/>
              <w:snapToGrid w:val="0"/>
              <w:spacing w:line="360" w:lineRule="exact"/>
              <w:jc w:val="center"/>
              <w:rPr>
                <w:rFonts w:asciiTheme="minorEastAsia" w:hAnsiTheme="minorEastAsia" w:eastAsiaTheme="minorEastAsia"/>
                <w:kern w:val="2"/>
                <w:sz w:val="21"/>
                <w:szCs w:val="21"/>
              </w:rPr>
            </w:pPr>
          </w:p>
        </w:tc>
        <w:tc>
          <w:tcPr>
            <w:tcW w:w="851" w:type="dxa"/>
            <w:vAlign w:val="center"/>
          </w:tcPr>
          <w:p>
            <w:pPr>
              <w:widowControl w:val="0"/>
              <w:adjustRightInd w:val="0"/>
              <w:snapToGrid w:val="0"/>
              <w:spacing w:line="360" w:lineRule="exact"/>
              <w:jc w:val="center"/>
              <w:rPr>
                <w:rFonts w:asciiTheme="minorEastAsia" w:hAnsiTheme="minorEastAsia" w:eastAsiaTheme="minorEastAsia"/>
                <w:kern w:val="2"/>
                <w:sz w:val="21"/>
                <w:szCs w:val="21"/>
              </w:rPr>
            </w:pPr>
          </w:p>
        </w:tc>
        <w:tc>
          <w:tcPr>
            <w:tcW w:w="709" w:type="dxa"/>
          </w:tcPr>
          <w:p>
            <w:pPr>
              <w:widowControl w:val="0"/>
              <w:snapToGrid w:val="0"/>
              <w:spacing w:line="360" w:lineRule="exact"/>
              <w:jc w:val="center"/>
              <w:rPr>
                <w:rFonts w:asciiTheme="minorEastAsia" w:hAnsiTheme="minorEastAsia" w:eastAsiaTheme="minorEastAsia"/>
                <w:kern w:val="2"/>
                <w:sz w:val="21"/>
                <w:szCs w:val="21"/>
              </w:rPr>
            </w:pPr>
          </w:p>
        </w:tc>
        <w:tc>
          <w:tcPr>
            <w:tcW w:w="850" w:type="dxa"/>
            <w:vAlign w:val="center"/>
          </w:tcPr>
          <w:p>
            <w:pPr>
              <w:widowControl w:val="0"/>
              <w:snapToGrid w:val="0"/>
              <w:spacing w:line="360" w:lineRule="exact"/>
              <w:jc w:val="center"/>
              <w:rPr>
                <w:rFonts w:asciiTheme="minorEastAsia" w:hAnsiTheme="minorEastAsia" w:eastAsiaTheme="minorEastAsia"/>
                <w:kern w:val="2"/>
                <w:sz w:val="21"/>
                <w:szCs w:val="21"/>
              </w:rPr>
            </w:pPr>
          </w:p>
        </w:tc>
        <w:tc>
          <w:tcPr>
            <w:tcW w:w="851" w:type="dxa"/>
            <w:vAlign w:val="center"/>
          </w:tcPr>
          <w:p>
            <w:pPr>
              <w:widowControl w:val="0"/>
              <w:snapToGrid w:val="0"/>
              <w:spacing w:line="360" w:lineRule="exact"/>
              <w:jc w:val="center"/>
              <w:rPr>
                <w:rFonts w:asciiTheme="minorEastAsia" w:hAnsiTheme="minorEastAsia" w:eastAsiaTheme="minorEastAsia"/>
                <w:kern w:val="2"/>
                <w:sz w:val="21"/>
                <w:szCs w:val="21"/>
              </w:rPr>
            </w:pPr>
          </w:p>
        </w:tc>
        <w:tc>
          <w:tcPr>
            <w:tcW w:w="992" w:type="dxa"/>
            <w:vAlign w:val="center"/>
          </w:tcPr>
          <w:p>
            <w:pPr>
              <w:widowControl w:val="0"/>
              <w:snapToGrid w:val="0"/>
              <w:spacing w:line="360" w:lineRule="exact"/>
              <w:jc w:val="center"/>
              <w:rPr>
                <w:rFonts w:asciiTheme="minorEastAsia" w:hAnsiTheme="minorEastAsia" w:eastAsiaTheme="minorEastAsia"/>
                <w:kern w:val="2"/>
                <w:sz w:val="21"/>
                <w:szCs w:val="21"/>
              </w:rPr>
            </w:pPr>
          </w:p>
        </w:tc>
        <w:tc>
          <w:tcPr>
            <w:tcW w:w="1276" w:type="dxa"/>
            <w:vAlign w:val="center"/>
          </w:tcPr>
          <w:p>
            <w:pPr>
              <w:widowControl w:val="0"/>
              <w:snapToGrid w:val="0"/>
              <w:spacing w:line="360" w:lineRule="exact"/>
              <w:jc w:val="center"/>
              <w:rPr>
                <w:rFonts w:asciiTheme="minorEastAsia" w:hAnsiTheme="minorEastAsia" w:eastAsiaTheme="minorEastAsia"/>
                <w:kern w:val="2"/>
                <w:sz w:val="21"/>
                <w:szCs w:val="21"/>
              </w:rPr>
            </w:pPr>
          </w:p>
        </w:tc>
        <w:tc>
          <w:tcPr>
            <w:tcW w:w="992" w:type="dxa"/>
            <w:vAlign w:val="center"/>
          </w:tcPr>
          <w:p>
            <w:pPr>
              <w:widowControl w:val="0"/>
              <w:snapToGrid w:val="0"/>
              <w:spacing w:line="360" w:lineRule="exact"/>
              <w:jc w:val="center"/>
              <w:rPr>
                <w:rFonts w:asciiTheme="minorEastAsia" w:hAnsiTheme="minorEastAsia" w:eastAsiaTheme="minorEastAsia"/>
                <w:kern w:val="2"/>
                <w:sz w:val="21"/>
                <w:szCs w:val="21"/>
              </w:rPr>
            </w:pPr>
          </w:p>
        </w:tc>
        <w:tc>
          <w:tcPr>
            <w:tcW w:w="1843" w:type="dxa"/>
          </w:tcPr>
          <w:p>
            <w:pPr>
              <w:widowControl w:val="0"/>
              <w:snapToGrid w:val="0"/>
              <w:spacing w:line="360" w:lineRule="exact"/>
              <w:jc w:val="center"/>
              <w:rPr>
                <w:rFonts w:asciiTheme="minorEastAsia" w:hAnsiTheme="minorEastAsia" w:eastAsiaTheme="minorEastAsia"/>
                <w:kern w:val="2"/>
                <w:sz w:val="21"/>
                <w:szCs w:val="21"/>
              </w:rPr>
            </w:pPr>
          </w:p>
        </w:tc>
        <w:tc>
          <w:tcPr>
            <w:tcW w:w="708" w:type="dxa"/>
            <w:vAlign w:val="center"/>
          </w:tcPr>
          <w:p>
            <w:pPr>
              <w:widowControl w:val="0"/>
              <w:snapToGrid w:val="0"/>
              <w:spacing w:line="360" w:lineRule="exact"/>
              <w:jc w:val="center"/>
              <w:rPr>
                <w:rFonts w:asciiTheme="minorEastAsia" w:hAnsiTheme="minorEastAsia" w:eastAsiaTheme="minorEastAsia"/>
                <w:kern w:val="2"/>
                <w:sz w:val="21"/>
                <w:szCs w:val="21"/>
              </w:rPr>
            </w:pPr>
          </w:p>
        </w:tc>
        <w:tc>
          <w:tcPr>
            <w:tcW w:w="2291" w:type="dxa"/>
            <w:vAlign w:val="center"/>
          </w:tcPr>
          <w:p>
            <w:pPr>
              <w:widowControl w:val="0"/>
              <w:snapToGrid w:val="0"/>
              <w:spacing w:line="360" w:lineRule="exact"/>
              <w:jc w:val="center"/>
              <w:rPr>
                <w:rFonts w:asciiTheme="minorEastAsia" w:hAnsiTheme="minorEastAsia" w:eastAsiaTheme="minorEastAsia"/>
                <w:kern w:val="2"/>
                <w:sz w:val="21"/>
                <w:szCs w:val="21"/>
              </w:rPr>
            </w:pPr>
          </w:p>
        </w:tc>
      </w:tr>
    </w:tbl>
    <w:p>
      <w:pPr>
        <w:rPr>
          <w:rFonts w:asciiTheme="minorEastAsia" w:hAnsiTheme="minorEastAsia" w:eastAsiaTheme="minorEastAsia"/>
          <w:sz w:val="21"/>
          <w:szCs w:val="21"/>
        </w:rPr>
        <w:sectPr>
          <w:pgSz w:w="16838" w:h="11906" w:orient="landscape"/>
          <w:pgMar w:top="1797" w:right="1440" w:bottom="1797" w:left="1440" w:header="851" w:footer="992" w:gutter="0"/>
          <w:cols w:space="425" w:num="1"/>
          <w:docGrid w:type="lines" w:linePitch="435" w:charSpace="0"/>
        </w:sectPr>
      </w:pPr>
    </w:p>
    <w:p>
      <w:pPr>
        <w:jc w:val="center"/>
        <w:outlineLvl w:val="0"/>
        <w:rPr>
          <w:rFonts w:ascii="方正小标宋_GBK" w:hAnsi="黑体" w:eastAsia="方正小标宋_GBK"/>
          <w:b/>
          <w:bCs/>
          <w:sz w:val="28"/>
          <w:szCs w:val="28"/>
        </w:rPr>
      </w:pPr>
      <w:bookmarkStart w:id="235" w:name="_Toc117541360"/>
      <w:bookmarkStart w:id="236" w:name="_Toc119336642"/>
      <w:r>
        <w:rPr>
          <w:rFonts w:hint="eastAsia" w:ascii="方正小标宋_GBK" w:hAnsi="黑体" w:eastAsia="方正小标宋_GBK"/>
          <w:b/>
          <w:bCs/>
          <w:sz w:val="28"/>
          <w:szCs w:val="28"/>
        </w:rPr>
        <w:t>附录I.1</w:t>
      </w:r>
      <w:bookmarkEnd w:id="235"/>
      <w:bookmarkEnd w:id="236"/>
    </w:p>
    <w:p>
      <w:pPr>
        <w:jc w:val="center"/>
        <w:rPr>
          <w:rFonts w:ascii="方正小标宋_GBK" w:hAnsi="黑体" w:eastAsia="方正小标宋_GBK"/>
          <w:b/>
          <w:bCs/>
          <w:sz w:val="28"/>
          <w:szCs w:val="28"/>
        </w:rPr>
      </w:pPr>
      <w:r>
        <w:rPr>
          <w:rFonts w:hint="eastAsia" w:ascii="方正小标宋_GBK" w:hAnsi="黑体" w:eastAsia="方正小标宋_GBK"/>
          <w:b/>
          <w:bCs/>
          <w:sz w:val="28"/>
          <w:szCs w:val="28"/>
        </w:rPr>
        <w:t>（资料性附录）</w:t>
      </w:r>
    </w:p>
    <w:p>
      <w:pPr>
        <w:jc w:val="center"/>
        <w:rPr>
          <w:rFonts w:ascii="方正小标宋_GBK" w:hAnsi="黑体" w:eastAsia="方正小标宋_GBK"/>
          <w:b/>
          <w:bCs/>
          <w:sz w:val="28"/>
          <w:szCs w:val="28"/>
        </w:rPr>
      </w:pPr>
    </w:p>
    <w:p>
      <w:pPr>
        <w:jc w:val="center"/>
        <w:outlineLvl w:val="1"/>
        <w:rPr>
          <w:rFonts w:ascii="方正小标宋_GBK" w:hAnsi="黑体" w:eastAsia="方正小标宋_GBK"/>
          <w:b/>
          <w:bCs/>
          <w:sz w:val="28"/>
          <w:szCs w:val="28"/>
        </w:rPr>
      </w:pPr>
      <w:bookmarkStart w:id="237" w:name="_Toc119336643"/>
      <w:bookmarkStart w:id="238" w:name="_Toc117541361"/>
      <w:r>
        <w:rPr>
          <w:rFonts w:hint="eastAsia" w:ascii="方正小标宋_GBK" w:hAnsi="黑体" w:eastAsia="方正小标宋_GBK"/>
          <w:b/>
          <w:bCs/>
          <w:sz w:val="28"/>
          <w:szCs w:val="28"/>
        </w:rPr>
        <w:t>四色安全风险空间分布图（示例）</w:t>
      </w:r>
      <w:bookmarkEnd w:id="237"/>
      <w:bookmarkEnd w:id="238"/>
    </w:p>
    <w:p>
      <w:pPr>
        <w:rPr>
          <w:rFonts w:asciiTheme="minorEastAsia" w:hAnsiTheme="minorEastAsia" w:eastAsiaTheme="minorEastAsia"/>
          <w:sz w:val="21"/>
          <w:szCs w:val="21"/>
        </w:rPr>
      </w:pPr>
      <w:r>
        <w:rPr>
          <w:sz w:val="28"/>
          <w:szCs w:val="28"/>
        </w:rPr>
        <w:drawing>
          <wp:inline distT="0" distB="0" distL="0" distR="0">
            <wp:extent cx="5172075" cy="366141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195069" cy="3678137"/>
                    </a:xfrm>
                    <a:prstGeom prst="rect">
                      <a:avLst/>
                    </a:prstGeom>
                    <a:noFill/>
                  </pic:spPr>
                </pic:pic>
              </a:graphicData>
            </a:graphic>
          </wp:inline>
        </w:drawing>
      </w:r>
    </w:p>
    <w:p>
      <w:pPr>
        <w:rPr>
          <w:rFonts w:asciiTheme="minorEastAsia" w:hAnsiTheme="minorEastAsia" w:eastAsiaTheme="minorEastAsia"/>
          <w:sz w:val="21"/>
          <w:szCs w:val="21"/>
        </w:rPr>
      </w:pPr>
    </w:p>
    <w:p>
      <w:pPr>
        <w:rPr>
          <w:rFonts w:asciiTheme="minorEastAsia" w:hAnsiTheme="minorEastAsia" w:eastAsiaTheme="minorEastAsia"/>
          <w:sz w:val="21"/>
          <w:szCs w:val="21"/>
        </w:rPr>
      </w:pPr>
      <w:r>
        <w:rPr>
          <w:rFonts w:asciiTheme="minorEastAsia" w:hAnsiTheme="minorEastAsia" w:eastAsiaTheme="minorEastAsia"/>
          <w:sz w:val="21"/>
          <w:szCs w:val="21"/>
        </w:rPr>
        <w:drawing>
          <wp:inline distT="0" distB="0" distL="0" distR="0">
            <wp:extent cx="5172075" cy="2944495"/>
            <wp:effectExtent l="0" t="0" r="9525" b="825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172075" cy="2944495"/>
                    </a:xfrm>
                    <a:prstGeom prst="rect">
                      <a:avLst/>
                    </a:prstGeom>
                    <a:noFill/>
                    <a:ln>
                      <a:noFill/>
                    </a:ln>
                  </pic:spPr>
                </pic:pic>
              </a:graphicData>
            </a:graphic>
          </wp:inline>
        </w:drawing>
      </w:r>
    </w:p>
    <w:p>
      <w:pPr>
        <w:rPr>
          <w:rFonts w:asciiTheme="minorEastAsia" w:hAnsiTheme="minorEastAsia" w:eastAsiaTheme="minorEastAsia"/>
          <w:sz w:val="21"/>
          <w:szCs w:val="21"/>
        </w:rPr>
      </w:pPr>
    </w:p>
    <w:p>
      <w:pPr>
        <w:rPr>
          <w:rFonts w:asciiTheme="minorEastAsia" w:hAnsiTheme="minorEastAsia" w:eastAsiaTheme="minorEastAsia"/>
          <w:sz w:val="21"/>
          <w:szCs w:val="21"/>
        </w:rPr>
        <w:sectPr>
          <w:pgSz w:w="11906" w:h="16838"/>
          <w:pgMar w:top="1440" w:right="1797" w:bottom="1440" w:left="1797" w:header="851" w:footer="992" w:gutter="0"/>
          <w:cols w:space="425" w:num="1"/>
          <w:docGrid w:type="lines" w:linePitch="435" w:charSpace="0"/>
        </w:sectPr>
      </w:pPr>
    </w:p>
    <w:p>
      <w:pPr>
        <w:jc w:val="center"/>
        <w:outlineLvl w:val="0"/>
        <w:rPr>
          <w:rFonts w:ascii="方正小标宋_GBK" w:hAnsi="黑体" w:eastAsia="方正小标宋_GBK"/>
          <w:b/>
          <w:bCs/>
          <w:sz w:val="28"/>
          <w:szCs w:val="28"/>
        </w:rPr>
      </w:pPr>
      <w:bookmarkStart w:id="239" w:name="_Toc119336644"/>
      <w:bookmarkStart w:id="240" w:name="_Toc117541362"/>
      <w:r>
        <w:rPr>
          <w:rFonts w:hint="eastAsia" w:ascii="方正小标宋_GBK" w:hAnsi="黑体" w:eastAsia="方正小标宋_GBK"/>
          <w:b/>
          <w:bCs/>
          <w:sz w:val="28"/>
          <w:szCs w:val="28"/>
        </w:rPr>
        <w:t>附录I.2</w:t>
      </w:r>
      <w:bookmarkEnd w:id="239"/>
      <w:bookmarkEnd w:id="240"/>
    </w:p>
    <w:p>
      <w:pPr>
        <w:jc w:val="center"/>
        <w:rPr>
          <w:rFonts w:ascii="方正小标宋_GBK" w:hAnsi="黑体" w:eastAsia="方正小标宋_GBK"/>
          <w:b/>
          <w:bCs/>
          <w:sz w:val="28"/>
          <w:szCs w:val="28"/>
        </w:rPr>
      </w:pPr>
      <w:r>
        <w:rPr>
          <w:rFonts w:hint="eastAsia" w:ascii="方正小标宋_GBK" w:hAnsi="黑体" w:eastAsia="方正小标宋_GBK"/>
          <w:b/>
          <w:bCs/>
          <w:sz w:val="28"/>
          <w:szCs w:val="28"/>
        </w:rPr>
        <w:t>（资料性附录）</w:t>
      </w:r>
    </w:p>
    <w:p>
      <w:pPr>
        <w:jc w:val="center"/>
        <w:rPr>
          <w:rFonts w:ascii="方正小标宋_GBK" w:hAnsi="黑体" w:eastAsia="方正小标宋_GBK"/>
          <w:b/>
          <w:bCs/>
          <w:sz w:val="28"/>
          <w:szCs w:val="28"/>
        </w:rPr>
      </w:pPr>
      <w:r>
        <w:rPr>
          <w:rFonts w:hint="eastAsia" w:ascii="方正小标宋_GBK" w:hAnsi="黑体" w:eastAsia="方正小标宋_GBK"/>
          <w:b/>
          <w:bCs/>
          <w:sz w:val="28"/>
          <w:szCs w:val="28"/>
        </w:rPr>
        <w:t>在建重点水利工程安全风险区域告知牌（示例）</w:t>
      </w:r>
    </w:p>
    <w:p>
      <w:pPr>
        <w:jc w:val="center"/>
        <w:rPr>
          <w:rFonts w:ascii="方正小标宋_GBK" w:hAnsi="黑体" w:eastAsia="方正小标宋_GBK"/>
          <w:b/>
          <w:bCs/>
          <w:sz w:val="28"/>
          <w:szCs w:val="28"/>
        </w:rPr>
      </w:pPr>
    </w:p>
    <w:p>
      <w:pPr>
        <w:jc w:val="center"/>
        <w:outlineLvl w:val="1"/>
        <w:rPr>
          <w:rFonts w:ascii="方正小标宋_GBK" w:hAnsi="黑体" w:eastAsia="方正小标宋_GBK"/>
          <w:b/>
          <w:bCs/>
          <w:sz w:val="28"/>
          <w:szCs w:val="28"/>
          <w:lang w:val="zh-CN"/>
        </w:rPr>
      </w:pPr>
      <w:bookmarkStart w:id="241" w:name="_Toc117541363"/>
      <w:bookmarkStart w:id="242" w:name="_Toc119336645"/>
      <w:r>
        <w:rPr>
          <w:rFonts w:hint="eastAsia" w:ascii="方正小标宋_GBK" w:hAnsi="黑体" w:eastAsia="方正小标宋_GBK"/>
          <w:b/>
          <w:bCs/>
          <w:sz w:val="28"/>
          <w:szCs w:val="28"/>
          <w:lang w:val="zh-CN"/>
        </w:rPr>
        <w:t>某项目现场高风险区域（重大风险）告知牌</w:t>
      </w:r>
      <w:bookmarkEnd w:id="241"/>
      <w:bookmarkEnd w:id="242"/>
    </w:p>
    <w:tbl>
      <w:tblPr>
        <w:tblStyle w:val="1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1264"/>
        <w:gridCol w:w="936"/>
        <w:gridCol w:w="988"/>
        <w:gridCol w:w="846"/>
        <w:gridCol w:w="705"/>
        <w:gridCol w:w="706"/>
        <w:gridCol w:w="6030"/>
        <w:gridCol w:w="993"/>
        <w:gridCol w:w="10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trPr>
        <w:tc>
          <w:tcPr>
            <w:tcW w:w="427" w:type="dxa"/>
            <w:vAlign w:val="center"/>
          </w:tcPr>
          <w:p>
            <w:pPr>
              <w:spacing w:line="240" w:lineRule="exact"/>
              <w:jc w:val="center"/>
              <w:rPr>
                <w:rFonts w:cs="宋体" w:asciiTheme="minorEastAsia" w:hAnsiTheme="minorEastAsia" w:eastAsiaTheme="minorEastAsia"/>
                <w:b/>
                <w:kern w:val="2"/>
                <w:sz w:val="18"/>
                <w:szCs w:val="18"/>
              </w:rPr>
            </w:pPr>
            <w:r>
              <w:rPr>
                <w:rFonts w:hint="eastAsia" w:cs="宋体" w:asciiTheme="minorEastAsia" w:hAnsiTheme="minorEastAsia" w:eastAsiaTheme="minorEastAsia"/>
                <w:b/>
                <w:kern w:val="2"/>
                <w:sz w:val="18"/>
                <w:szCs w:val="18"/>
              </w:rPr>
              <w:t>序号</w:t>
            </w:r>
          </w:p>
        </w:tc>
        <w:tc>
          <w:tcPr>
            <w:tcW w:w="1264" w:type="dxa"/>
            <w:vAlign w:val="center"/>
          </w:tcPr>
          <w:p>
            <w:pPr>
              <w:spacing w:line="240" w:lineRule="exact"/>
              <w:jc w:val="center"/>
              <w:rPr>
                <w:rFonts w:cs="宋体" w:asciiTheme="minorEastAsia" w:hAnsiTheme="minorEastAsia" w:eastAsiaTheme="minorEastAsia"/>
                <w:b/>
                <w:kern w:val="2"/>
                <w:sz w:val="18"/>
                <w:szCs w:val="18"/>
              </w:rPr>
            </w:pPr>
            <w:r>
              <w:rPr>
                <w:rFonts w:hint="eastAsia" w:cs="宋体" w:asciiTheme="minorEastAsia" w:hAnsiTheme="minorEastAsia" w:eastAsiaTheme="minorEastAsia"/>
                <w:b/>
                <w:kern w:val="2"/>
                <w:sz w:val="18"/>
                <w:szCs w:val="18"/>
              </w:rPr>
              <w:t>危险源名称</w:t>
            </w:r>
          </w:p>
        </w:tc>
        <w:tc>
          <w:tcPr>
            <w:tcW w:w="936" w:type="dxa"/>
            <w:vAlign w:val="center"/>
          </w:tcPr>
          <w:p>
            <w:pPr>
              <w:spacing w:line="240" w:lineRule="exact"/>
              <w:jc w:val="center"/>
              <w:rPr>
                <w:rFonts w:cs="宋体" w:asciiTheme="minorEastAsia" w:hAnsiTheme="minorEastAsia" w:eastAsiaTheme="minorEastAsia"/>
                <w:b/>
                <w:kern w:val="2"/>
                <w:sz w:val="18"/>
                <w:szCs w:val="18"/>
              </w:rPr>
            </w:pPr>
            <w:r>
              <w:rPr>
                <w:rFonts w:hint="eastAsia" w:cs="宋体" w:asciiTheme="minorEastAsia" w:hAnsiTheme="minorEastAsia" w:eastAsiaTheme="minorEastAsia"/>
                <w:b/>
                <w:kern w:val="2"/>
                <w:sz w:val="18"/>
                <w:szCs w:val="18"/>
              </w:rPr>
              <w:t>作业</w:t>
            </w:r>
          </w:p>
          <w:p>
            <w:pPr>
              <w:spacing w:line="240" w:lineRule="exact"/>
              <w:jc w:val="center"/>
              <w:rPr>
                <w:rFonts w:cs="宋体" w:asciiTheme="minorEastAsia" w:hAnsiTheme="minorEastAsia" w:eastAsiaTheme="minorEastAsia"/>
                <w:b/>
                <w:kern w:val="2"/>
                <w:sz w:val="18"/>
                <w:szCs w:val="18"/>
              </w:rPr>
            </w:pPr>
            <w:r>
              <w:rPr>
                <w:rFonts w:hint="eastAsia" w:cs="宋体" w:asciiTheme="minorEastAsia" w:hAnsiTheme="minorEastAsia" w:eastAsiaTheme="minorEastAsia"/>
                <w:b/>
                <w:kern w:val="2"/>
                <w:sz w:val="18"/>
                <w:szCs w:val="18"/>
              </w:rPr>
              <w:t>区域</w:t>
            </w:r>
          </w:p>
        </w:tc>
        <w:tc>
          <w:tcPr>
            <w:tcW w:w="988" w:type="dxa"/>
            <w:vAlign w:val="center"/>
          </w:tcPr>
          <w:p>
            <w:pPr>
              <w:spacing w:line="240" w:lineRule="exact"/>
              <w:jc w:val="center"/>
              <w:rPr>
                <w:rFonts w:cs="宋体" w:asciiTheme="minorEastAsia" w:hAnsiTheme="minorEastAsia" w:eastAsiaTheme="minorEastAsia"/>
                <w:b/>
                <w:kern w:val="2"/>
                <w:sz w:val="18"/>
                <w:szCs w:val="18"/>
              </w:rPr>
            </w:pPr>
            <w:r>
              <w:rPr>
                <w:rFonts w:hint="eastAsia" w:cs="宋体" w:asciiTheme="minorEastAsia" w:hAnsiTheme="minorEastAsia" w:eastAsiaTheme="minorEastAsia"/>
                <w:b/>
                <w:kern w:val="2"/>
                <w:sz w:val="18"/>
                <w:szCs w:val="18"/>
              </w:rPr>
              <w:t>可能导致的事故类型</w:t>
            </w:r>
          </w:p>
        </w:tc>
        <w:tc>
          <w:tcPr>
            <w:tcW w:w="846" w:type="dxa"/>
            <w:vAlign w:val="center"/>
          </w:tcPr>
          <w:p>
            <w:pPr>
              <w:spacing w:line="240" w:lineRule="exact"/>
              <w:jc w:val="center"/>
              <w:rPr>
                <w:rFonts w:cs="宋体" w:asciiTheme="minorEastAsia" w:hAnsiTheme="minorEastAsia" w:eastAsiaTheme="minorEastAsia"/>
                <w:b/>
                <w:kern w:val="2"/>
                <w:sz w:val="18"/>
                <w:szCs w:val="18"/>
              </w:rPr>
            </w:pPr>
            <w:r>
              <w:rPr>
                <w:rFonts w:cs="宋体" w:asciiTheme="minorEastAsia" w:hAnsiTheme="minorEastAsia" w:eastAsiaTheme="minorEastAsia"/>
                <w:b/>
                <w:kern w:val="2"/>
                <w:sz w:val="18"/>
                <w:szCs w:val="18"/>
              </w:rPr>
              <w:t>危险源级别</w:t>
            </w:r>
          </w:p>
        </w:tc>
        <w:tc>
          <w:tcPr>
            <w:tcW w:w="705" w:type="dxa"/>
            <w:vAlign w:val="center"/>
          </w:tcPr>
          <w:p>
            <w:pPr>
              <w:spacing w:line="240" w:lineRule="exact"/>
              <w:jc w:val="center"/>
              <w:rPr>
                <w:rFonts w:cs="宋体" w:asciiTheme="minorEastAsia" w:hAnsiTheme="minorEastAsia" w:eastAsiaTheme="minorEastAsia"/>
                <w:b/>
                <w:kern w:val="2"/>
                <w:sz w:val="18"/>
                <w:szCs w:val="18"/>
              </w:rPr>
            </w:pPr>
            <w:r>
              <w:rPr>
                <w:rFonts w:cs="宋体" w:asciiTheme="minorEastAsia" w:hAnsiTheme="minorEastAsia" w:eastAsiaTheme="minorEastAsia"/>
                <w:b/>
                <w:kern w:val="2"/>
                <w:sz w:val="18"/>
                <w:szCs w:val="18"/>
              </w:rPr>
              <w:t>风险等级</w:t>
            </w:r>
          </w:p>
        </w:tc>
        <w:tc>
          <w:tcPr>
            <w:tcW w:w="706" w:type="dxa"/>
            <w:vAlign w:val="center"/>
          </w:tcPr>
          <w:p>
            <w:pPr>
              <w:spacing w:line="240" w:lineRule="exact"/>
              <w:jc w:val="center"/>
              <w:rPr>
                <w:rFonts w:cs="宋体" w:asciiTheme="minorEastAsia" w:hAnsiTheme="minorEastAsia" w:eastAsiaTheme="minorEastAsia"/>
                <w:b/>
                <w:kern w:val="2"/>
                <w:sz w:val="18"/>
                <w:szCs w:val="18"/>
              </w:rPr>
            </w:pPr>
            <w:r>
              <w:rPr>
                <w:rFonts w:hint="eastAsia" w:cs="宋体" w:asciiTheme="minorEastAsia" w:hAnsiTheme="minorEastAsia" w:eastAsiaTheme="minorEastAsia"/>
                <w:b/>
                <w:kern w:val="2"/>
                <w:sz w:val="18"/>
                <w:szCs w:val="18"/>
              </w:rPr>
              <w:t>颜色标识</w:t>
            </w:r>
          </w:p>
        </w:tc>
        <w:tc>
          <w:tcPr>
            <w:tcW w:w="6030" w:type="dxa"/>
            <w:vAlign w:val="center"/>
          </w:tcPr>
          <w:p>
            <w:pPr>
              <w:spacing w:line="240" w:lineRule="exact"/>
              <w:jc w:val="center"/>
              <w:rPr>
                <w:rFonts w:cs="宋体" w:asciiTheme="minorEastAsia" w:hAnsiTheme="minorEastAsia" w:eastAsiaTheme="minorEastAsia"/>
                <w:b/>
                <w:kern w:val="2"/>
                <w:sz w:val="18"/>
                <w:szCs w:val="18"/>
              </w:rPr>
            </w:pPr>
            <w:r>
              <w:rPr>
                <w:rFonts w:hint="eastAsia" w:cs="宋体" w:asciiTheme="minorEastAsia" w:hAnsiTheme="minorEastAsia" w:eastAsiaTheme="minorEastAsia"/>
                <w:b/>
                <w:kern w:val="2"/>
                <w:sz w:val="18"/>
                <w:szCs w:val="18"/>
              </w:rPr>
              <w:t>控制措施（含应急措施）</w:t>
            </w:r>
          </w:p>
        </w:tc>
        <w:tc>
          <w:tcPr>
            <w:tcW w:w="993" w:type="dxa"/>
            <w:vAlign w:val="center"/>
          </w:tcPr>
          <w:p>
            <w:pPr>
              <w:spacing w:line="240" w:lineRule="exact"/>
              <w:jc w:val="center"/>
              <w:rPr>
                <w:rFonts w:cs="宋体" w:asciiTheme="minorEastAsia" w:hAnsiTheme="minorEastAsia" w:eastAsiaTheme="minorEastAsia"/>
                <w:b/>
                <w:kern w:val="2"/>
                <w:sz w:val="18"/>
                <w:szCs w:val="18"/>
              </w:rPr>
            </w:pPr>
            <w:r>
              <w:rPr>
                <w:rFonts w:hint="eastAsia" w:cs="宋体" w:asciiTheme="minorEastAsia" w:hAnsiTheme="minorEastAsia" w:eastAsiaTheme="minorEastAsia"/>
                <w:b/>
                <w:kern w:val="2"/>
                <w:sz w:val="18"/>
                <w:szCs w:val="18"/>
              </w:rPr>
              <w:t>管控层级</w:t>
            </w:r>
          </w:p>
        </w:tc>
        <w:tc>
          <w:tcPr>
            <w:tcW w:w="1053" w:type="dxa"/>
            <w:vAlign w:val="center"/>
          </w:tcPr>
          <w:p>
            <w:pPr>
              <w:spacing w:line="240" w:lineRule="exact"/>
              <w:jc w:val="center"/>
              <w:rPr>
                <w:rFonts w:cs="宋体" w:asciiTheme="minorEastAsia" w:hAnsiTheme="minorEastAsia" w:eastAsiaTheme="minorEastAsia"/>
                <w:b/>
                <w:kern w:val="2"/>
                <w:sz w:val="18"/>
                <w:szCs w:val="18"/>
              </w:rPr>
            </w:pPr>
            <w:r>
              <w:rPr>
                <w:rFonts w:hint="eastAsia" w:cs="宋体" w:asciiTheme="minorEastAsia" w:hAnsiTheme="minorEastAsia" w:eastAsiaTheme="minorEastAsia"/>
                <w:b/>
                <w:kern w:val="2"/>
                <w:sz w:val="18"/>
                <w:szCs w:val="18"/>
              </w:rPr>
              <w:t>责任人/联系电话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27" w:type="dxa"/>
            <w:vAlign w:val="center"/>
          </w:tcPr>
          <w:p>
            <w:pPr>
              <w:spacing w:line="240" w:lineRule="exact"/>
              <w:jc w:val="left"/>
              <w:rPr>
                <w:rFonts w:cs="宋体" w:asciiTheme="minorEastAsia" w:hAnsiTheme="minorEastAsia" w:eastAsiaTheme="minorEastAsia"/>
                <w:b/>
                <w:kern w:val="2"/>
                <w:sz w:val="18"/>
                <w:szCs w:val="18"/>
              </w:rPr>
            </w:pPr>
            <w:r>
              <w:rPr>
                <w:rFonts w:hint="eastAsia" w:cs="宋体" w:asciiTheme="minorEastAsia" w:hAnsiTheme="minorEastAsia" w:eastAsiaTheme="minorEastAsia"/>
                <w:b/>
                <w:kern w:val="2"/>
                <w:sz w:val="18"/>
                <w:szCs w:val="18"/>
              </w:rPr>
              <w:t>1</w:t>
            </w:r>
          </w:p>
        </w:tc>
        <w:tc>
          <w:tcPr>
            <w:tcW w:w="1264" w:type="dxa"/>
            <w:vAlign w:val="center"/>
          </w:tcPr>
          <w:p>
            <w:pPr>
              <w:spacing w:line="240" w:lineRule="exact"/>
              <w:rPr>
                <w:rFonts w:cs="宋体" w:asciiTheme="minorEastAsia" w:hAnsiTheme="minorEastAsia" w:eastAsiaTheme="minorEastAsia"/>
                <w:b/>
                <w:kern w:val="2"/>
                <w:sz w:val="18"/>
                <w:szCs w:val="18"/>
              </w:rPr>
            </w:pPr>
            <w:r>
              <w:rPr>
                <w:rFonts w:cs="宋体" w:asciiTheme="minorEastAsia" w:hAnsiTheme="minorEastAsia" w:eastAsiaTheme="minorEastAsia"/>
                <w:kern w:val="2"/>
                <w:sz w:val="18"/>
                <w:szCs w:val="18"/>
                <w:lang w:val="zh-CN" w:bidi="zh-CN"/>
              </w:rPr>
              <w:t>起重机械设备自身的安装</w:t>
            </w:r>
            <w:r>
              <w:rPr>
                <w:rFonts w:cs="宋体" w:asciiTheme="minorEastAsia" w:hAnsiTheme="minorEastAsia" w:eastAsiaTheme="minorEastAsia"/>
                <w:kern w:val="2"/>
                <w:sz w:val="18"/>
                <w:szCs w:val="18"/>
              </w:rPr>
              <w:drawing>
                <wp:inline distT="0" distB="0" distL="114300" distR="114300">
                  <wp:extent cx="36830" cy="34290"/>
                  <wp:effectExtent l="0" t="0" r="1270" b="381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7"/>
                          <a:stretch>
                            <a:fillRect/>
                          </a:stretch>
                        </pic:blipFill>
                        <pic:spPr>
                          <a:xfrm>
                            <a:off x="0" y="0"/>
                            <a:ext cx="36830" cy="34290"/>
                          </a:xfrm>
                          <a:prstGeom prst="rect">
                            <a:avLst/>
                          </a:prstGeom>
                          <a:noFill/>
                          <a:ln w="9525">
                            <a:noFill/>
                          </a:ln>
                        </pic:spPr>
                      </pic:pic>
                    </a:graphicData>
                  </a:graphic>
                </wp:inline>
              </w:drawing>
            </w:r>
            <w:r>
              <w:rPr>
                <w:rFonts w:cs="宋体" w:asciiTheme="minorEastAsia" w:hAnsiTheme="minorEastAsia" w:eastAsiaTheme="minorEastAsia"/>
                <w:kern w:val="2"/>
                <w:sz w:val="18"/>
                <w:szCs w:val="18"/>
                <w:lang w:val="zh-CN" w:bidi="zh-CN"/>
              </w:rPr>
              <w:t xml:space="preserve"> 拆卸作业</w:t>
            </w:r>
          </w:p>
        </w:tc>
        <w:tc>
          <w:tcPr>
            <w:tcW w:w="936" w:type="dxa"/>
            <w:vAlign w:val="center"/>
          </w:tcPr>
          <w:p>
            <w:pPr>
              <w:spacing w:line="240" w:lineRule="exact"/>
              <w:jc w:val="left"/>
              <w:rPr>
                <w:rFonts w:cs="宋体" w:asciiTheme="minorEastAsia" w:hAnsiTheme="minorEastAsia" w:eastAsiaTheme="minorEastAsia"/>
                <w:b/>
                <w:kern w:val="2"/>
                <w:sz w:val="18"/>
                <w:szCs w:val="18"/>
              </w:rPr>
            </w:pPr>
            <w:r>
              <w:rPr>
                <w:rFonts w:hint="eastAsia" w:cs="宋体" w:asciiTheme="minorEastAsia" w:hAnsiTheme="minorEastAsia" w:eastAsiaTheme="minorEastAsia"/>
                <w:kern w:val="2"/>
                <w:sz w:val="18"/>
                <w:szCs w:val="18"/>
                <w:lang w:val="zh-CN" w:bidi="zh-CN"/>
              </w:rPr>
              <w:t>塔机（</w:t>
            </w:r>
            <w:r>
              <w:rPr>
                <w:rFonts w:cs="宋体" w:asciiTheme="minorEastAsia" w:hAnsiTheme="minorEastAsia" w:eastAsiaTheme="minorEastAsia"/>
                <w:kern w:val="2"/>
                <w:sz w:val="18"/>
                <w:szCs w:val="18"/>
                <w:lang w:val="zh-CN" w:bidi="zh-CN"/>
              </w:rPr>
              <w:t>213.1m施工平台）</w:t>
            </w:r>
          </w:p>
        </w:tc>
        <w:tc>
          <w:tcPr>
            <w:tcW w:w="988" w:type="dxa"/>
            <w:vAlign w:val="center"/>
          </w:tcPr>
          <w:p>
            <w:pPr>
              <w:spacing w:line="240" w:lineRule="exact"/>
              <w:jc w:val="left"/>
              <w:rPr>
                <w:rFonts w:cs="宋体" w:asciiTheme="minorEastAsia" w:hAnsiTheme="minorEastAsia" w:eastAsiaTheme="minorEastAsia"/>
                <w:b/>
                <w:kern w:val="2"/>
                <w:sz w:val="18"/>
                <w:szCs w:val="18"/>
              </w:rPr>
            </w:pPr>
            <w:r>
              <w:rPr>
                <w:rFonts w:hint="eastAsia" w:cs="宋体" w:asciiTheme="minorEastAsia" w:hAnsiTheme="minorEastAsia" w:eastAsiaTheme="minorEastAsia"/>
                <w:kern w:val="2"/>
                <w:sz w:val="18"/>
                <w:szCs w:val="18"/>
                <w:lang w:val="zh-CN" w:bidi="zh-CN"/>
              </w:rPr>
              <w:t>物体打击、起重伤害、高处坠落</w:t>
            </w:r>
          </w:p>
        </w:tc>
        <w:tc>
          <w:tcPr>
            <w:tcW w:w="846" w:type="dxa"/>
            <w:vAlign w:val="center"/>
          </w:tcPr>
          <w:p>
            <w:pPr>
              <w:spacing w:line="240" w:lineRule="exact"/>
              <w:jc w:val="left"/>
              <w:rPr>
                <w:rFonts w:cs="宋体" w:asciiTheme="minorEastAsia" w:hAnsiTheme="minorEastAsia" w:eastAsiaTheme="minorEastAsia"/>
                <w:b/>
                <w:kern w:val="2"/>
                <w:sz w:val="18"/>
                <w:szCs w:val="18"/>
              </w:rPr>
            </w:pPr>
            <w:r>
              <w:rPr>
                <w:rFonts w:hint="eastAsia" w:cs="宋体" w:asciiTheme="minorEastAsia" w:hAnsiTheme="minorEastAsia" w:eastAsiaTheme="minorEastAsia"/>
                <w:b/>
                <w:kern w:val="2"/>
                <w:sz w:val="18"/>
                <w:szCs w:val="18"/>
                <w:lang w:val="zh-CN" w:bidi="zh-CN"/>
              </w:rPr>
              <w:t>重大</w:t>
            </w:r>
          </w:p>
        </w:tc>
        <w:tc>
          <w:tcPr>
            <w:tcW w:w="705" w:type="dxa"/>
            <w:vAlign w:val="center"/>
          </w:tcPr>
          <w:p>
            <w:pPr>
              <w:spacing w:line="240" w:lineRule="exact"/>
              <w:jc w:val="left"/>
              <w:rPr>
                <w:rFonts w:cs="宋体" w:asciiTheme="minorEastAsia" w:hAnsiTheme="minorEastAsia" w:eastAsiaTheme="minorEastAsia"/>
                <w:b/>
                <w:kern w:val="2"/>
                <w:sz w:val="18"/>
                <w:szCs w:val="18"/>
              </w:rPr>
            </w:pPr>
            <w:r>
              <w:rPr>
                <w:rFonts w:hint="eastAsia" w:cs="宋体" w:asciiTheme="minorEastAsia" w:hAnsiTheme="minorEastAsia" w:eastAsiaTheme="minorEastAsia"/>
                <w:b/>
                <w:kern w:val="2"/>
                <w:sz w:val="18"/>
                <w:szCs w:val="18"/>
                <w:lang w:val="zh-CN" w:bidi="zh-CN"/>
              </w:rPr>
              <w:t>重大</w:t>
            </w:r>
          </w:p>
        </w:tc>
        <w:tc>
          <w:tcPr>
            <w:tcW w:w="706" w:type="dxa"/>
            <w:shd w:val="clear" w:color="auto" w:fill="FF0000"/>
            <w:vAlign w:val="center"/>
          </w:tcPr>
          <w:p>
            <w:pPr>
              <w:spacing w:line="240" w:lineRule="exact"/>
              <w:jc w:val="left"/>
              <w:rPr>
                <w:rFonts w:cs="宋体" w:asciiTheme="minorEastAsia" w:hAnsiTheme="minorEastAsia" w:eastAsiaTheme="minorEastAsia"/>
                <w:b/>
                <w:kern w:val="2"/>
                <w:sz w:val="18"/>
                <w:szCs w:val="18"/>
              </w:rPr>
            </w:pPr>
            <w:r>
              <w:rPr>
                <w:rFonts w:hint="eastAsia" w:cs="宋体" w:asciiTheme="minorEastAsia" w:hAnsiTheme="minorEastAsia" w:eastAsiaTheme="minorEastAsia"/>
                <w:b/>
                <w:kern w:val="2"/>
                <w:sz w:val="18"/>
                <w:szCs w:val="18"/>
              </w:rPr>
              <w:t>红色</w:t>
            </w:r>
          </w:p>
        </w:tc>
        <w:tc>
          <w:tcPr>
            <w:tcW w:w="6030" w:type="dxa"/>
            <w:vAlign w:val="center"/>
          </w:tcPr>
          <w:p>
            <w:pPr>
              <w:spacing w:line="240" w:lineRule="exact"/>
              <w:jc w:val="left"/>
              <w:rPr>
                <w:rFonts w:cs="宋体" w:asciiTheme="minorEastAsia" w:hAnsiTheme="minorEastAsia" w:eastAsiaTheme="minorEastAsia"/>
                <w:kern w:val="2"/>
                <w:sz w:val="18"/>
                <w:szCs w:val="18"/>
                <w:lang w:val="zh-CN" w:bidi="zh-CN"/>
              </w:rPr>
            </w:pPr>
            <w:r>
              <w:rPr>
                <w:rFonts w:hint="eastAsia" w:cs="宋体" w:asciiTheme="minorEastAsia" w:hAnsiTheme="minorEastAsia" w:eastAsiaTheme="minorEastAsia"/>
                <w:kern w:val="2"/>
                <w:sz w:val="18"/>
                <w:szCs w:val="18"/>
                <w:lang w:val="zh-CN" w:bidi="zh-CN"/>
              </w:rPr>
              <w:t>工程技术：设置隔离区。</w:t>
            </w:r>
          </w:p>
          <w:p>
            <w:pPr>
              <w:widowControl w:val="0"/>
              <w:spacing w:line="240" w:lineRule="exact"/>
              <w:jc w:val="left"/>
              <w:rPr>
                <w:rFonts w:cs="宋体" w:asciiTheme="minorEastAsia" w:hAnsiTheme="minorEastAsia" w:eastAsiaTheme="minorEastAsia"/>
                <w:kern w:val="2"/>
                <w:sz w:val="18"/>
                <w:szCs w:val="18"/>
                <w:lang w:val="zh-CN" w:bidi="zh-CN"/>
              </w:rPr>
            </w:pPr>
            <w:r>
              <w:rPr>
                <w:rFonts w:hint="eastAsia" w:cs="宋体" w:asciiTheme="minorEastAsia" w:hAnsiTheme="minorEastAsia" w:eastAsiaTheme="minorEastAsia"/>
                <w:kern w:val="2"/>
                <w:sz w:val="18"/>
                <w:szCs w:val="18"/>
                <w:lang w:val="zh-CN" w:bidi="zh-CN"/>
              </w:rPr>
              <w:t>管理：生产设备、设施安全管理办法，特种设备安全管理办法，特种作业人员和特种设备作业人员安全管理办法，班组六项循环制度，危险性较大的单项工程管理办法；</w:t>
            </w:r>
            <w:r>
              <w:rPr>
                <w:rFonts w:cs="宋体" w:asciiTheme="minorEastAsia" w:hAnsiTheme="minorEastAsia" w:eastAsiaTheme="minorEastAsia"/>
                <w:kern w:val="2"/>
                <w:sz w:val="18"/>
                <w:szCs w:val="18"/>
                <w:lang w:val="zh-CN" w:bidi="zh-CN"/>
              </w:rPr>
              <w:t>起重机械安全操作规程</w:t>
            </w:r>
            <w:r>
              <w:rPr>
                <w:rFonts w:hint="eastAsia" w:cs="宋体" w:asciiTheme="minorEastAsia" w:hAnsiTheme="minorEastAsia" w:eastAsiaTheme="minorEastAsia"/>
                <w:kern w:val="2"/>
                <w:sz w:val="18"/>
                <w:szCs w:val="18"/>
                <w:lang w:val="zh-CN" w:bidi="zh-CN"/>
              </w:rPr>
              <w:t>，</w:t>
            </w:r>
            <w:r>
              <w:rPr>
                <w:rFonts w:cs="宋体" w:asciiTheme="minorEastAsia" w:hAnsiTheme="minorEastAsia" w:eastAsiaTheme="minorEastAsia"/>
                <w:kern w:val="2"/>
                <w:sz w:val="18"/>
                <w:szCs w:val="18"/>
                <w:lang w:val="zh-CN" w:bidi="zh-CN"/>
              </w:rPr>
              <w:t>塔机司机安全操作规程</w:t>
            </w:r>
            <w:r>
              <w:rPr>
                <w:rFonts w:hint="eastAsia" w:cs="宋体" w:asciiTheme="minorEastAsia" w:hAnsiTheme="minorEastAsia" w:eastAsiaTheme="minorEastAsia"/>
                <w:kern w:val="2"/>
                <w:sz w:val="18"/>
                <w:szCs w:val="18"/>
                <w:lang w:val="zh-CN" w:bidi="zh-CN"/>
              </w:rPr>
              <w:t>。</w:t>
            </w:r>
          </w:p>
          <w:p>
            <w:pPr>
              <w:spacing w:line="240" w:lineRule="exact"/>
              <w:jc w:val="left"/>
              <w:rPr>
                <w:rFonts w:cs="宋体" w:asciiTheme="minorEastAsia" w:hAnsiTheme="minorEastAsia" w:eastAsiaTheme="minorEastAsia"/>
                <w:kern w:val="2"/>
                <w:sz w:val="18"/>
                <w:szCs w:val="18"/>
                <w:lang w:val="zh-CN" w:bidi="zh-CN"/>
              </w:rPr>
            </w:pPr>
            <w:r>
              <w:rPr>
                <w:rFonts w:hint="eastAsia" w:cs="宋体" w:asciiTheme="minorEastAsia" w:hAnsiTheme="minorEastAsia" w:eastAsiaTheme="minorEastAsia"/>
                <w:kern w:val="2"/>
                <w:sz w:val="18"/>
                <w:szCs w:val="18"/>
                <w:lang w:val="zh-CN" w:bidi="zh-CN"/>
              </w:rPr>
              <w:t>教育培训措施：做好班前安全教育及交底。</w:t>
            </w:r>
          </w:p>
          <w:p>
            <w:pPr>
              <w:spacing w:line="240" w:lineRule="exact"/>
              <w:jc w:val="left"/>
              <w:rPr>
                <w:rFonts w:cs="宋体" w:asciiTheme="minorEastAsia" w:hAnsiTheme="minorEastAsia" w:eastAsiaTheme="minorEastAsia"/>
                <w:kern w:val="2"/>
                <w:sz w:val="18"/>
                <w:szCs w:val="18"/>
                <w:lang w:val="zh-CN" w:bidi="zh-CN"/>
              </w:rPr>
            </w:pPr>
            <w:r>
              <w:rPr>
                <w:rFonts w:hint="eastAsia" w:cs="宋体" w:asciiTheme="minorEastAsia" w:hAnsiTheme="minorEastAsia" w:eastAsiaTheme="minorEastAsia"/>
                <w:kern w:val="2"/>
                <w:sz w:val="18"/>
                <w:szCs w:val="18"/>
                <w:lang w:val="zh-CN" w:bidi="zh-CN"/>
              </w:rPr>
              <w:t>个体防护：佩戴安全帽。</w:t>
            </w:r>
          </w:p>
          <w:p>
            <w:pPr>
              <w:widowControl w:val="0"/>
              <w:spacing w:line="240" w:lineRule="exact"/>
              <w:jc w:val="left"/>
              <w:rPr>
                <w:rFonts w:cs="宋体" w:asciiTheme="minorEastAsia" w:hAnsiTheme="minorEastAsia" w:eastAsiaTheme="minorEastAsia"/>
                <w:kern w:val="2"/>
                <w:sz w:val="18"/>
                <w:szCs w:val="18"/>
                <w:lang w:val="zh-CN" w:bidi="zh-CN"/>
              </w:rPr>
            </w:pPr>
            <w:r>
              <w:rPr>
                <w:rFonts w:hint="eastAsia" w:cs="宋体" w:asciiTheme="minorEastAsia" w:hAnsiTheme="minorEastAsia" w:eastAsiaTheme="minorEastAsia"/>
                <w:kern w:val="2"/>
                <w:sz w:val="18"/>
                <w:szCs w:val="18"/>
                <w:lang w:val="zh-CN" w:bidi="zh-CN"/>
              </w:rPr>
              <w:t>应急处置：组织对</w:t>
            </w:r>
            <w:r>
              <w:rPr>
                <w:rFonts w:cs="宋体" w:asciiTheme="minorEastAsia" w:hAnsiTheme="minorEastAsia" w:eastAsiaTheme="minorEastAsia"/>
                <w:kern w:val="2"/>
                <w:sz w:val="18"/>
                <w:szCs w:val="18"/>
                <w:lang w:val="zh-CN" w:bidi="zh-CN"/>
              </w:rPr>
              <w:t>机械设备事故应急预案</w:t>
            </w:r>
            <w:r>
              <w:rPr>
                <w:rFonts w:hint="eastAsia" w:cs="宋体" w:asciiTheme="minorEastAsia" w:hAnsiTheme="minorEastAsia" w:eastAsiaTheme="minorEastAsia"/>
                <w:kern w:val="2"/>
                <w:sz w:val="18"/>
                <w:szCs w:val="18"/>
                <w:lang w:val="zh-CN" w:bidi="zh-CN"/>
              </w:rPr>
              <w:t>，高处坠落现场处置方案，起重伤害现场处置方案，物体打击现场处置方案的培训和演练。</w:t>
            </w:r>
          </w:p>
          <w:p>
            <w:pPr>
              <w:spacing w:line="240" w:lineRule="exact"/>
              <w:jc w:val="left"/>
              <w:rPr>
                <w:rFonts w:cs="宋体" w:asciiTheme="minorEastAsia" w:hAnsiTheme="minorEastAsia" w:eastAsiaTheme="minorEastAsia"/>
                <w:b/>
                <w:kern w:val="2"/>
                <w:sz w:val="18"/>
                <w:szCs w:val="18"/>
              </w:rPr>
            </w:pPr>
            <w:r>
              <w:rPr>
                <w:rFonts w:hint="eastAsia" w:cs="宋体" w:asciiTheme="minorEastAsia" w:hAnsiTheme="minorEastAsia" w:eastAsiaTheme="minorEastAsia"/>
                <w:kern w:val="2"/>
                <w:sz w:val="18"/>
                <w:szCs w:val="18"/>
                <w:lang w:val="zh-CN" w:bidi="zh-CN"/>
              </w:rPr>
              <w:t>监测监控：无。</w:t>
            </w:r>
          </w:p>
        </w:tc>
        <w:tc>
          <w:tcPr>
            <w:tcW w:w="993" w:type="dxa"/>
            <w:vAlign w:val="center"/>
          </w:tcPr>
          <w:p>
            <w:pPr>
              <w:spacing w:line="240" w:lineRule="exact"/>
              <w:jc w:val="left"/>
              <w:rPr>
                <w:rFonts w:asciiTheme="minorEastAsia" w:hAnsiTheme="minorEastAsia" w:eastAsiaTheme="minorEastAsia"/>
                <w:kern w:val="2"/>
                <w:sz w:val="18"/>
                <w:szCs w:val="18"/>
                <w:lang w:val="zh-CN" w:bidi="zh-CN"/>
              </w:rPr>
            </w:pPr>
            <w:r>
              <w:rPr>
                <w:rFonts w:hint="eastAsia" w:asciiTheme="minorEastAsia" w:hAnsiTheme="minorEastAsia" w:eastAsiaTheme="minorEastAsia"/>
                <w:kern w:val="2"/>
                <w:sz w:val="18"/>
                <w:szCs w:val="18"/>
                <w:lang w:val="zh-CN" w:bidi="zh-CN"/>
              </w:rPr>
              <w:t>项目法人</w:t>
            </w:r>
          </w:p>
          <w:p>
            <w:pPr>
              <w:spacing w:line="240" w:lineRule="exact"/>
              <w:jc w:val="left"/>
              <w:rPr>
                <w:rFonts w:asciiTheme="minorEastAsia" w:hAnsiTheme="minorEastAsia" w:eastAsiaTheme="minorEastAsia"/>
                <w:kern w:val="2"/>
                <w:sz w:val="18"/>
                <w:szCs w:val="18"/>
                <w:lang w:val="zh-CN" w:bidi="zh-CN"/>
              </w:rPr>
            </w:pPr>
            <w:r>
              <w:rPr>
                <w:rFonts w:hint="eastAsia" w:asciiTheme="minorEastAsia" w:hAnsiTheme="minorEastAsia" w:eastAsiaTheme="minorEastAsia"/>
                <w:kern w:val="2"/>
                <w:sz w:val="18"/>
                <w:szCs w:val="18"/>
                <w:lang w:val="zh-CN" w:bidi="zh-CN"/>
              </w:rPr>
              <w:t>监理单位</w:t>
            </w:r>
          </w:p>
          <w:p>
            <w:pPr>
              <w:spacing w:line="240" w:lineRule="exact"/>
              <w:jc w:val="left"/>
              <w:rPr>
                <w:rFonts w:cs="宋体" w:asciiTheme="minorEastAsia" w:hAnsiTheme="minorEastAsia" w:eastAsiaTheme="minorEastAsia"/>
                <w:b/>
                <w:kern w:val="2"/>
                <w:sz w:val="18"/>
                <w:szCs w:val="18"/>
              </w:rPr>
            </w:pPr>
            <w:r>
              <w:rPr>
                <w:rFonts w:hint="eastAsia" w:asciiTheme="minorEastAsia" w:hAnsiTheme="minorEastAsia" w:eastAsiaTheme="minorEastAsia"/>
                <w:kern w:val="2"/>
                <w:sz w:val="18"/>
                <w:szCs w:val="18"/>
                <w:lang w:val="zh-CN" w:bidi="zh-CN"/>
              </w:rPr>
              <w:t>施工单位</w:t>
            </w:r>
          </w:p>
        </w:tc>
        <w:tc>
          <w:tcPr>
            <w:tcW w:w="1053" w:type="dxa"/>
            <w:vAlign w:val="center"/>
          </w:tcPr>
          <w:p>
            <w:pPr>
              <w:spacing w:line="240" w:lineRule="exact"/>
              <w:jc w:val="left"/>
              <w:rPr>
                <w:rFonts w:asciiTheme="minorEastAsia" w:hAnsiTheme="minorEastAsia" w:eastAsiaTheme="minorEastAsia"/>
                <w:kern w:val="2"/>
                <w:sz w:val="18"/>
                <w:szCs w:val="18"/>
                <w:lang w:bidi="zh-CN"/>
              </w:rPr>
            </w:pPr>
            <w:r>
              <w:rPr>
                <w:rFonts w:hint="eastAsia" w:asciiTheme="minorEastAsia" w:hAnsiTheme="minorEastAsia" w:eastAsiaTheme="minorEastAsia"/>
                <w:kern w:val="2"/>
                <w:sz w:val="18"/>
                <w:szCs w:val="18"/>
                <w:lang w:bidi="zh-CN"/>
              </w:rPr>
              <w:t>X</w:t>
            </w:r>
            <w:r>
              <w:rPr>
                <w:rFonts w:asciiTheme="minorEastAsia" w:hAnsiTheme="minorEastAsia" w:eastAsiaTheme="minorEastAsia"/>
                <w:kern w:val="2"/>
                <w:sz w:val="18"/>
                <w:szCs w:val="18"/>
                <w:lang w:bidi="zh-CN"/>
              </w:rPr>
              <w:t>XX/XXX</w:t>
            </w:r>
          </w:p>
          <w:p>
            <w:pPr>
              <w:spacing w:line="240" w:lineRule="exact"/>
              <w:jc w:val="left"/>
              <w:rPr>
                <w:rFonts w:asciiTheme="minorEastAsia" w:hAnsiTheme="minorEastAsia" w:eastAsiaTheme="minorEastAsia"/>
                <w:kern w:val="2"/>
                <w:sz w:val="18"/>
                <w:szCs w:val="18"/>
                <w:lang w:bidi="zh-CN"/>
              </w:rPr>
            </w:pPr>
            <w:r>
              <w:rPr>
                <w:rFonts w:hint="eastAsia" w:asciiTheme="minorEastAsia" w:hAnsiTheme="minorEastAsia" w:eastAsiaTheme="minorEastAsia"/>
                <w:kern w:val="2"/>
                <w:sz w:val="18"/>
                <w:szCs w:val="18"/>
                <w:lang w:bidi="zh-CN"/>
              </w:rPr>
              <w:t>X</w:t>
            </w:r>
            <w:r>
              <w:rPr>
                <w:rFonts w:asciiTheme="minorEastAsia" w:hAnsiTheme="minorEastAsia" w:eastAsiaTheme="minorEastAsia"/>
                <w:kern w:val="2"/>
                <w:sz w:val="18"/>
                <w:szCs w:val="18"/>
                <w:lang w:bidi="zh-CN"/>
              </w:rPr>
              <w:t>XX/XXX</w:t>
            </w:r>
          </w:p>
          <w:p>
            <w:pPr>
              <w:spacing w:line="240" w:lineRule="exact"/>
              <w:jc w:val="left"/>
              <w:rPr>
                <w:rFonts w:asciiTheme="minorEastAsia" w:hAnsiTheme="minorEastAsia" w:eastAsiaTheme="minorEastAsia"/>
                <w:kern w:val="2"/>
                <w:sz w:val="18"/>
                <w:szCs w:val="18"/>
                <w:lang w:bidi="zh-CN"/>
              </w:rPr>
            </w:pPr>
            <w:r>
              <w:rPr>
                <w:rFonts w:hint="eastAsia" w:asciiTheme="minorEastAsia" w:hAnsiTheme="minorEastAsia" w:eastAsiaTheme="minorEastAsia"/>
                <w:kern w:val="2"/>
                <w:sz w:val="18"/>
                <w:szCs w:val="18"/>
                <w:lang w:bidi="zh-CN"/>
              </w:rPr>
              <w:t>X</w:t>
            </w:r>
            <w:r>
              <w:rPr>
                <w:rFonts w:asciiTheme="minorEastAsia" w:hAnsiTheme="minorEastAsia" w:eastAsiaTheme="minorEastAsia"/>
                <w:kern w:val="2"/>
                <w:sz w:val="18"/>
                <w:szCs w:val="18"/>
                <w:lang w:bidi="zh-CN"/>
              </w:rPr>
              <w:t>XX/XXX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27" w:type="dxa"/>
            <w:vAlign w:val="center"/>
          </w:tcPr>
          <w:p>
            <w:pPr>
              <w:spacing w:line="240" w:lineRule="exact"/>
              <w:jc w:val="left"/>
              <w:rPr>
                <w:rFonts w:cs="宋体" w:asciiTheme="minorEastAsia" w:hAnsiTheme="minorEastAsia" w:eastAsiaTheme="minorEastAsia"/>
                <w:b/>
                <w:kern w:val="2"/>
                <w:sz w:val="18"/>
                <w:szCs w:val="18"/>
              </w:rPr>
            </w:pPr>
            <w:r>
              <w:rPr>
                <w:rFonts w:hint="eastAsia" w:cs="宋体" w:asciiTheme="minorEastAsia" w:hAnsiTheme="minorEastAsia" w:eastAsiaTheme="minorEastAsia"/>
                <w:b/>
                <w:kern w:val="2"/>
                <w:sz w:val="18"/>
                <w:szCs w:val="18"/>
              </w:rPr>
              <w:t>2</w:t>
            </w:r>
          </w:p>
        </w:tc>
        <w:tc>
          <w:tcPr>
            <w:tcW w:w="1264" w:type="dxa"/>
            <w:vAlign w:val="center"/>
          </w:tcPr>
          <w:p>
            <w:pPr>
              <w:spacing w:line="240" w:lineRule="exact"/>
              <w:rPr>
                <w:rFonts w:cs="宋体" w:asciiTheme="minorEastAsia" w:hAnsiTheme="minorEastAsia" w:eastAsiaTheme="minorEastAsia"/>
                <w:b/>
                <w:kern w:val="2"/>
                <w:sz w:val="18"/>
                <w:szCs w:val="18"/>
              </w:rPr>
            </w:pPr>
            <w:r>
              <w:rPr>
                <w:rFonts w:hint="eastAsia" w:cs="宋体" w:asciiTheme="minorEastAsia" w:hAnsiTheme="minorEastAsia" w:eastAsiaTheme="minorEastAsia"/>
                <w:kern w:val="2"/>
                <w:sz w:val="18"/>
                <w:szCs w:val="18"/>
                <w:lang w:val="zh-CN" w:bidi="zh-CN"/>
              </w:rPr>
              <w:t>开挖深度超过5m（含）的深基坑作业，或开挖深度虽未超过5m，但地质条件、周围环境和地下管线复杂，或影响毗邻建筑（构筑）物安全的深基坑作业</w:t>
            </w:r>
          </w:p>
        </w:tc>
        <w:tc>
          <w:tcPr>
            <w:tcW w:w="936" w:type="dxa"/>
            <w:vAlign w:val="center"/>
          </w:tcPr>
          <w:p>
            <w:pPr>
              <w:spacing w:line="240" w:lineRule="exact"/>
              <w:jc w:val="left"/>
              <w:rPr>
                <w:rFonts w:cs="宋体" w:asciiTheme="minorEastAsia" w:hAnsiTheme="minorEastAsia" w:eastAsiaTheme="minorEastAsia"/>
                <w:b/>
                <w:kern w:val="2"/>
                <w:sz w:val="18"/>
                <w:szCs w:val="18"/>
              </w:rPr>
            </w:pPr>
            <w:r>
              <w:rPr>
                <w:rFonts w:hint="eastAsia" w:cs="宋体" w:asciiTheme="minorEastAsia" w:hAnsiTheme="minorEastAsia" w:eastAsiaTheme="minorEastAsia"/>
                <w:kern w:val="2"/>
                <w:sz w:val="18"/>
                <w:szCs w:val="18"/>
                <w:lang w:val="zh-CN" w:bidi="zh-CN"/>
              </w:rPr>
              <w:t>提水泵站基坑</w:t>
            </w:r>
          </w:p>
        </w:tc>
        <w:tc>
          <w:tcPr>
            <w:tcW w:w="988" w:type="dxa"/>
            <w:vAlign w:val="center"/>
          </w:tcPr>
          <w:p>
            <w:pPr>
              <w:spacing w:line="240" w:lineRule="exact"/>
              <w:jc w:val="left"/>
              <w:rPr>
                <w:rFonts w:cs="宋体" w:asciiTheme="minorEastAsia" w:hAnsiTheme="minorEastAsia" w:eastAsiaTheme="minorEastAsia"/>
                <w:b/>
                <w:kern w:val="2"/>
                <w:sz w:val="18"/>
                <w:szCs w:val="18"/>
              </w:rPr>
            </w:pPr>
            <w:r>
              <w:rPr>
                <w:rFonts w:hint="eastAsia" w:cs="宋体" w:asciiTheme="minorEastAsia" w:hAnsiTheme="minorEastAsia" w:eastAsiaTheme="minorEastAsia"/>
                <w:kern w:val="2"/>
                <w:sz w:val="18"/>
                <w:szCs w:val="18"/>
                <w:lang w:val="zh-CN" w:bidi="zh-CN"/>
              </w:rPr>
              <w:t>坍塌、高处坠落</w:t>
            </w:r>
          </w:p>
        </w:tc>
        <w:tc>
          <w:tcPr>
            <w:tcW w:w="846" w:type="dxa"/>
            <w:vAlign w:val="center"/>
          </w:tcPr>
          <w:p>
            <w:pPr>
              <w:spacing w:line="240" w:lineRule="exact"/>
              <w:jc w:val="left"/>
              <w:rPr>
                <w:rFonts w:cs="宋体" w:asciiTheme="minorEastAsia" w:hAnsiTheme="minorEastAsia" w:eastAsiaTheme="minorEastAsia"/>
                <w:b/>
                <w:kern w:val="2"/>
                <w:sz w:val="18"/>
                <w:szCs w:val="18"/>
              </w:rPr>
            </w:pPr>
            <w:r>
              <w:rPr>
                <w:rFonts w:hint="eastAsia" w:cs="宋体" w:asciiTheme="minorEastAsia" w:hAnsiTheme="minorEastAsia" w:eastAsiaTheme="minorEastAsia"/>
                <w:kern w:val="2"/>
                <w:sz w:val="18"/>
                <w:szCs w:val="18"/>
                <w:lang w:val="zh-CN" w:bidi="zh-CN"/>
              </w:rPr>
              <w:t>重大</w:t>
            </w:r>
          </w:p>
        </w:tc>
        <w:tc>
          <w:tcPr>
            <w:tcW w:w="705" w:type="dxa"/>
            <w:vAlign w:val="center"/>
          </w:tcPr>
          <w:p>
            <w:pPr>
              <w:spacing w:line="240" w:lineRule="exact"/>
              <w:jc w:val="left"/>
              <w:rPr>
                <w:rFonts w:cs="宋体" w:asciiTheme="minorEastAsia" w:hAnsiTheme="minorEastAsia" w:eastAsiaTheme="minorEastAsia"/>
                <w:b/>
                <w:kern w:val="2"/>
                <w:sz w:val="18"/>
                <w:szCs w:val="18"/>
              </w:rPr>
            </w:pPr>
            <w:r>
              <w:rPr>
                <w:rFonts w:cs="宋体" w:asciiTheme="minorEastAsia" w:hAnsiTheme="minorEastAsia" w:eastAsiaTheme="minorEastAsia"/>
                <w:kern w:val="2"/>
                <w:sz w:val="18"/>
                <w:szCs w:val="18"/>
                <w:lang w:val="zh-CN" w:bidi="zh-CN"/>
              </w:rPr>
              <w:t>重大</w:t>
            </w:r>
          </w:p>
        </w:tc>
        <w:tc>
          <w:tcPr>
            <w:tcW w:w="706" w:type="dxa"/>
            <w:shd w:val="clear" w:color="auto" w:fill="FF0000"/>
            <w:vAlign w:val="center"/>
          </w:tcPr>
          <w:p>
            <w:pPr>
              <w:spacing w:line="240" w:lineRule="exact"/>
              <w:jc w:val="left"/>
              <w:rPr>
                <w:rFonts w:cs="宋体" w:asciiTheme="minorEastAsia" w:hAnsiTheme="minorEastAsia" w:eastAsiaTheme="minorEastAsia"/>
                <w:b/>
                <w:kern w:val="2"/>
                <w:sz w:val="18"/>
                <w:szCs w:val="18"/>
              </w:rPr>
            </w:pPr>
            <w:r>
              <w:rPr>
                <w:rFonts w:hint="eastAsia" w:cs="宋体" w:asciiTheme="minorEastAsia" w:hAnsiTheme="minorEastAsia" w:eastAsiaTheme="minorEastAsia"/>
                <w:b/>
                <w:kern w:val="2"/>
                <w:sz w:val="18"/>
                <w:szCs w:val="18"/>
              </w:rPr>
              <w:t>红色</w:t>
            </w:r>
          </w:p>
        </w:tc>
        <w:tc>
          <w:tcPr>
            <w:tcW w:w="6030" w:type="dxa"/>
            <w:vAlign w:val="center"/>
          </w:tcPr>
          <w:p>
            <w:pPr>
              <w:spacing w:line="240" w:lineRule="exact"/>
              <w:jc w:val="left"/>
              <w:rPr>
                <w:rFonts w:cs="宋体" w:asciiTheme="minorEastAsia" w:hAnsiTheme="minorEastAsia" w:eastAsiaTheme="minorEastAsia"/>
                <w:kern w:val="2"/>
                <w:sz w:val="18"/>
                <w:szCs w:val="18"/>
                <w:lang w:val="zh-CN" w:bidi="zh-CN"/>
              </w:rPr>
            </w:pPr>
            <w:r>
              <w:rPr>
                <w:rFonts w:hint="eastAsia" w:cs="宋体" w:asciiTheme="minorEastAsia" w:hAnsiTheme="minorEastAsia" w:eastAsiaTheme="minorEastAsia"/>
                <w:kern w:val="2"/>
                <w:sz w:val="18"/>
                <w:szCs w:val="18"/>
                <w:lang w:val="zh-CN" w:bidi="zh-CN"/>
              </w:rPr>
              <w:t>工程技术：按设计和施工方案遵循“分层开挖，严禁超挖”的原则，开挖过程中对变形进行监测。</w:t>
            </w:r>
          </w:p>
          <w:p>
            <w:pPr>
              <w:widowControl w:val="0"/>
              <w:spacing w:line="240" w:lineRule="exact"/>
              <w:jc w:val="left"/>
              <w:rPr>
                <w:rFonts w:cs="宋体" w:asciiTheme="minorEastAsia" w:hAnsiTheme="minorEastAsia" w:eastAsiaTheme="minorEastAsia"/>
                <w:kern w:val="2"/>
                <w:sz w:val="18"/>
                <w:szCs w:val="18"/>
                <w:lang w:val="zh-CN" w:bidi="zh-CN"/>
              </w:rPr>
            </w:pPr>
            <w:r>
              <w:rPr>
                <w:rFonts w:hint="eastAsia" w:cs="宋体" w:asciiTheme="minorEastAsia" w:hAnsiTheme="minorEastAsia" w:eastAsiaTheme="minorEastAsia"/>
                <w:kern w:val="2"/>
                <w:sz w:val="18"/>
                <w:szCs w:val="18"/>
                <w:lang w:val="zh-CN" w:bidi="zh-CN"/>
              </w:rPr>
              <w:t>管理：</w:t>
            </w:r>
            <w:r>
              <w:rPr>
                <w:rFonts w:cs="宋体" w:asciiTheme="minorEastAsia" w:hAnsiTheme="minorEastAsia" w:eastAsiaTheme="minorEastAsia"/>
                <w:kern w:val="2"/>
                <w:sz w:val="18"/>
                <w:szCs w:val="18"/>
                <w:lang w:val="zh-CN" w:bidi="zh-CN"/>
              </w:rPr>
              <w:t>生产设备、设施安全管理办法</w:t>
            </w:r>
            <w:r>
              <w:rPr>
                <w:rFonts w:hint="eastAsia" w:cs="宋体" w:asciiTheme="minorEastAsia" w:hAnsiTheme="minorEastAsia" w:eastAsiaTheme="minorEastAsia"/>
                <w:kern w:val="2"/>
                <w:sz w:val="18"/>
                <w:szCs w:val="18"/>
                <w:lang w:val="zh-CN" w:bidi="zh-CN"/>
              </w:rPr>
              <w:t>，</w:t>
            </w:r>
            <w:r>
              <w:rPr>
                <w:rFonts w:cs="宋体" w:asciiTheme="minorEastAsia" w:hAnsiTheme="minorEastAsia" w:eastAsiaTheme="minorEastAsia"/>
                <w:kern w:val="2"/>
                <w:sz w:val="18"/>
                <w:szCs w:val="18"/>
                <w:lang w:val="zh-CN" w:bidi="zh-CN"/>
              </w:rPr>
              <w:t>防汛安全管理办法</w:t>
            </w:r>
            <w:r>
              <w:rPr>
                <w:rFonts w:hint="eastAsia" w:cs="宋体" w:asciiTheme="minorEastAsia" w:hAnsiTheme="minorEastAsia" w:eastAsiaTheme="minorEastAsia"/>
                <w:kern w:val="2"/>
                <w:sz w:val="18"/>
                <w:szCs w:val="18"/>
                <w:lang w:val="zh-CN" w:bidi="zh-CN"/>
              </w:rPr>
              <w:t>，</w:t>
            </w:r>
            <w:r>
              <w:rPr>
                <w:rFonts w:cs="宋体" w:asciiTheme="minorEastAsia" w:hAnsiTheme="minorEastAsia" w:eastAsiaTheme="minorEastAsia"/>
                <w:kern w:val="2"/>
                <w:sz w:val="18"/>
                <w:szCs w:val="18"/>
                <w:lang w:val="zh-CN" w:bidi="zh-CN"/>
              </w:rPr>
              <w:t>应急监测与预警管理办法</w:t>
            </w:r>
            <w:r>
              <w:rPr>
                <w:rFonts w:hint="eastAsia" w:cs="宋体" w:asciiTheme="minorEastAsia" w:hAnsiTheme="minorEastAsia" w:eastAsiaTheme="minorEastAsia"/>
                <w:kern w:val="2"/>
                <w:sz w:val="18"/>
                <w:szCs w:val="18"/>
                <w:lang w:val="zh-CN" w:bidi="zh-CN"/>
              </w:rPr>
              <w:t>，</w:t>
            </w:r>
            <w:r>
              <w:rPr>
                <w:rFonts w:cs="宋体" w:asciiTheme="minorEastAsia" w:hAnsiTheme="minorEastAsia" w:eastAsiaTheme="minorEastAsia"/>
                <w:kern w:val="2"/>
                <w:sz w:val="18"/>
                <w:szCs w:val="18"/>
                <w:lang w:val="zh-CN" w:bidi="zh-CN"/>
              </w:rPr>
              <w:t>班组六项循环制度</w:t>
            </w:r>
            <w:r>
              <w:rPr>
                <w:rFonts w:hint="eastAsia" w:cs="宋体" w:asciiTheme="minorEastAsia" w:hAnsiTheme="minorEastAsia" w:eastAsiaTheme="minorEastAsia"/>
                <w:kern w:val="2"/>
                <w:sz w:val="18"/>
                <w:szCs w:val="18"/>
                <w:lang w:val="zh-CN" w:bidi="zh-CN"/>
              </w:rPr>
              <w:t>，</w:t>
            </w:r>
            <w:r>
              <w:rPr>
                <w:rFonts w:cs="宋体" w:asciiTheme="minorEastAsia" w:hAnsiTheme="minorEastAsia" w:eastAsiaTheme="minorEastAsia"/>
                <w:kern w:val="2"/>
                <w:sz w:val="18"/>
                <w:szCs w:val="18"/>
                <w:lang w:val="zh-CN" w:bidi="zh-CN"/>
              </w:rPr>
              <w:t>紧急避险撤人管理办法</w:t>
            </w:r>
            <w:r>
              <w:rPr>
                <w:rFonts w:hint="eastAsia" w:cs="宋体" w:asciiTheme="minorEastAsia" w:hAnsiTheme="minorEastAsia" w:eastAsiaTheme="minorEastAsia"/>
                <w:kern w:val="2"/>
                <w:sz w:val="18"/>
                <w:szCs w:val="18"/>
                <w:lang w:val="zh-CN" w:bidi="zh-CN"/>
              </w:rPr>
              <w:t>，</w:t>
            </w:r>
            <w:r>
              <w:rPr>
                <w:rFonts w:cs="宋体" w:asciiTheme="minorEastAsia" w:hAnsiTheme="minorEastAsia" w:eastAsiaTheme="minorEastAsia"/>
                <w:kern w:val="2"/>
                <w:sz w:val="18"/>
                <w:szCs w:val="18"/>
                <w:lang w:val="zh-CN" w:bidi="zh-CN"/>
              </w:rPr>
              <w:t>安全技术措施管理办法</w:t>
            </w:r>
            <w:r>
              <w:rPr>
                <w:rFonts w:hint="eastAsia" w:cs="宋体" w:asciiTheme="minorEastAsia" w:hAnsiTheme="minorEastAsia" w:eastAsiaTheme="minorEastAsia"/>
                <w:kern w:val="2"/>
                <w:sz w:val="18"/>
                <w:szCs w:val="18"/>
                <w:lang w:val="zh-CN" w:bidi="zh-CN"/>
              </w:rPr>
              <w:t>，</w:t>
            </w:r>
            <w:r>
              <w:rPr>
                <w:rFonts w:cs="宋体" w:asciiTheme="minorEastAsia" w:hAnsiTheme="minorEastAsia" w:eastAsiaTheme="minorEastAsia"/>
                <w:kern w:val="2"/>
                <w:sz w:val="18"/>
                <w:szCs w:val="18"/>
                <w:lang w:val="zh-CN" w:bidi="zh-CN"/>
              </w:rPr>
              <w:t>危险性较大的单项工程管理办法</w:t>
            </w:r>
            <w:r>
              <w:rPr>
                <w:rFonts w:hint="eastAsia" w:cs="宋体" w:asciiTheme="minorEastAsia" w:hAnsiTheme="minorEastAsia" w:eastAsiaTheme="minorEastAsia"/>
                <w:kern w:val="2"/>
                <w:sz w:val="18"/>
                <w:szCs w:val="18"/>
                <w:lang w:val="zh-CN" w:bidi="zh-CN"/>
              </w:rPr>
              <w:t>；</w:t>
            </w:r>
            <w:r>
              <w:rPr>
                <w:rFonts w:cs="宋体" w:asciiTheme="minorEastAsia" w:hAnsiTheme="minorEastAsia" w:eastAsiaTheme="minorEastAsia"/>
                <w:kern w:val="2"/>
                <w:sz w:val="18"/>
                <w:szCs w:val="18"/>
                <w:lang w:val="zh-CN" w:bidi="zh-CN"/>
              </w:rPr>
              <w:t>液压挖掘机安全操作规程</w:t>
            </w:r>
            <w:r>
              <w:rPr>
                <w:rFonts w:hint="eastAsia" w:cs="宋体" w:asciiTheme="minorEastAsia" w:hAnsiTheme="minorEastAsia" w:eastAsiaTheme="minorEastAsia"/>
                <w:kern w:val="2"/>
                <w:sz w:val="18"/>
                <w:szCs w:val="18"/>
                <w:lang w:val="zh-CN" w:bidi="zh-CN"/>
              </w:rPr>
              <w:t>，</w:t>
            </w:r>
            <w:r>
              <w:rPr>
                <w:rFonts w:cs="宋体" w:asciiTheme="minorEastAsia" w:hAnsiTheme="minorEastAsia" w:eastAsiaTheme="minorEastAsia"/>
                <w:kern w:val="2"/>
                <w:sz w:val="18"/>
                <w:szCs w:val="18"/>
                <w:lang w:val="zh-CN" w:bidi="zh-CN"/>
              </w:rPr>
              <w:t>装载机安全操作规程</w:t>
            </w:r>
            <w:r>
              <w:rPr>
                <w:rFonts w:hint="eastAsia" w:cs="宋体" w:asciiTheme="minorEastAsia" w:hAnsiTheme="minorEastAsia" w:eastAsiaTheme="minorEastAsia"/>
                <w:kern w:val="2"/>
                <w:sz w:val="18"/>
                <w:szCs w:val="18"/>
                <w:lang w:val="zh-CN" w:bidi="zh-CN"/>
              </w:rPr>
              <w:t>，</w:t>
            </w:r>
            <w:r>
              <w:rPr>
                <w:rFonts w:cs="宋体" w:asciiTheme="minorEastAsia" w:hAnsiTheme="minorEastAsia" w:eastAsiaTheme="minorEastAsia"/>
                <w:kern w:val="2"/>
                <w:sz w:val="18"/>
                <w:szCs w:val="18"/>
                <w:lang w:val="zh-CN" w:bidi="zh-CN"/>
              </w:rPr>
              <w:t>撬挖工安全操作规程</w:t>
            </w:r>
            <w:r>
              <w:rPr>
                <w:rFonts w:hint="eastAsia" w:cs="宋体" w:asciiTheme="minorEastAsia" w:hAnsiTheme="minorEastAsia" w:eastAsiaTheme="minorEastAsia"/>
                <w:kern w:val="2"/>
                <w:sz w:val="18"/>
                <w:szCs w:val="18"/>
                <w:lang w:val="zh-CN" w:bidi="zh-CN"/>
              </w:rPr>
              <w:t>，</w:t>
            </w:r>
            <w:r>
              <w:rPr>
                <w:rFonts w:cs="宋体" w:asciiTheme="minorEastAsia" w:hAnsiTheme="minorEastAsia" w:eastAsiaTheme="minorEastAsia"/>
                <w:kern w:val="2"/>
                <w:sz w:val="18"/>
                <w:szCs w:val="18"/>
                <w:lang w:val="zh-CN" w:bidi="zh-CN"/>
              </w:rPr>
              <w:t>土石方机械司机安全操作规程</w:t>
            </w:r>
            <w:r>
              <w:rPr>
                <w:rFonts w:hint="eastAsia" w:cs="宋体" w:asciiTheme="minorEastAsia" w:hAnsiTheme="minorEastAsia" w:eastAsiaTheme="minorEastAsia"/>
                <w:kern w:val="2"/>
                <w:sz w:val="18"/>
                <w:szCs w:val="18"/>
                <w:lang w:val="zh-CN" w:bidi="zh-CN"/>
              </w:rPr>
              <w:t>，</w:t>
            </w:r>
            <w:r>
              <w:rPr>
                <w:rFonts w:cs="宋体" w:asciiTheme="minorEastAsia" w:hAnsiTheme="minorEastAsia" w:eastAsiaTheme="minorEastAsia"/>
                <w:kern w:val="2"/>
                <w:sz w:val="18"/>
                <w:szCs w:val="18"/>
                <w:lang w:val="zh-CN" w:bidi="zh-CN"/>
              </w:rPr>
              <w:t>深基坑专项安全操作规程</w:t>
            </w:r>
            <w:r>
              <w:rPr>
                <w:rFonts w:hint="eastAsia" w:cs="宋体" w:asciiTheme="minorEastAsia" w:hAnsiTheme="minorEastAsia" w:eastAsiaTheme="minorEastAsia"/>
                <w:kern w:val="2"/>
                <w:sz w:val="18"/>
                <w:szCs w:val="18"/>
                <w:lang w:val="zh-CN" w:bidi="zh-CN"/>
              </w:rPr>
              <w:t>等。</w:t>
            </w:r>
          </w:p>
          <w:p>
            <w:pPr>
              <w:spacing w:line="240" w:lineRule="exact"/>
              <w:jc w:val="left"/>
              <w:rPr>
                <w:rFonts w:cs="宋体" w:asciiTheme="minorEastAsia" w:hAnsiTheme="minorEastAsia" w:eastAsiaTheme="minorEastAsia"/>
                <w:kern w:val="2"/>
                <w:sz w:val="18"/>
                <w:szCs w:val="18"/>
                <w:lang w:val="zh-CN" w:bidi="zh-CN"/>
              </w:rPr>
            </w:pPr>
            <w:r>
              <w:rPr>
                <w:rFonts w:hint="eastAsia" w:cs="宋体" w:asciiTheme="minorEastAsia" w:hAnsiTheme="minorEastAsia" w:eastAsiaTheme="minorEastAsia"/>
                <w:kern w:val="2"/>
                <w:sz w:val="18"/>
                <w:szCs w:val="18"/>
                <w:lang w:val="zh-CN" w:bidi="zh-CN"/>
              </w:rPr>
              <w:t>教育培训措施：做好班前安全教育及交底。</w:t>
            </w:r>
          </w:p>
          <w:p>
            <w:pPr>
              <w:spacing w:line="240" w:lineRule="exact"/>
              <w:jc w:val="left"/>
              <w:rPr>
                <w:rFonts w:cs="宋体" w:asciiTheme="minorEastAsia" w:hAnsiTheme="minorEastAsia" w:eastAsiaTheme="minorEastAsia"/>
                <w:kern w:val="2"/>
                <w:sz w:val="18"/>
                <w:szCs w:val="18"/>
                <w:lang w:val="zh-CN" w:bidi="zh-CN"/>
              </w:rPr>
            </w:pPr>
            <w:r>
              <w:rPr>
                <w:rFonts w:hint="eastAsia" w:cs="宋体" w:asciiTheme="minorEastAsia" w:hAnsiTheme="minorEastAsia" w:eastAsiaTheme="minorEastAsia"/>
                <w:kern w:val="2"/>
                <w:sz w:val="18"/>
                <w:szCs w:val="18"/>
                <w:lang w:val="zh-CN" w:bidi="zh-CN"/>
              </w:rPr>
              <w:t>个体防护：佩戴安全帽。</w:t>
            </w:r>
          </w:p>
          <w:p>
            <w:pPr>
              <w:widowControl w:val="0"/>
              <w:spacing w:line="240" w:lineRule="exact"/>
              <w:jc w:val="left"/>
              <w:rPr>
                <w:rFonts w:cs="宋体" w:asciiTheme="minorEastAsia" w:hAnsiTheme="minorEastAsia" w:eastAsiaTheme="minorEastAsia"/>
                <w:kern w:val="2"/>
                <w:sz w:val="18"/>
                <w:szCs w:val="18"/>
                <w:lang w:val="zh-CN" w:bidi="zh-CN"/>
              </w:rPr>
            </w:pPr>
            <w:r>
              <w:rPr>
                <w:rFonts w:hint="eastAsia" w:cs="宋体" w:asciiTheme="minorEastAsia" w:hAnsiTheme="minorEastAsia" w:eastAsiaTheme="minorEastAsia"/>
                <w:kern w:val="2"/>
                <w:sz w:val="18"/>
                <w:szCs w:val="18"/>
                <w:lang w:val="zh-CN" w:bidi="zh-CN"/>
              </w:rPr>
              <w:t>应急处置：组织对</w:t>
            </w:r>
            <w:r>
              <w:rPr>
                <w:rFonts w:cs="宋体" w:asciiTheme="minorEastAsia" w:hAnsiTheme="minorEastAsia" w:eastAsiaTheme="minorEastAsia"/>
                <w:kern w:val="2"/>
                <w:sz w:val="18"/>
                <w:szCs w:val="18"/>
                <w:lang w:val="zh-CN" w:bidi="zh-CN"/>
              </w:rPr>
              <w:t>基坑坍塌事故专项应急预案</w:t>
            </w:r>
            <w:r>
              <w:rPr>
                <w:rFonts w:hint="eastAsia" w:cs="宋体" w:asciiTheme="minorEastAsia" w:hAnsiTheme="minorEastAsia" w:eastAsiaTheme="minorEastAsia"/>
                <w:kern w:val="2"/>
                <w:sz w:val="18"/>
                <w:szCs w:val="18"/>
                <w:lang w:val="zh-CN" w:bidi="zh-CN"/>
              </w:rPr>
              <w:t>，高处坠落现场处置方案培训和演练。</w:t>
            </w:r>
          </w:p>
          <w:p>
            <w:pPr>
              <w:spacing w:line="240" w:lineRule="exact"/>
              <w:jc w:val="left"/>
              <w:rPr>
                <w:rFonts w:cs="宋体" w:asciiTheme="minorEastAsia" w:hAnsiTheme="minorEastAsia" w:eastAsiaTheme="minorEastAsia"/>
                <w:b/>
                <w:kern w:val="2"/>
                <w:sz w:val="18"/>
                <w:szCs w:val="18"/>
              </w:rPr>
            </w:pPr>
            <w:r>
              <w:rPr>
                <w:rFonts w:hint="eastAsia" w:cs="宋体" w:asciiTheme="minorEastAsia" w:hAnsiTheme="minorEastAsia" w:eastAsiaTheme="minorEastAsia"/>
                <w:kern w:val="2"/>
                <w:sz w:val="18"/>
                <w:szCs w:val="18"/>
                <w:lang w:val="zh-CN" w:bidi="zh-CN"/>
              </w:rPr>
              <w:t>监测监控：设置位移沉降监测点并定期开展监测、分析，超过警戒值及时报警和采取措施。</w:t>
            </w:r>
          </w:p>
        </w:tc>
        <w:tc>
          <w:tcPr>
            <w:tcW w:w="993" w:type="dxa"/>
            <w:vAlign w:val="center"/>
          </w:tcPr>
          <w:p>
            <w:pPr>
              <w:spacing w:line="240" w:lineRule="exact"/>
              <w:jc w:val="left"/>
              <w:rPr>
                <w:rFonts w:asciiTheme="minorEastAsia" w:hAnsiTheme="minorEastAsia" w:eastAsiaTheme="minorEastAsia"/>
                <w:kern w:val="2"/>
                <w:sz w:val="18"/>
                <w:szCs w:val="18"/>
                <w:lang w:val="zh-CN" w:bidi="zh-CN"/>
              </w:rPr>
            </w:pPr>
            <w:r>
              <w:rPr>
                <w:rFonts w:hint="eastAsia" w:asciiTheme="minorEastAsia" w:hAnsiTheme="minorEastAsia" w:eastAsiaTheme="minorEastAsia"/>
                <w:kern w:val="2"/>
                <w:sz w:val="18"/>
                <w:szCs w:val="18"/>
                <w:lang w:val="zh-CN" w:bidi="zh-CN"/>
              </w:rPr>
              <w:t>项目法人</w:t>
            </w:r>
          </w:p>
          <w:p>
            <w:pPr>
              <w:spacing w:line="240" w:lineRule="exact"/>
              <w:jc w:val="left"/>
              <w:rPr>
                <w:rFonts w:asciiTheme="minorEastAsia" w:hAnsiTheme="minorEastAsia" w:eastAsiaTheme="minorEastAsia"/>
                <w:kern w:val="2"/>
                <w:sz w:val="18"/>
                <w:szCs w:val="18"/>
                <w:lang w:val="zh-CN" w:bidi="zh-CN"/>
              </w:rPr>
            </w:pPr>
            <w:r>
              <w:rPr>
                <w:rFonts w:hint="eastAsia" w:asciiTheme="minorEastAsia" w:hAnsiTheme="minorEastAsia" w:eastAsiaTheme="minorEastAsia"/>
                <w:kern w:val="2"/>
                <w:sz w:val="18"/>
                <w:szCs w:val="18"/>
                <w:lang w:val="zh-CN" w:bidi="zh-CN"/>
              </w:rPr>
              <w:t>监理单位</w:t>
            </w:r>
          </w:p>
          <w:p>
            <w:pPr>
              <w:spacing w:line="240" w:lineRule="exact"/>
              <w:jc w:val="left"/>
              <w:rPr>
                <w:rFonts w:cs="宋体" w:asciiTheme="minorEastAsia" w:hAnsiTheme="minorEastAsia" w:eastAsiaTheme="minorEastAsia"/>
                <w:b/>
                <w:kern w:val="2"/>
                <w:sz w:val="18"/>
                <w:szCs w:val="18"/>
              </w:rPr>
            </w:pPr>
            <w:r>
              <w:rPr>
                <w:rFonts w:hint="eastAsia" w:asciiTheme="minorEastAsia" w:hAnsiTheme="minorEastAsia" w:eastAsiaTheme="minorEastAsia"/>
                <w:kern w:val="2"/>
                <w:sz w:val="18"/>
                <w:szCs w:val="18"/>
                <w:lang w:val="zh-CN" w:bidi="zh-CN"/>
              </w:rPr>
              <w:t>施工单位</w:t>
            </w:r>
          </w:p>
        </w:tc>
        <w:tc>
          <w:tcPr>
            <w:tcW w:w="1053" w:type="dxa"/>
            <w:vAlign w:val="center"/>
          </w:tcPr>
          <w:p>
            <w:pPr>
              <w:spacing w:line="240" w:lineRule="exact"/>
              <w:jc w:val="left"/>
              <w:rPr>
                <w:rFonts w:asciiTheme="minorEastAsia" w:hAnsiTheme="minorEastAsia" w:eastAsiaTheme="minorEastAsia"/>
                <w:kern w:val="2"/>
                <w:sz w:val="18"/>
                <w:szCs w:val="18"/>
                <w:lang w:bidi="zh-CN"/>
              </w:rPr>
            </w:pPr>
            <w:r>
              <w:rPr>
                <w:rFonts w:hint="eastAsia" w:asciiTheme="minorEastAsia" w:hAnsiTheme="minorEastAsia" w:eastAsiaTheme="minorEastAsia"/>
                <w:kern w:val="2"/>
                <w:sz w:val="18"/>
                <w:szCs w:val="18"/>
                <w:lang w:bidi="zh-CN"/>
              </w:rPr>
              <w:t>X</w:t>
            </w:r>
            <w:r>
              <w:rPr>
                <w:rFonts w:asciiTheme="minorEastAsia" w:hAnsiTheme="minorEastAsia" w:eastAsiaTheme="minorEastAsia"/>
                <w:kern w:val="2"/>
                <w:sz w:val="18"/>
                <w:szCs w:val="18"/>
                <w:lang w:bidi="zh-CN"/>
              </w:rPr>
              <w:t>XX/XXX</w:t>
            </w:r>
          </w:p>
          <w:p>
            <w:pPr>
              <w:spacing w:line="240" w:lineRule="exact"/>
              <w:jc w:val="left"/>
              <w:rPr>
                <w:rFonts w:asciiTheme="minorEastAsia" w:hAnsiTheme="minorEastAsia" w:eastAsiaTheme="minorEastAsia"/>
                <w:kern w:val="2"/>
                <w:sz w:val="18"/>
                <w:szCs w:val="18"/>
                <w:lang w:bidi="zh-CN"/>
              </w:rPr>
            </w:pPr>
            <w:r>
              <w:rPr>
                <w:rFonts w:hint="eastAsia" w:asciiTheme="minorEastAsia" w:hAnsiTheme="minorEastAsia" w:eastAsiaTheme="minorEastAsia"/>
                <w:kern w:val="2"/>
                <w:sz w:val="18"/>
                <w:szCs w:val="18"/>
                <w:lang w:bidi="zh-CN"/>
              </w:rPr>
              <w:t>X</w:t>
            </w:r>
            <w:r>
              <w:rPr>
                <w:rFonts w:asciiTheme="minorEastAsia" w:hAnsiTheme="minorEastAsia" w:eastAsiaTheme="minorEastAsia"/>
                <w:kern w:val="2"/>
                <w:sz w:val="18"/>
                <w:szCs w:val="18"/>
                <w:lang w:bidi="zh-CN"/>
              </w:rPr>
              <w:t>XX/XXX</w:t>
            </w:r>
          </w:p>
          <w:p>
            <w:pPr>
              <w:spacing w:line="240" w:lineRule="exact"/>
              <w:jc w:val="left"/>
              <w:rPr>
                <w:rFonts w:asciiTheme="minorEastAsia" w:hAnsiTheme="minorEastAsia" w:eastAsiaTheme="minorEastAsia"/>
                <w:kern w:val="2"/>
                <w:sz w:val="18"/>
                <w:szCs w:val="18"/>
                <w:lang w:bidi="zh-CN"/>
              </w:rPr>
            </w:pPr>
            <w:r>
              <w:rPr>
                <w:rFonts w:hint="eastAsia" w:asciiTheme="minorEastAsia" w:hAnsiTheme="minorEastAsia" w:eastAsiaTheme="minorEastAsia"/>
                <w:kern w:val="2"/>
                <w:sz w:val="18"/>
                <w:szCs w:val="18"/>
                <w:lang w:bidi="zh-CN"/>
              </w:rPr>
              <w:t>X</w:t>
            </w:r>
            <w:r>
              <w:rPr>
                <w:rFonts w:asciiTheme="minorEastAsia" w:hAnsiTheme="minorEastAsia" w:eastAsiaTheme="minorEastAsia"/>
                <w:kern w:val="2"/>
                <w:sz w:val="18"/>
                <w:szCs w:val="18"/>
                <w:lang w:bidi="zh-CN"/>
              </w:rPr>
              <w:t>XX/XXX</w:t>
            </w:r>
          </w:p>
        </w:tc>
      </w:tr>
    </w:tbl>
    <w:p>
      <w:pPr>
        <w:rPr>
          <w:rFonts w:asciiTheme="minorEastAsia" w:hAnsiTheme="minorEastAsia" w:eastAsiaTheme="minorEastAsia"/>
          <w:sz w:val="21"/>
          <w:szCs w:val="21"/>
        </w:rPr>
        <w:sectPr>
          <w:pgSz w:w="16838" w:h="11906" w:orient="landscape"/>
          <w:pgMar w:top="1797" w:right="1440" w:bottom="1797" w:left="1440" w:header="851" w:footer="992" w:gutter="0"/>
          <w:cols w:space="425" w:num="1"/>
          <w:docGrid w:type="lines" w:linePitch="435" w:charSpace="0"/>
        </w:sectPr>
      </w:pPr>
    </w:p>
    <w:p>
      <w:pPr>
        <w:jc w:val="center"/>
        <w:outlineLvl w:val="0"/>
        <w:rPr>
          <w:rFonts w:ascii="方正小标宋_GBK" w:hAnsi="黑体" w:eastAsia="方正小标宋_GBK"/>
          <w:b/>
          <w:bCs/>
          <w:sz w:val="28"/>
          <w:szCs w:val="28"/>
        </w:rPr>
      </w:pPr>
      <w:bookmarkStart w:id="243" w:name="_Toc119336646"/>
      <w:bookmarkStart w:id="244" w:name="_Toc117541364"/>
      <w:r>
        <w:rPr>
          <w:rFonts w:hint="eastAsia" w:ascii="方正小标宋_GBK" w:hAnsi="黑体" w:eastAsia="方正小标宋_GBK"/>
          <w:b/>
          <w:bCs/>
          <w:sz w:val="28"/>
          <w:szCs w:val="28"/>
        </w:rPr>
        <w:t>附录I.3</w:t>
      </w:r>
      <w:bookmarkEnd w:id="243"/>
      <w:bookmarkEnd w:id="244"/>
    </w:p>
    <w:p>
      <w:pPr>
        <w:jc w:val="center"/>
        <w:rPr>
          <w:rFonts w:ascii="方正小标宋_GBK" w:hAnsi="黑体" w:eastAsia="方正小标宋_GBK"/>
          <w:b/>
          <w:bCs/>
          <w:sz w:val="28"/>
          <w:szCs w:val="28"/>
        </w:rPr>
      </w:pPr>
      <w:r>
        <w:rPr>
          <w:rFonts w:hint="eastAsia" w:ascii="方正小标宋_GBK" w:hAnsi="黑体" w:eastAsia="方正小标宋_GBK"/>
          <w:b/>
          <w:bCs/>
          <w:sz w:val="28"/>
          <w:szCs w:val="28"/>
        </w:rPr>
        <w:t>（资料性附录）</w:t>
      </w:r>
    </w:p>
    <w:p>
      <w:pPr>
        <w:jc w:val="center"/>
        <w:rPr>
          <w:rFonts w:ascii="方正小标宋_GBK" w:hAnsi="黑体" w:eastAsia="方正小标宋_GBK"/>
          <w:b/>
          <w:bCs/>
          <w:sz w:val="28"/>
          <w:szCs w:val="28"/>
        </w:rPr>
      </w:pPr>
    </w:p>
    <w:p>
      <w:pPr>
        <w:keepNext/>
        <w:keepLines/>
        <w:widowControl w:val="0"/>
        <w:snapToGrid w:val="0"/>
        <w:spacing w:line="360" w:lineRule="auto"/>
        <w:jc w:val="center"/>
        <w:outlineLvl w:val="1"/>
        <w:rPr>
          <w:rFonts w:ascii="方正小标宋_GBK" w:hAnsi="黑体" w:eastAsia="方正小标宋_GBK"/>
          <w:b/>
          <w:bCs/>
          <w:sz w:val="28"/>
          <w:szCs w:val="28"/>
        </w:rPr>
      </w:pPr>
      <w:bookmarkStart w:id="245" w:name="_Toc119336647"/>
      <w:bookmarkStart w:id="246" w:name="_Toc117541365"/>
      <w:r>
        <w:rPr>
          <w:rFonts w:hint="eastAsia" w:ascii="方正小标宋_GBK" w:hAnsi="黑体" w:eastAsia="方正小标宋_GBK"/>
          <w:b/>
          <w:bCs/>
          <w:sz w:val="28"/>
          <w:szCs w:val="28"/>
        </w:rPr>
        <w:t>作业安全风险比较图示例</w:t>
      </w:r>
      <w:bookmarkEnd w:id="245"/>
      <w:bookmarkEnd w:id="246"/>
    </w:p>
    <w:p>
      <w:pPr>
        <w:spacing w:line="360" w:lineRule="auto"/>
        <w:jc w:val="center"/>
        <w:rPr>
          <w:sz w:val="28"/>
          <w:szCs w:val="28"/>
        </w:rPr>
      </w:pPr>
      <w:r>
        <w:drawing>
          <wp:inline distT="0" distB="0" distL="0" distR="0">
            <wp:extent cx="5278120" cy="345313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278120" cy="3453130"/>
                    </a:xfrm>
                    <a:prstGeom prst="rect">
                      <a:avLst/>
                    </a:prstGeom>
                    <a:noFill/>
                    <a:ln>
                      <a:noFill/>
                    </a:ln>
                  </pic:spPr>
                </pic:pic>
              </a:graphicData>
            </a:graphic>
          </wp:inline>
        </w:drawing>
      </w:r>
    </w:p>
    <w:p>
      <w:pPr>
        <w:jc w:val="left"/>
        <w:rPr>
          <w:rFonts w:ascii="黑体" w:hAnsi="黑体" w:eastAsia="黑体"/>
          <w:bCs/>
        </w:rPr>
      </w:pPr>
      <w:r>
        <w:rPr>
          <w:rFonts w:ascii="黑体" w:hAnsi="黑体" w:eastAsia="黑体"/>
          <w:bCs/>
        </w:rPr>
        <w:drawing>
          <wp:inline distT="0" distB="0" distL="114300" distR="114300">
            <wp:extent cx="5243195" cy="3314700"/>
            <wp:effectExtent l="4445" t="4445" r="10160" b="14605"/>
            <wp:docPr id="6"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Pr>
          <w:rFonts w:ascii="黑体" w:hAnsi="黑体" w:eastAsia="黑体"/>
          <w:bCs/>
        </w:rPr>
        <w:br w:type="page"/>
      </w:r>
    </w:p>
    <w:p>
      <w:pPr>
        <w:rPr>
          <w:rFonts w:asciiTheme="minorEastAsia" w:hAnsiTheme="minorEastAsia" w:eastAsiaTheme="minorEastAsia"/>
          <w:sz w:val="21"/>
          <w:szCs w:val="21"/>
        </w:rPr>
        <w:sectPr>
          <w:pgSz w:w="11906" w:h="16838"/>
          <w:pgMar w:top="1440" w:right="1797" w:bottom="1440" w:left="1797" w:header="851" w:footer="992" w:gutter="0"/>
          <w:cols w:space="425" w:num="1"/>
          <w:docGrid w:type="lines" w:linePitch="435" w:charSpace="0"/>
        </w:sectPr>
      </w:pPr>
    </w:p>
    <w:p>
      <w:pPr>
        <w:jc w:val="center"/>
        <w:outlineLvl w:val="0"/>
        <w:rPr>
          <w:rFonts w:ascii="方正小标宋_GBK" w:hAnsi="黑体" w:eastAsia="方正小标宋_GBK"/>
          <w:b/>
          <w:bCs/>
          <w:sz w:val="28"/>
          <w:szCs w:val="28"/>
        </w:rPr>
      </w:pPr>
      <w:bookmarkStart w:id="247" w:name="_Toc119336648"/>
      <w:bookmarkStart w:id="248" w:name="_Toc117541366"/>
      <w:r>
        <w:rPr>
          <w:rFonts w:hint="eastAsia" w:ascii="方正小标宋_GBK" w:hAnsi="黑体" w:eastAsia="方正小标宋_GBK"/>
          <w:b/>
          <w:bCs/>
          <w:sz w:val="28"/>
          <w:szCs w:val="28"/>
        </w:rPr>
        <w:t>附录I.4</w:t>
      </w:r>
      <w:bookmarkEnd w:id="247"/>
      <w:bookmarkEnd w:id="248"/>
    </w:p>
    <w:p>
      <w:pPr>
        <w:jc w:val="center"/>
        <w:rPr>
          <w:rFonts w:ascii="方正小标宋_GBK" w:hAnsi="黑体" w:eastAsia="方正小标宋_GBK"/>
          <w:b/>
          <w:bCs/>
          <w:sz w:val="28"/>
          <w:szCs w:val="28"/>
        </w:rPr>
      </w:pPr>
      <w:r>
        <w:rPr>
          <w:rFonts w:hint="eastAsia" w:ascii="方正小标宋_GBK" w:hAnsi="黑体" w:eastAsia="方正小标宋_GBK"/>
          <w:b/>
          <w:bCs/>
          <w:sz w:val="28"/>
          <w:szCs w:val="28"/>
        </w:rPr>
        <w:t>（资料性附录）</w:t>
      </w:r>
    </w:p>
    <w:p>
      <w:pPr>
        <w:jc w:val="center"/>
        <w:outlineLvl w:val="1"/>
        <w:rPr>
          <w:rFonts w:ascii="方正小标宋_GBK" w:hAnsi="黑体" w:eastAsia="方正小标宋_GBK"/>
          <w:b/>
          <w:bCs/>
          <w:sz w:val="28"/>
          <w:szCs w:val="28"/>
        </w:rPr>
      </w:pPr>
      <w:bookmarkStart w:id="249" w:name="_Toc119336649"/>
      <w:bookmarkStart w:id="250" w:name="_Toc117541367"/>
      <w:r>
        <w:rPr>
          <w:rFonts w:hint="eastAsia" w:ascii="方正小标宋_GBK" w:hAnsi="黑体" w:eastAsia="方正小标宋_GBK"/>
          <w:b/>
          <w:bCs/>
          <w:sz w:val="28"/>
          <w:szCs w:val="28"/>
        </w:rPr>
        <w:t>岗位安全风险告知卡（示例）</w:t>
      </w:r>
      <w:bookmarkEnd w:id="249"/>
      <w:bookmarkEnd w:id="250"/>
    </w:p>
    <w:p>
      <w:pPr>
        <w:jc w:val="center"/>
        <w:rPr>
          <w:rFonts w:ascii="方正小标宋_GBK" w:hAnsi="黑体" w:eastAsia="方正小标宋_GBK"/>
          <w:b/>
          <w:bCs/>
          <w:sz w:val="28"/>
          <w:szCs w:val="28"/>
        </w:rPr>
      </w:pPr>
    </w:p>
    <w:p>
      <w:pPr>
        <w:jc w:val="center"/>
        <w:rPr>
          <w:rFonts w:ascii="方正小标宋_GBK" w:hAnsi="黑体" w:eastAsia="方正小标宋_GBK"/>
          <w:b/>
          <w:bCs/>
          <w:sz w:val="28"/>
          <w:szCs w:val="28"/>
        </w:rPr>
      </w:pPr>
      <w:r>
        <w:rPr>
          <w:rFonts w:hint="eastAsia" w:ascii="方正小标宋_GBK" w:hAnsi="黑体" w:eastAsia="方正小标宋_GBK"/>
          <w:b/>
          <w:bCs/>
          <w:sz w:val="28"/>
          <w:szCs w:val="28"/>
        </w:rPr>
        <w:t>机电设备运行维护岗位安全风险告知卡</w:t>
      </w:r>
    </w:p>
    <w:tbl>
      <w:tblPr>
        <w:tblStyle w:val="3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3"/>
        <w:gridCol w:w="135"/>
        <w:gridCol w:w="1329"/>
        <w:gridCol w:w="638"/>
        <w:gridCol w:w="2622"/>
        <w:gridCol w:w="27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spacing w:line="240" w:lineRule="exact"/>
              <w:jc w:val="center"/>
              <w:rPr>
                <w:rFonts w:ascii="宋体" w:hAnsi="宋体" w:eastAsia="宋体" w:cs="宋体"/>
                <w:kern w:val="2"/>
                <w:sz w:val="18"/>
                <w:szCs w:val="18"/>
              </w:rPr>
            </w:pPr>
            <w:r>
              <w:rPr>
                <w:rFonts w:hint="eastAsia" w:ascii="宋体" w:hAnsi="宋体" w:eastAsia="宋体" w:cs="宋体"/>
                <w:kern w:val="2"/>
                <w:sz w:val="18"/>
                <w:szCs w:val="18"/>
              </w:rPr>
              <w:t>岗位</w:t>
            </w:r>
          </w:p>
          <w:p>
            <w:pPr>
              <w:widowControl w:val="0"/>
              <w:spacing w:line="240" w:lineRule="exact"/>
              <w:jc w:val="center"/>
              <w:rPr>
                <w:rFonts w:ascii="宋体" w:hAnsi="宋体" w:eastAsia="宋体" w:cs="宋体"/>
                <w:kern w:val="2"/>
                <w:sz w:val="18"/>
                <w:szCs w:val="18"/>
              </w:rPr>
            </w:pPr>
            <w:r>
              <w:rPr>
                <w:rFonts w:hint="eastAsia" w:ascii="宋体" w:hAnsi="宋体" w:eastAsia="宋体" w:cs="宋体"/>
                <w:kern w:val="2"/>
                <w:sz w:val="18"/>
                <w:szCs w:val="18"/>
              </w:rPr>
              <w:t>名称</w:t>
            </w:r>
          </w:p>
        </w:tc>
        <w:tc>
          <w:tcPr>
            <w:tcW w:w="858" w:type="pct"/>
            <w:gridSpan w:val="2"/>
            <w:tcBorders>
              <w:top w:val="single" w:color="auto" w:sz="4" w:space="0"/>
              <w:left w:val="nil"/>
              <w:bottom w:val="single" w:color="auto" w:sz="4" w:space="0"/>
              <w:right w:val="single" w:color="auto" w:sz="4" w:space="0"/>
            </w:tcBorders>
            <w:shd w:val="clear" w:color="auto" w:fill="auto"/>
            <w:vAlign w:val="center"/>
          </w:tcPr>
          <w:p>
            <w:pPr>
              <w:widowControl w:val="0"/>
              <w:spacing w:line="240" w:lineRule="exact"/>
              <w:jc w:val="center"/>
              <w:rPr>
                <w:rFonts w:ascii="宋体" w:hAnsi="宋体" w:eastAsia="宋体" w:cs="宋体"/>
                <w:kern w:val="2"/>
                <w:sz w:val="18"/>
                <w:szCs w:val="18"/>
              </w:rPr>
            </w:pPr>
            <w:r>
              <w:rPr>
                <w:rFonts w:hint="eastAsia" w:ascii="宋体" w:hAnsi="宋体" w:eastAsia="宋体" w:cs="宋体"/>
                <w:kern w:val="2"/>
                <w:sz w:val="18"/>
                <w:szCs w:val="18"/>
              </w:rPr>
              <w:t>机电设备运行维护管理岗位</w:t>
            </w:r>
          </w:p>
        </w:tc>
        <w:tc>
          <w:tcPr>
            <w:tcW w:w="374" w:type="pct"/>
            <w:tcBorders>
              <w:top w:val="single" w:color="auto" w:sz="4" w:space="0"/>
              <w:left w:val="nil"/>
              <w:bottom w:val="single" w:color="auto" w:sz="4" w:space="0"/>
              <w:right w:val="single" w:color="auto" w:sz="4" w:space="0"/>
            </w:tcBorders>
            <w:shd w:val="clear" w:color="auto" w:fill="auto"/>
            <w:vAlign w:val="center"/>
          </w:tcPr>
          <w:p>
            <w:pPr>
              <w:widowControl w:val="0"/>
              <w:spacing w:line="240" w:lineRule="exact"/>
              <w:jc w:val="center"/>
              <w:rPr>
                <w:rFonts w:ascii="宋体" w:hAnsi="宋体" w:eastAsia="宋体" w:cs="宋体"/>
                <w:kern w:val="2"/>
                <w:sz w:val="18"/>
                <w:szCs w:val="18"/>
              </w:rPr>
            </w:pPr>
            <w:r>
              <w:rPr>
                <w:rFonts w:hint="eastAsia" w:ascii="宋体" w:hAnsi="宋体" w:eastAsia="宋体" w:cs="宋体"/>
                <w:kern w:val="2"/>
                <w:sz w:val="18"/>
                <w:szCs w:val="18"/>
              </w:rPr>
              <w:t>风险等级</w:t>
            </w:r>
          </w:p>
        </w:tc>
        <w:tc>
          <w:tcPr>
            <w:tcW w:w="1537" w:type="pct"/>
            <w:tcBorders>
              <w:top w:val="single" w:color="auto" w:sz="4" w:space="0"/>
              <w:left w:val="nil"/>
              <w:bottom w:val="single" w:color="auto" w:sz="4" w:space="0"/>
              <w:right w:val="single" w:color="auto" w:sz="4" w:space="0"/>
            </w:tcBorders>
            <w:shd w:val="clear" w:color="auto" w:fill="FFFF00"/>
            <w:vAlign w:val="center"/>
          </w:tcPr>
          <w:p>
            <w:pPr>
              <w:widowControl w:val="0"/>
              <w:spacing w:line="240" w:lineRule="exact"/>
              <w:ind w:firstLine="180"/>
              <w:jc w:val="center"/>
              <w:rPr>
                <w:rFonts w:ascii="宋体" w:hAnsi="宋体" w:eastAsia="宋体" w:cs="宋体"/>
                <w:kern w:val="2"/>
                <w:sz w:val="18"/>
                <w:szCs w:val="18"/>
              </w:rPr>
            </w:pPr>
            <w:r>
              <w:rPr>
                <w:rFonts w:hint="eastAsia" w:ascii="宋体" w:hAnsi="宋体" w:eastAsia="宋体" w:cs="宋体"/>
                <w:kern w:val="2"/>
                <w:sz w:val="18"/>
                <w:szCs w:val="18"/>
              </w:rPr>
              <w:t>一般（黄色）</w:t>
            </w:r>
          </w:p>
        </w:tc>
        <w:tc>
          <w:tcPr>
            <w:tcW w:w="1607" w:type="pct"/>
            <w:tcBorders>
              <w:top w:val="single" w:color="auto" w:sz="4" w:space="0"/>
              <w:left w:val="nil"/>
              <w:bottom w:val="single" w:color="auto" w:sz="4" w:space="0"/>
              <w:right w:val="single" w:color="auto" w:sz="4" w:space="0"/>
            </w:tcBorders>
            <w:vAlign w:val="center"/>
          </w:tcPr>
          <w:p>
            <w:pPr>
              <w:widowControl w:val="0"/>
              <w:spacing w:line="240" w:lineRule="exact"/>
              <w:ind w:firstLine="180"/>
              <w:jc w:val="center"/>
              <w:rPr>
                <w:rFonts w:ascii="宋体" w:hAnsi="宋体" w:eastAsia="宋体" w:cs="宋体"/>
                <w:kern w:val="2"/>
                <w:sz w:val="18"/>
                <w:szCs w:val="18"/>
              </w:rPr>
            </w:pPr>
            <w:r>
              <w:rPr>
                <w:rFonts w:hint="eastAsia" w:ascii="宋体" w:hAnsi="宋体" w:eastAsia="宋体" w:cs="宋体"/>
                <w:kern w:val="2"/>
                <w:sz w:val="18"/>
                <w:szCs w:val="18"/>
              </w:rPr>
              <w:t>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8" w:hRule="atLeast"/>
          <w:jc w:val="center"/>
        </w:trPr>
        <w:tc>
          <w:tcPr>
            <w:tcW w:w="1482" w:type="pct"/>
            <w:gridSpan w:val="3"/>
            <w:tcBorders>
              <w:top w:val="single" w:color="auto" w:sz="4" w:space="0"/>
              <w:left w:val="single" w:color="auto" w:sz="4" w:space="0"/>
              <w:bottom w:val="single" w:color="auto" w:sz="4" w:space="0"/>
              <w:right w:val="single" w:color="auto" w:sz="4" w:space="0"/>
            </w:tcBorders>
            <w:vAlign w:val="center"/>
          </w:tcPr>
          <w:p>
            <w:pPr>
              <w:widowControl w:val="0"/>
              <w:spacing w:line="240" w:lineRule="exact"/>
              <w:ind w:firstLine="180" w:firstLineChars="100"/>
              <w:jc w:val="center"/>
              <w:rPr>
                <w:rFonts w:ascii="宋体" w:hAnsi="宋体" w:eastAsia="宋体" w:cs="宋体"/>
                <w:kern w:val="2"/>
                <w:sz w:val="18"/>
                <w:szCs w:val="18"/>
              </w:rPr>
            </w:pPr>
            <w:r>
              <w:rPr>
                <w:rFonts w:hint="eastAsia" w:ascii="宋体" w:hAnsi="宋体" w:eastAsia="宋体" w:cs="宋体"/>
                <w:kern w:val="2"/>
                <w:sz w:val="18"/>
                <w:szCs w:val="18"/>
              </w:rPr>
              <w:t>现场照片</w:t>
            </w:r>
          </w:p>
        </w:tc>
        <w:tc>
          <w:tcPr>
            <w:tcW w:w="374" w:type="pct"/>
            <w:tcBorders>
              <w:top w:val="single" w:color="auto" w:sz="4" w:space="0"/>
              <w:left w:val="nil"/>
              <w:bottom w:val="single" w:color="auto" w:sz="4" w:space="0"/>
              <w:right w:val="single" w:color="auto" w:sz="4" w:space="0"/>
            </w:tcBorders>
            <w:vAlign w:val="center"/>
          </w:tcPr>
          <w:p>
            <w:pPr>
              <w:widowControl w:val="0"/>
              <w:spacing w:line="240" w:lineRule="exact"/>
              <w:jc w:val="center"/>
              <w:rPr>
                <w:rFonts w:ascii="宋体" w:hAnsi="宋体" w:eastAsia="宋体" w:cs="宋体"/>
                <w:kern w:val="2"/>
                <w:sz w:val="18"/>
                <w:szCs w:val="18"/>
              </w:rPr>
            </w:pPr>
            <w:r>
              <w:rPr>
                <w:rFonts w:hint="eastAsia" w:ascii="宋体" w:hAnsi="宋体" w:eastAsia="宋体" w:cs="宋体"/>
                <w:kern w:val="2"/>
                <w:sz w:val="18"/>
                <w:szCs w:val="18"/>
              </w:rPr>
              <w:t>主要危害因素</w:t>
            </w:r>
          </w:p>
        </w:tc>
        <w:tc>
          <w:tcPr>
            <w:tcW w:w="3144" w:type="pct"/>
            <w:gridSpan w:val="2"/>
            <w:tcBorders>
              <w:top w:val="single" w:color="auto" w:sz="4" w:space="0"/>
              <w:left w:val="nil"/>
              <w:bottom w:val="single" w:color="auto" w:sz="4" w:space="0"/>
              <w:right w:val="single" w:color="auto" w:sz="4" w:space="0"/>
            </w:tcBorders>
            <w:vAlign w:val="center"/>
          </w:tcPr>
          <w:p>
            <w:pPr>
              <w:widowControl w:val="0"/>
              <w:numPr>
                <w:ilvl w:val="0"/>
                <w:numId w:val="4"/>
              </w:numPr>
              <w:tabs>
                <w:tab w:val="left" w:pos="284"/>
              </w:tabs>
              <w:spacing w:line="240" w:lineRule="exact"/>
              <w:jc w:val="left"/>
              <w:rPr>
                <w:rFonts w:ascii="宋体" w:hAnsi="宋体" w:eastAsia="宋体" w:cs="宋体"/>
                <w:kern w:val="2"/>
                <w:sz w:val="18"/>
                <w:szCs w:val="18"/>
              </w:rPr>
            </w:pPr>
            <w:r>
              <w:rPr>
                <w:rFonts w:hint="eastAsia" w:ascii="宋体" w:hAnsi="宋体" w:eastAsia="宋体" w:cs="宋体"/>
                <w:kern w:val="2"/>
                <w:sz w:val="18"/>
                <w:szCs w:val="18"/>
              </w:rPr>
              <w:t>用电设备电气线路裸露、绝缘破损。老化或短路。</w:t>
            </w:r>
          </w:p>
          <w:p>
            <w:pPr>
              <w:widowControl w:val="0"/>
              <w:numPr>
                <w:ilvl w:val="0"/>
                <w:numId w:val="4"/>
              </w:numPr>
              <w:tabs>
                <w:tab w:val="left" w:pos="284"/>
              </w:tabs>
              <w:spacing w:line="240" w:lineRule="exact"/>
              <w:jc w:val="left"/>
              <w:rPr>
                <w:rFonts w:ascii="宋体" w:hAnsi="宋体" w:eastAsia="宋体" w:cs="宋体"/>
                <w:kern w:val="2"/>
                <w:sz w:val="18"/>
                <w:szCs w:val="18"/>
              </w:rPr>
            </w:pPr>
            <w:r>
              <w:rPr>
                <w:rFonts w:hint="eastAsia" w:ascii="宋体" w:hAnsi="宋体" w:eastAsia="宋体" w:cs="宋体"/>
                <w:kern w:val="2"/>
                <w:sz w:val="18"/>
                <w:szCs w:val="18"/>
              </w:rPr>
              <w:t>用电设备控制开关无漏电保护装置或装置失效。</w:t>
            </w:r>
          </w:p>
          <w:p>
            <w:pPr>
              <w:widowControl w:val="0"/>
              <w:numPr>
                <w:ilvl w:val="0"/>
                <w:numId w:val="4"/>
              </w:numPr>
              <w:tabs>
                <w:tab w:val="left" w:pos="284"/>
              </w:tabs>
              <w:spacing w:line="240" w:lineRule="exact"/>
              <w:jc w:val="left"/>
              <w:rPr>
                <w:rFonts w:ascii="宋体" w:hAnsi="宋体" w:eastAsia="宋体" w:cs="宋体"/>
                <w:kern w:val="2"/>
                <w:sz w:val="18"/>
                <w:szCs w:val="18"/>
              </w:rPr>
            </w:pPr>
            <w:r>
              <w:rPr>
                <w:rFonts w:hint="eastAsia" w:ascii="宋体" w:hAnsi="宋体" w:eastAsia="宋体" w:cs="宋体"/>
                <w:kern w:val="2"/>
                <w:sz w:val="18"/>
                <w:szCs w:val="18"/>
              </w:rPr>
              <w:t>可燃物与电气设备、设施、线路的距离不符合规范要求。</w:t>
            </w:r>
          </w:p>
          <w:p>
            <w:pPr>
              <w:widowControl w:val="0"/>
              <w:numPr>
                <w:ilvl w:val="0"/>
                <w:numId w:val="4"/>
              </w:numPr>
              <w:tabs>
                <w:tab w:val="left" w:pos="284"/>
              </w:tabs>
              <w:spacing w:line="240" w:lineRule="exact"/>
              <w:jc w:val="left"/>
              <w:rPr>
                <w:rFonts w:ascii="宋体" w:hAnsi="宋体" w:eastAsia="宋体" w:cs="宋体"/>
                <w:kern w:val="2"/>
                <w:sz w:val="18"/>
                <w:szCs w:val="18"/>
              </w:rPr>
            </w:pPr>
            <w:r>
              <w:rPr>
                <w:rFonts w:hint="eastAsia" w:ascii="宋体" w:hAnsi="宋体" w:eastAsia="宋体" w:cs="宋体"/>
                <w:kern w:val="2"/>
                <w:sz w:val="18"/>
                <w:szCs w:val="18"/>
              </w:rPr>
              <w:t>设备运转部分未做防护；使用机械设备未执行安全操作规程。</w:t>
            </w:r>
          </w:p>
          <w:p>
            <w:pPr>
              <w:widowControl w:val="0"/>
              <w:numPr>
                <w:ilvl w:val="0"/>
                <w:numId w:val="4"/>
              </w:numPr>
              <w:tabs>
                <w:tab w:val="left" w:pos="284"/>
              </w:tabs>
              <w:spacing w:line="240" w:lineRule="exact"/>
              <w:jc w:val="left"/>
              <w:rPr>
                <w:rFonts w:ascii="宋体" w:hAnsi="宋体" w:eastAsia="宋体" w:cs="宋体"/>
                <w:kern w:val="2"/>
                <w:sz w:val="18"/>
                <w:szCs w:val="18"/>
              </w:rPr>
            </w:pPr>
            <w:r>
              <w:rPr>
                <w:rFonts w:hint="eastAsia" w:ascii="宋体" w:hAnsi="宋体" w:eastAsia="宋体" w:cs="宋体"/>
                <w:kern w:val="2"/>
                <w:sz w:val="18"/>
                <w:szCs w:val="18"/>
              </w:rPr>
              <w:t>高处作业未执行高处作业安全操作规程，或高处平台护栏老化、缺失。</w:t>
            </w:r>
          </w:p>
          <w:p>
            <w:pPr>
              <w:widowControl w:val="0"/>
              <w:numPr>
                <w:ilvl w:val="0"/>
                <w:numId w:val="4"/>
              </w:numPr>
              <w:tabs>
                <w:tab w:val="left" w:pos="284"/>
              </w:tabs>
              <w:spacing w:line="240" w:lineRule="exact"/>
              <w:jc w:val="left"/>
              <w:rPr>
                <w:rFonts w:ascii="宋体" w:hAnsi="宋体" w:eastAsia="宋体" w:cs="宋体"/>
                <w:kern w:val="2"/>
                <w:sz w:val="18"/>
                <w:szCs w:val="18"/>
              </w:rPr>
            </w:pPr>
            <w:r>
              <w:rPr>
                <w:rFonts w:hint="eastAsia" w:ascii="宋体" w:hAnsi="宋体" w:eastAsia="宋体" w:cs="宋体"/>
                <w:kern w:val="2"/>
                <w:sz w:val="18"/>
                <w:szCs w:val="18"/>
              </w:rPr>
              <w:t>有限空间作业未执行有限空间作业安全操作规程。</w:t>
            </w:r>
          </w:p>
          <w:p>
            <w:pPr>
              <w:widowControl w:val="0"/>
              <w:numPr>
                <w:ilvl w:val="0"/>
                <w:numId w:val="4"/>
              </w:numPr>
              <w:tabs>
                <w:tab w:val="left" w:pos="284"/>
              </w:tabs>
              <w:spacing w:line="240" w:lineRule="exact"/>
              <w:jc w:val="left"/>
              <w:rPr>
                <w:rFonts w:ascii="宋体" w:hAnsi="宋体" w:eastAsia="宋体" w:cs="宋体"/>
                <w:kern w:val="2"/>
                <w:sz w:val="18"/>
                <w:szCs w:val="18"/>
              </w:rPr>
            </w:pPr>
            <w:r>
              <w:rPr>
                <w:rFonts w:hint="eastAsia" w:ascii="宋体" w:hAnsi="宋体" w:eastAsia="宋体" w:cs="宋体"/>
                <w:kern w:val="2"/>
                <w:sz w:val="18"/>
                <w:szCs w:val="18"/>
              </w:rPr>
              <w:t>违章动火。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 w:hRule="atLeast"/>
          <w:jc w:val="center"/>
        </w:trPr>
        <w:tc>
          <w:tcPr>
            <w:tcW w:w="703" w:type="pct"/>
            <w:gridSpan w:val="2"/>
            <w:tcBorders>
              <w:top w:val="single" w:color="auto" w:sz="4" w:space="0"/>
              <w:left w:val="single" w:color="auto" w:sz="4" w:space="0"/>
              <w:bottom w:val="single" w:color="auto" w:sz="4" w:space="0"/>
              <w:right w:val="single" w:color="auto" w:sz="4" w:space="0"/>
            </w:tcBorders>
            <w:vAlign w:val="center"/>
          </w:tcPr>
          <w:p>
            <w:pPr>
              <w:widowControl w:val="0"/>
              <w:spacing w:line="240" w:lineRule="exact"/>
              <w:jc w:val="center"/>
              <w:rPr>
                <w:rFonts w:ascii="宋体" w:hAnsi="宋体" w:eastAsia="宋体" w:cs="宋体"/>
                <w:kern w:val="2"/>
                <w:sz w:val="18"/>
                <w:szCs w:val="18"/>
              </w:rPr>
            </w:pPr>
            <w:r>
              <w:rPr>
                <w:rFonts w:hint="eastAsia" w:ascii="宋体" w:hAnsi="宋体" w:eastAsia="宋体" w:cs="宋体"/>
                <w:kern w:val="2"/>
                <w:sz w:val="18"/>
                <w:szCs w:val="18"/>
              </w:rPr>
              <w:t>潜在事故</w:t>
            </w:r>
          </w:p>
          <w:p>
            <w:pPr>
              <w:widowControl w:val="0"/>
              <w:spacing w:line="240" w:lineRule="exact"/>
              <w:jc w:val="center"/>
              <w:rPr>
                <w:rFonts w:ascii="宋体" w:hAnsi="宋体" w:eastAsia="宋体" w:cs="宋体"/>
                <w:kern w:val="2"/>
                <w:sz w:val="18"/>
                <w:szCs w:val="18"/>
              </w:rPr>
            </w:pPr>
            <w:r>
              <w:rPr>
                <w:rFonts w:hint="eastAsia" w:ascii="宋体" w:hAnsi="宋体" w:eastAsia="宋体" w:cs="宋体"/>
                <w:kern w:val="2"/>
                <w:sz w:val="18"/>
                <w:szCs w:val="18"/>
              </w:rPr>
              <w:t>类型</w:t>
            </w:r>
          </w:p>
        </w:tc>
        <w:tc>
          <w:tcPr>
            <w:tcW w:w="779" w:type="pct"/>
            <w:tcBorders>
              <w:top w:val="single" w:color="auto" w:sz="4" w:space="0"/>
              <w:left w:val="nil"/>
              <w:bottom w:val="nil"/>
              <w:right w:val="single" w:color="auto" w:sz="4" w:space="0"/>
            </w:tcBorders>
            <w:vAlign w:val="center"/>
          </w:tcPr>
          <w:p>
            <w:pPr>
              <w:widowControl w:val="0"/>
              <w:spacing w:line="240" w:lineRule="exact"/>
              <w:jc w:val="center"/>
              <w:rPr>
                <w:rFonts w:ascii="宋体" w:hAnsi="宋体" w:eastAsia="宋体" w:cs="宋体"/>
                <w:kern w:val="2"/>
                <w:sz w:val="18"/>
                <w:szCs w:val="18"/>
              </w:rPr>
            </w:pPr>
            <w:r>
              <w:rPr>
                <w:rFonts w:hint="eastAsia" w:ascii="宋体" w:hAnsi="宋体" w:eastAsia="宋体" w:cs="宋体"/>
                <w:kern w:val="2"/>
                <w:sz w:val="18"/>
                <w:szCs w:val="18"/>
              </w:rPr>
              <w:t>火灾、触电</w:t>
            </w:r>
          </w:p>
          <w:p>
            <w:pPr>
              <w:widowControl w:val="0"/>
              <w:spacing w:line="240" w:lineRule="exact"/>
              <w:jc w:val="center"/>
              <w:rPr>
                <w:rFonts w:ascii="宋体" w:hAnsi="宋体" w:eastAsia="宋体" w:cs="宋体"/>
                <w:kern w:val="2"/>
                <w:sz w:val="18"/>
                <w:szCs w:val="18"/>
              </w:rPr>
            </w:pPr>
            <w:r>
              <w:rPr>
                <w:rFonts w:hint="eastAsia" w:ascii="宋体" w:hAnsi="宋体" w:eastAsia="宋体" w:cs="宋体"/>
                <w:kern w:val="2"/>
                <w:sz w:val="18"/>
                <w:szCs w:val="18"/>
              </w:rPr>
              <w:t>高处坠落</w:t>
            </w:r>
          </w:p>
          <w:p>
            <w:pPr>
              <w:widowControl w:val="0"/>
              <w:spacing w:line="240" w:lineRule="exact"/>
              <w:jc w:val="center"/>
              <w:rPr>
                <w:rFonts w:ascii="宋体" w:hAnsi="宋体" w:eastAsia="宋体" w:cs="宋体"/>
                <w:b/>
                <w:bCs/>
                <w:kern w:val="2"/>
                <w:sz w:val="18"/>
                <w:szCs w:val="18"/>
              </w:rPr>
            </w:pPr>
            <w:r>
              <w:rPr>
                <w:rFonts w:hint="eastAsia" w:ascii="宋体" w:hAnsi="宋体" w:eastAsia="宋体" w:cs="宋体"/>
                <w:kern w:val="2"/>
                <w:sz w:val="18"/>
                <w:szCs w:val="18"/>
              </w:rPr>
              <w:t>机械伤害</w:t>
            </w:r>
          </w:p>
        </w:tc>
        <w:tc>
          <w:tcPr>
            <w:tcW w:w="374" w:type="pct"/>
            <w:vMerge w:val="restart"/>
            <w:tcBorders>
              <w:top w:val="nil"/>
              <w:left w:val="nil"/>
              <w:bottom w:val="single" w:color="auto" w:sz="4" w:space="0"/>
              <w:right w:val="single" w:color="auto" w:sz="4" w:space="0"/>
            </w:tcBorders>
            <w:vAlign w:val="center"/>
          </w:tcPr>
          <w:p>
            <w:pPr>
              <w:widowControl w:val="0"/>
              <w:spacing w:line="240" w:lineRule="exact"/>
              <w:jc w:val="center"/>
              <w:rPr>
                <w:rFonts w:ascii="宋体" w:hAnsi="宋体" w:eastAsia="宋体" w:cs="宋体"/>
                <w:kern w:val="2"/>
                <w:sz w:val="18"/>
                <w:szCs w:val="18"/>
              </w:rPr>
            </w:pPr>
            <w:r>
              <w:rPr>
                <w:rFonts w:hint="eastAsia" w:ascii="宋体" w:hAnsi="宋体" w:eastAsia="宋体" w:cs="宋体"/>
                <w:kern w:val="2"/>
                <w:sz w:val="18"/>
                <w:szCs w:val="18"/>
              </w:rPr>
              <w:t>风险管控措施</w:t>
            </w:r>
          </w:p>
        </w:tc>
        <w:tc>
          <w:tcPr>
            <w:tcW w:w="3144" w:type="pct"/>
            <w:gridSpan w:val="2"/>
            <w:vMerge w:val="restart"/>
            <w:tcBorders>
              <w:top w:val="single" w:color="auto" w:sz="4" w:space="0"/>
              <w:left w:val="nil"/>
              <w:bottom w:val="single" w:color="auto" w:sz="4" w:space="0"/>
              <w:right w:val="single" w:color="auto" w:sz="4" w:space="0"/>
            </w:tcBorders>
            <w:vAlign w:val="center"/>
          </w:tcPr>
          <w:p>
            <w:pPr>
              <w:widowControl w:val="0"/>
              <w:numPr>
                <w:ilvl w:val="0"/>
                <w:numId w:val="5"/>
              </w:numPr>
              <w:tabs>
                <w:tab w:val="left" w:pos="284"/>
              </w:tabs>
              <w:spacing w:line="240" w:lineRule="exact"/>
              <w:jc w:val="left"/>
              <w:rPr>
                <w:rFonts w:ascii="宋体" w:hAnsi="宋体" w:eastAsia="宋体" w:cs="宋体"/>
                <w:kern w:val="2"/>
                <w:sz w:val="18"/>
                <w:szCs w:val="18"/>
              </w:rPr>
            </w:pPr>
            <w:r>
              <w:rPr>
                <w:rFonts w:hint="eastAsia" w:ascii="宋体" w:hAnsi="宋体" w:eastAsia="宋体" w:cs="宋体"/>
                <w:kern w:val="2"/>
                <w:sz w:val="18"/>
                <w:szCs w:val="18"/>
              </w:rPr>
              <w:t>加强日常用电安全检查，避免出现线路裸露或短路现象。</w:t>
            </w:r>
          </w:p>
          <w:p>
            <w:pPr>
              <w:widowControl w:val="0"/>
              <w:numPr>
                <w:ilvl w:val="0"/>
                <w:numId w:val="5"/>
              </w:numPr>
              <w:tabs>
                <w:tab w:val="left" w:pos="284"/>
              </w:tabs>
              <w:spacing w:line="240" w:lineRule="exact"/>
              <w:jc w:val="left"/>
              <w:rPr>
                <w:rFonts w:ascii="宋体" w:hAnsi="宋体" w:eastAsia="宋体" w:cs="宋体"/>
                <w:kern w:val="2"/>
                <w:sz w:val="18"/>
                <w:szCs w:val="18"/>
              </w:rPr>
            </w:pPr>
            <w:r>
              <w:rPr>
                <w:rFonts w:hint="eastAsia" w:ascii="宋体" w:hAnsi="宋体" w:eastAsia="宋体" w:cs="宋体"/>
                <w:kern w:val="2"/>
                <w:sz w:val="18"/>
                <w:szCs w:val="18"/>
              </w:rPr>
              <w:t>用电设备控制开关设置了漏电保护装置且每月定期测试有效；多空电源移动插座应使用合格产品。</w:t>
            </w:r>
          </w:p>
          <w:p>
            <w:pPr>
              <w:widowControl w:val="0"/>
              <w:numPr>
                <w:ilvl w:val="0"/>
                <w:numId w:val="5"/>
              </w:numPr>
              <w:tabs>
                <w:tab w:val="left" w:pos="284"/>
              </w:tabs>
              <w:spacing w:line="240" w:lineRule="exact"/>
              <w:jc w:val="left"/>
              <w:rPr>
                <w:rFonts w:ascii="宋体" w:hAnsi="宋体" w:eastAsia="宋体" w:cs="宋体"/>
                <w:kern w:val="2"/>
                <w:sz w:val="18"/>
                <w:szCs w:val="18"/>
              </w:rPr>
            </w:pPr>
            <w:r>
              <w:rPr>
                <w:rFonts w:hint="eastAsia" w:ascii="宋体" w:hAnsi="宋体" w:eastAsia="宋体" w:cs="宋体"/>
                <w:kern w:val="2"/>
                <w:sz w:val="18"/>
                <w:szCs w:val="18"/>
              </w:rPr>
              <w:t>可燃物与电气设备设施线路应保持足够的安全间距。</w:t>
            </w:r>
          </w:p>
          <w:p>
            <w:pPr>
              <w:widowControl w:val="0"/>
              <w:numPr>
                <w:ilvl w:val="0"/>
                <w:numId w:val="5"/>
              </w:numPr>
              <w:tabs>
                <w:tab w:val="left" w:pos="284"/>
              </w:tabs>
              <w:spacing w:line="240" w:lineRule="exact"/>
              <w:jc w:val="left"/>
              <w:rPr>
                <w:rFonts w:ascii="宋体" w:hAnsi="宋体" w:eastAsia="宋体" w:cs="宋体"/>
                <w:kern w:val="2"/>
                <w:sz w:val="18"/>
                <w:szCs w:val="18"/>
              </w:rPr>
            </w:pPr>
            <w:r>
              <w:rPr>
                <w:rFonts w:hint="eastAsia" w:ascii="宋体" w:hAnsi="宋体" w:eastAsia="宋体" w:cs="宋体"/>
                <w:kern w:val="2"/>
                <w:sz w:val="18"/>
                <w:szCs w:val="18"/>
              </w:rPr>
              <w:t>加强设备日常安全巡查、定期安全检查，确保设备安全保护装置完好有效。</w:t>
            </w:r>
          </w:p>
          <w:p>
            <w:pPr>
              <w:widowControl w:val="0"/>
              <w:numPr>
                <w:ilvl w:val="0"/>
                <w:numId w:val="5"/>
              </w:numPr>
              <w:tabs>
                <w:tab w:val="left" w:pos="284"/>
              </w:tabs>
              <w:spacing w:line="240" w:lineRule="exact"/>
              <w:jc w:val="left"/>
              <w:rPr>
                <w:rFonts w:ascii="宋体" w:hAnsi="宋体" w:eastAsia="宋体" w:cs="宋体"/>
                <w:kern w:val="2"/>
                <w:sz w:val="18"/>
                <w:szCs w:val="18"/>
              </w:rPr>
            </w:pPr>
            <w:r>
              <w:rPr>
                <w:rFonts w:hint="eastAsia" w:ascii="宋体" w:hAnsi="宋体" w:eastAsia="宋体" w:cs="宋体"/>
                <w:kern w:val="2"/>
                <w:sz w:val="18"/>
                <w:szCs w:val="18"/>
              </w:rPr>
              <w:t>设备操作或维修严格执行安全操作规程。</w:t>
            </w:r>
          </w:p>
          <w:p>
            <w:pPr>
              <w:widowControl w:val="0"/>
              <w:numPr>
                <w:ilvl w:val="0"/>
                <w:numId w:val="5"/>
              </w:numPr>
              <w:tabs>
                <w:tab w:val="left" w:pos="284"/>
              </w:tabs>
              <w:spacing w:line="240" w:lineRule="exact"/>
              <w:jc w:val="left"/>
              <w:rPr>
                <w:rFonts w:ascii="宋体" w:hAnsi="宋体" w:eastAsia="宋体" w:cs="宋体"/>
                <w:kern w:val="2"/>
                <w:sz w:val="18"/>
                <w:szCs w:val="18"/>
              </w:rPr>
            </w:pPr>
            <w:r>
              <w:rPr>
                <w:rFonts w:hint="eastAsia" w:ascii="宋体" w:hAnsi="宋体" w:eastAsia="宋体" w:cs="宋体"/>
                <w:kern w:val="2"/>
                <w:sz w:val="18"/>
                <w:szCs w:val="18"/>
              </w:rPr>
              <w:t>高处平台、护栏等定期检查，保证完好。</w:t>
            </w:r>
          </w:p>
          <w:p>
            <w:pPr>
              <w:widowControl w:val="0"/>
              <w:numPr>
                <w:ilvl w:val="0"/>
                <w:numId w:val="5"/>
              </w:numPr>
              <w:tabs>
                <w:tab w:val="left" w:pos="284"/>
              </w:tabs>
              <w:spacing w:line="240" w:lineRule="exact"/>
              <w:jc w:val="left"/>
              <w:rPr>
                <w:rFonts w:ascii="宋体" w:hAnsi="宋体" w:eastAsia="宋体" w:cs="宋体"/>
                <w:kern w:val="2"/>
                <w:sz w:val="18"/>
                <w:szCs w:val="18"/>
              </w:rPr>
            </w:pPr>
            <w:r>
              <w:rPr>
                <w:rFonts w:hint="eastAsia" w:ascii="宋体" w:hAnsi="宋体" w:eastAsia="宋体" w:cs="宋体"/>
                <w:kern w:val="2"/>
                <w:sz w:val="18"/>
                <w:szCs w:val="18"/>
              </w:rPr>
              <w:t>有限空间作业、动火作业、高处作业严格执行相应的安全操作规程。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7" w:hRule="atLeast"/>
          <w:jc w:val="center"/>
        </w:trPr>
        <w:tc>
          <w:tcPr>
            <w:tcW w:w="1482" w:type="pct"/>
            <w:gridSpan w:val="3"/>
            <w:tcBorders>
              <w:top w:val="single" w:color="auto" w:sz="4" w:space="0"/>
              <w:left w:val="single" w:color="auto" w:sz="4" w:space="0"/>
              <w:bottom w:val="single" w:color="auto" w:sz="4" w:space="0"/>
              <w:right w:val="single" w:color="auto" w:sz="4" w:space="0"/>
            </w:tcBorders>
            <w:vAlign w:val="bottom"/>
          </w:tcPr>
          <w:p>
            <w:pPr>
              <w:widowControl w:val="0"/>
              <w:spacing w:line="240" w:lineRule="exact"/>
              <w:rPr>
                <w:rFonts w:ascii="宋体" w:hAnsi="宋体" w:eastAsia="宋体" w:cs="宋体"/>
                <w:kern w:val="2"/>
                <w:sz w:val="18"/>
                <w:szCs w:val="18"/>
              </w:rPr>
            </w:pPr>
            <w:r>
              <w:rPr>
                <w:rFonts w:ascii="Calibri" w:hAnsi="Calibri" w:eastAsia="宋体"/>
                <w:kern w:val="2"/>
                <w:sz w:val="21"/>
                <w:szCs w:val="24"/>
              </w:rPr>
              <w:drawing>
                <wp:anchor distT="0" distB="0" distL="114300" distR="114300" simplePos="0" relativeHeight="251660288" behindDoc="0" locked="0" layoutInCell="1" allowOverlap="1">
                  <wp:simplePos x="0" y="0"/>
                  <wp:positionH relativeFrom="column">
                    <wp:posOffset>751840</wp:posOffset>
                  </wp:positionH>
                  <wp:positionV relativeFrom="paragraph">
                    <wp:posOffset>10795</wp:posOffset>
                  </wp:positionV>
                  <wp:extent cx="786130" cy="1066165"/>
                  <wp:effectExtent l="0" t="0" r="6350" b="635"/>
                  <wp:wrapSquare wrapText="bothSides"/>
                  <wp:docPr id="51" name="图片 2" descr="说明: C:\Users\ADMINI~1\AppData\Local\Temp\ksohtml\wps5ABF.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 descr="说明: C:\Users\ADMINI~1\AppData\Local\Temp\ksohtml\wps5ABF.tmp.jpg"/>
                          <pic:cNvPicPr>
                            <a:picLocks noChangeAspect="1"/>
                          </pic:cNvPicPr>
                        </pic:nvPicPr>
                        <pic:blipFill>
                          <a:blip r:embed="rId12"/>
                          <a:stretch>
                            <a:fillRect/>
                          </a:stretch>
                        </pic:blipFill>
                        <pic:spPr>
                          <a:xfrm>
                            <a:off x="0" y="0"/>
                            <a:ext cx="786130" cy="1066165"/>
                          </a:xfrm>
                          <a:prstGeom prst="rect">
                            <a:avLst/>
                          </a:prstGeom>
                          <a:noFill/>
                          <a:ln>
                            <a:noFill/>
                          </a:ln>
                        </pic:spPr>
                      </pic:pic>
                    </a:graphicData>
                  </a:graphic>
                </wp:anchor>
              </w:drawing>
            </w:r>
            <w:r>
              <w:rPr>
                <w:rFonts w:ascii="Calibri" w:hAnsi="Calibri" w:eastAsia="宋体"/>
                <w:kern w:val="2"/>
                <w:sz w:val="21"/>
                <w:szCs w:val="24"/>
              </w:rPr>
              <w:drawing>
                <wp:anchor distT="0" distB="0" distL="114300" distR="114300" simplePos="0" relativeHeight="251659264" behindDoc="0" locked="0" layoutInCell="1" allowOverlap="1">
                  <wp:simplePos x="0" y="0"/>
                  <wp:positionH relativeFrom="column">
                    <wp:posOffset>5715</wp:posOffset>
                  </wp:positionH>
                  <wp:positionV relativeFrom="paragraph">
                    <wp:posOffset>53340</wp:posOffset>
                  </wp:positionV>
                  <wp:extent cx="643890" cy="970915"/>
                  <wp:effectExtent l="12700" t="12700" r="13970" b="22225"/>
                  <wp:wrapNone/>
                  <wp:docPr id="35" name="图片 3" descr="说明: 788224528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 descr="说明: 788224528758"/>
                          <pic:cNvPicPr>
                            <a:picLocks noChangeAspect="1"/>
                          </pic:cNvPicPr>
                        </pic:nvPicPr>
                        <pic:blipFill>
                          <a:blip r:embed="rId13"/>
                          <a:stretch>
                            <a:fillRect/>
                          </a:stretch>
                        </pic:blipFill>
                        <pic:spPr>
                          <a:xfrm>
                            <a:off x="0" y="0"/>
                            <a:ext cx="643890" cy="970915"/>
                          </a:xfrm>
                          <a:prstGeom prst="rect">
                            <a:avLst/>
                          </a:prstGeom>
                          <a:noFill/>
                          <a:ln w="12700" cap="flat" cmpd="sng">
                            <a:solidFill>
                              <a:srgbClr val="2F528F"/>
                            </a:solidFill>
                            <a:prstDash val="solid"/>
                            <a:miter/>
                            <a:headEnd type="none" w="med" len="med"/>
                            <a:tailEnd type="none" w="med" len="med"/>
                          </a:ln>
                        </pic:spPr>
                      </pic:pic>
                    </a:graphicData>
                  </a:graphic>
                </wp:anchor>
              </w:drawing>
            </w:r>
          </w:p>
        </w:tc>
        <w:tc>
          <w:tcPr>
            <w:tcW w:w="374" w:type="pct"/>
            <w:vMerge w:val="continue"/>
            <w:tcBorders>
              <w:top w:val="nil"/>
              <w:left w:val="nil"/>
              <w:bottom w:val="single" w:color="auto" w:sz="4" w:space="0"/>
              <w:right w:val="single" w:color="auto" w:sz="4" w:space="0"/>
            </w:tcBorders>
            <w:vAlign w:val="center"/>
          </w:tcPr>
          <w:p>
            <w:pPr>
              <w:spacing w:line="240" w:lineRule="exact"/>
              <w:jc w:val="left"/>
              <w:rPr>
                <w:rFonts w:ascii="宋体" w:hAnsi="宋体" w:eastAsia="宋体" w:cs="宋体"/>
                <w:kern w:val="2"/>
                <w:sz w:val="18"/>
                <w:szCs w:val="18"/>
              </w:rPr>
            </w:pPr>
          </w:p>
        </w:tc>
        <w:tc>
          <w:tcPr>
            <w:tcW w:w="3144" w:type="pct"/>
            <w:gridSpan w:val="2"/>
            <w:vMerge w:val="continue"/>
            <w:tcBorders>
              <w:top w:val="single" w:color="auto" w:sz="4" w:space="0"/>
              <w:left w:val="nil"/>
              <w:bottom w:val="single" w:color="auto" w:sz="4" w:space="0"/>
              <w:right w:val="single" w:color="auto" w:sz="4" w:space="0"/>
            </w:tcBorders>
            <w:vAlign w:val="center"/>
          </w:tcPr>
          <w:p>
            <w:pPr>
              <w:tabs>
                <w:tab w:val="left" w:pos="284"/>
              </w:tabs>
              <w:spacing w:line="240" w:lineRule="exact"/>
              <w:rPr>
                <w:rFonts w:ascii="宋体" w:hAnsi="宋体" w:eastAsia="宋体" w:cs="宋体"/>
                <w:kern w:val="2"/>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482" w:type="pct"/>
            <w:gridSpan w:val="3"/>
            <w:tcBorders>
              <w:top w:val="single" w:color="auto" w:sz="4" w:space="0"/>
              <w:left w:val="single" w:color="auto" w:sz="4" w:space="0"/>
              <w:bottom w:val="single" w:color="auto" w:sz="4" w:space="0"/>
              <w:right w:val="single" w:color="auto" w:sz="4" w:space="0"/>
            </w:tcBorders>
            <w:vAlign w:val="center"/>
          </w:tcPr>
          <w:p>
            <w:pPr>
              <w:widowControl w:val="0"/>
              <w:spacing w:line="240" w:lineRule="exact"/>
              <w:ind w:firstLine="210"/>
              <w:rPr>
                <w:rFonts w:ascii="宋体" w:hAnsi="宋体" w:eastAsia="宋体" w:cs="宋体"/>
                <w:kern w:val="2"/>
                <w:sz w:val="18"/>
                <w:szCs w:val="18"/>
              </w:rPr>
            </w:pPr>
            <w:r>
              <w:rPr>
                <w:rFonts w:hint="eastAsia" w:ascii="宋体" w:hAnsi="宋体" w:eastAsia="宋体" w:cs="宋体"/>
                <w:kern w:val="2"/>
                <w:sz w:val="18"/>
                <w:szCs w:val="18"/>
              </w:rPr>
              <w:t>责任人 ：xxx</w:t>
            </w:r>
          </w:p>
        </w:tc>
        <w:tc>
          <w:tcPr>
            <w:tcW w:w="374" w:type="pct"/>
            <w:vMerge w:val="restart"/>
            <w:tcBorders>
              <w:top w:val="nil"/>
              <w:left w:val="nil"/>
              <w:bottom w:val="single" w:color="auto" w:sz="4" w:space="0"/>
              <w:right w:val="single" w:color="auto" w:sz="4" w:space="0"/>
            </w:tcBorders>
            <w:vAlign w:val="center"/>
          </w:tcPr>
          <w:p>
            <w:pPr>
              <w:widowControl w:val="0"/>
              <w:spacing w:line="240" w:lineRule="exact"/>
              <w:jc w:val="center"/>
              <w:rPr>
                <w:rFonts w:ascii="宋体" w:hAnsi="宋体" w:eastAsia="宋体" w:cs="宋体"/>
                <w:kern w:val="2"/>
                <w:sz w:val="18"/>
                <w:szCs w:val="18"/>
              </w:rPr>
            </w:pPr>
            <w:r>
              <w:rPr>
                <w:rFonts w:hint="eastAsia" w:ascii="宋体" w:hAnsi="宋体" w:eastAsia="宋体" w:cs="宋体"/>
                <w:kern w:val="2"/>
                <w:sz w:val="18"/>
                <w:szCs w:val="18"/>
              </w:rPr>
              <w:t>应急处置措施</w:t>
            </w:r>
          </w:p>
        </w:tc>
        <w:tc>
          <w:tcPr>
            <w:tcW w:w="3144" w:type="pct"/>
            <w:gridSpan w:val="2"/>
            <w:vMerge w:val="restart"/>
            <w:tcBorders>
              <w:top w:val="nil"/>
              <w:left w:val="nil"/>
              <w:bottom w:val="single" w:color="auto" w:sz="4" w:space="0"/>
              <w:right w:val="single" w:color="auto" w:sz="4" w:space="0"/>
            </w:tcBorders>
            <w:vAlign w:val="center"/>
          </w:tcPr>
          <w:p>
            <w:pPr>
              <w:widowControl w:val="0"/>
              <w:tabs>
                <w:tab w:val="left" w:pos="284"/>
              </w:tabs>
              <w:spacing w:line="240" w:lineRule="exact"/>
              <w:rPr>
                <w:rFonts w:ascii="宋体" w:hAnsi="宋体" w:eastAsia="宋体" w:cs="宋体"/>
                <w:kern w:val="2"/>
                <w:sz w:val="18"/>
                <w:szCs w:val="18"/>
              </w:rPr>
            </w:pPr>
            <w:r>
              <w:rPr>
                <w:rFonts w:hint="eastAsia" w:ascii="宋体" w:hAnsi="宋体" w:eastAsia="宋体" w:cs="宋体"/>
                <w:b/>
                <w:bCs/>
                <w:kern w:val="2"/>
                <w:sz w:val="18"/>
                <w:szCs w:val="18"/>
              </w:rPr>
              <w:t>触电事故：</w:t>
            </w:r>
          </w:p>
          <w:p>
            <w:pPr>
              <w:widowControl w:val="0"/>
              <w:numPr>
                <w:ilvl w:val="0"/>
                <w:numId w:val="6"/>
              </w:numPr>
              <w:tabs>
                <w:tab w:val="left" w:pos="284"/>
              </w:tabs>
              <w:spacing w:line="240" w:lineRule="exact"/>
              <w:jc w:val="left"/>
              <w:rPr>
                <w:rFonts w:ascii="宋体" w:hAnsi="宋体" w:eastAsia="宋体" w:cs="宋体"/>
                <w:kern w:val="2"/>
                <w:sz w:val="18"/>
                <w:szCs w:val="18"/>
              </w:rPr>
            </w:pPr>
            <w:r>
              <w:rPr>
                <w:rFonts w:hint="eastAsia" w:ascii="宋体" w:hAnsi="宋体" w:eastAsia="宋体" w:cs="宋体"/>
                <w:kern w:val="2"/>
                <w:sz w:val="18"/>
                <w:szCs w:val="18"/>
              </w:rPr>
              <w:t xml:space="preserve">使触电者脱离电源，一是切断电源。二是用绝缘物作为工具使触电者脱离电源。 </w:t>
            </w:r>
          </w:p>
          <w:p>
            <w:pPr>
              <w:widowControl w:val="0"/>
              <w:numPr>
                <w:ilvl w:val="0"/>
                <w:numId w:val="6"/>
              </w:numPr>
              <w:tabs>
                <w:tab w:val="left" w:pos="284"/>
              </w:tabs>
              <w:spacing w:line="240" w:lineRule="exact"/>
              <w:jc w:val="left"/>
              <w:rPr>
                <w:rFonts w:ascii="宋体" w:hAnsi="宋体" w:eastAsia="宋体" w:cs="宋体"/>
                <w:kern w:val="2"/>
                <w:sz w:val="18"/>
                <w:szCs w:val="18"/>
              </w:rPr>
            </w:pPr>
            <w:r>
              <w:rPr>
                <w:rFonts w:hint="eastAsia" w:ascii="宋体" w:hAnsi="宋体" w:eastAsia="宋体" w:cs="宋体"/>
                <w:kern w:val="2"/>
                <w:sz w:val="18"/>
                <w:szCs w:val="18"/>
              </w:rPr>
              <w:t>现场抢救伤员措施如下：对神智清醒的触电者采取静卧、保暖并严密观察；对神智不清的触电者有心跳但呼吸停止的用人工呼吸法抢救；对神智丧失的触电者心跳停止有微弱呼吸的应立即施行心肺复苏法抢救；触电者心跳、呼吸停止时应立即心肺复苏法抢救。</w:t>
            </w:r>
          </w:p>
          <w:p>
            <w:pPr>
              <w:widowControl w:val="0"/>
              <w:numPr>
                <w:ilvl w:val="0"/>
                <w:numId w:val="6"/>
              </w:numPr>
              <w:tabs>
                <w:tab w:val="left" w:pos="284"/>
              </w:tabs>
              <w:spacing w:line="240" w:lineRule="exact"/>
              <w:jc w:val="left"/>
              <w:rPr>
                <w:rFonts w:ascii="宋体" w:hAnsi="宋体" w:eastAsia="宋体" w:cs="宋体"/>
                <w:kern w:val="2"/>
                <w:sz w:val="18"/>
                <w:szCs w:val="18"/>
              </w:rPr>
            </w:pPr>
            <w:r>
              <w:rPr>
                <w:rFonts w:hint="eastAsia" w:ascii="宋体" w:hAnsi="宋体" w:eastAsia="宋体" w:cs="宋体"/>
                <w:kern w:val="2"/>
                <w:sz w:val="18"/>
                <w:szCs w:val="18"/>
              </w:rPr>
              <w:t>及时拨打“120”急救电话，说清楚事件发生的具体地址和伤员情况，并安排人员接应救护车。</w:t>
            </w:r>
          </w:p>
          <w:p>
            <w:pPr>
              <w:widowControl w:val="0"/>
              <w:tabs>
                <w:tab w:val="left" w:pos="284"/>
              </w:tabs>
              <w:spacing w:line="240" w:lineRule="exact"/>
              <w:rPr>
                <w:rFonts w:ascii="宋体" w:hAnsi="宋体" w:eastAsia="宋体" w:cs="宋体"/>
                <w:b/>
                <w:bCs/>
                <w:kern w:val="2"/>
                <w:sz w:val="18"/>
                <w:szCs w:val="18"/>
              </w:rPr>
            </w:pPr>
            <w:r>
              <w:rPr>
                <w:rFonts w:hint="eastAsia" w:ascii="宋体" w:hAnsi="宋体" w:eastAsia="宋体" w:cs="宋体"/>
                <w:b/>
                <w:bCs/>
                <w:kern w:val="2"/>
                <w:sz w:val="18"/>
                <w:szCs w:val="18"/>
              </w:rPr>
              <w:t>火灾事故：</w:t>
            </w:r>
          </w:p>
          <w:p>
            <w:pPr>
              <w:widowControl w:val="0"/>
              <w:numPr>
                <w:ilvl w:val="0"/>
                <w:numId w:val="7"/>
              </w:numPr>
              <w:tabs>
                <w:tab w:val="left" w:pos="284"/>
              </w:tabs>
              <w:spacing w:line="240" w:lineRule="exact"/>
              <w:jc w:val="left"/>
              <w:rPr>
                <w:rFonts w:ascii="宋体" w:hAnsi="宋体" w:eastAsia="宋体" w:cs="宋体"/>
                <w:kern w:val="2"/>
                <w:sz w:val="18"/>
                <w:szCs w:val="18"/>
              </w:rPr>
            </w:pPr>
            <w:r>
              <w:rPr>
                <w:rFonts w:hint="eastAsia" w:ascii="宋体" w:hAnsi="宋体" w:eastAsia="宋体" w:cs="宋体"/>
                <w:kern w:val="2"/>
                <w:sz w:val="18"/>
                <w:szCs w:val="18"/>
              </w:rPr>
              <w:t>立即切断有关电源。</w:t>
            </w:r>
          </w:p>
          <w:p>
            <w:pPr>
              <w:widowControl w:val="0"/>
              <w:numPr>
                <w:ilvl w:val="0"/>
                <w:numId w:val="7"/>
              </w:numPr>
              <w:tabs>
                <w:tab w:val="left" w:pos="284"/>
              </w:tabs>
              <w:spacing w:line="240" w:lineRule="exact"/>
              <w:jc w:val="left"/>
              <w:rPr>
                <w:rFonts w:ascii="宋体" w:hAnsi="宋体" w:eastAsia="宋体" w:cs="宋体"/>
                <w:kern w:val="2"/>
                <w:sz w:val="18"/>
                <w:szCs w:val="18"/>
              </w:rPr>
            </w:pPr>
            <w:r>
              <w:rPr>
                <w:rFonts w:hint="eastAsia" w:ascii="宋体" w:hAnsi="宋体" w:eastAsia="宋体" w:cs="宋体"/>
                <w:kern w:val="2"/>
                <w:sz w:val="18"/>
                <w:szCs w:val="18"/>
              </w:rPr>
              <w:t>使用干粉灭火器或消火栓将火扑灭。</w:t>
            </w:r>
          </w:p>
          <w:p>
            <w:pPr>
              <w:widowControl w:val="0"/>
              <w:numPr>
                <w:ilvl w:val="0"/>
                <w:numId w:val="7"/>
              </w:numPr>
              <w:tabs>
                <w:tab w:val="left" w:pos="284"/>
              </w:tabs>
              <w:spacing w:line="240" w:lineRule="exact"/>
              <w:jc w:val="left"/>
              <w:rPr>
                <w:rFonts w:ascii="宋体" w:hAnsi="宋体" w:eastAsia="宋体" w:cs="宋体"/>
                <w:kern w:val="2"/>
                <w:sz w:val="18"/>
                <w:szCs w:val="18"/>
              </w:rPr>
            </w:pPr>
            <w:r>
              <w:rPr>
                <w:rFonts w:hint="eastAsia" w:ascii="宋体" w:hAnsi="宋体" w:eastAsia="宋体" w:cs="宋体"/>
                <w:kern w:val="2"/>
                <w:sz w:val="18"/>
                <w:szCs w:val="18"/>
              </w:rPr>
              <w:t>立即向应急指挥部报告。</w:t>
            </w:r>
          </w:p>
          <w:p>
            <w:pPr>
              <w:widowControl w:val="0"/>
              <w:tabs>
                <w:tab w:val="left" w:pos="284"/>
              </w:tabs>
              <w:spacing w:line="240" w:lineRule="exact"/>
              <w:jc w:val="left"/>
              <w:rPr>
                <w:rFonts w:ascii="Times New Roman" w:eastAsia="黑体"/>
                <w:b/>
                <w:bCs/>
                <w:kern w:val="2"/>
                <w:sz w:val="18"/>
                <w:szCs w:val="18"/>
              </w:rPr>
            </w:pPr>
            <w:r>
              <w:rPr>
                <w:rFonts w:hint="eastAsia" w:ascii="Times New Roman" w:eastAsia="黑体"/>
                <w:b/>
                <w:bCs/>
                <w:kern w:val="2"/>
                <w:sz w:val="18"/>
                <w:szCs w:val="18"/>
              </w:rPr>
              <w:t>机械伤害事故：</w:t>
            </w:r>
          </w:p>
          <w:p>
            <w:pPr>
              <w:widowControl w:val="0"/>
              <w:numPr>
                <w:ilvl w:val="0"/>
                <w:numId w:val="8"/>
              </w:numPr>
              <w:tabs>
                <w:tab w:val="left" w:pos="284"/>
              </w:tabs>
              <w:spacing w:line="240" w:lineRule="exact"/>
              <w:jc w:val="left"/>
              <w:rPr>
                <w:rFonts w:ascii="宋体" w:hAnsi="宋体" w:eastAsia="宋体" w:cs="宋体"/>
                <w:kern w:val="2"/>
                <w:sz w:val="18"/>
                <w:szCs w:val="18"/>
              </w:rPr>
            </w:pPr>
            <w:r>
              <w:rPr>
                <w:rFonts w:hint="eastAsia" w:ascii="宋体" w:hAnsi="宋体" w:eastAsia="宋体" w:cs="宋体"/>
                <w:kern w:val="2"/>
                <w:sz w:val="18"/>
                <w:szCs w:val="18"/>
              </w:rPr>
              <w:t>将受伤者进行简单的包扎后送医院治疗。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482" w:type="pct"/>
            <w:gridSpan w:val="3"/>
            <w:tcBorders>
              <w:top w:val="single" w:color="auto" w:sz="4" w:space="0"/>
              <w:left w:val="single" w:color="auto" w:sz="4" w:space="0"/>
              <w:bottom w:val="single" w:color="auto" w:sz="4" w:space="0"/>
              <w:right w:val="single" w:color="auto" w:sz="4" w:space="0"/>
            </w:tcBorders>
            <w:vAlign w:val="center"/>
          </w:tcPr>
          <w:p>
            <w:pPr>
              <w:spacing w:line="240" w:lineRule="exact"/>
              <w:ind w:firstLine="210"/>
              <w:textAlignment w:val="center"/>
              <w:rPr>
                <w:rFonts w:ascii="宋体" w:hAnsi="宋体" w:eastAsia="宋体" w:cs="宋体"/>
                <w:kern w:val="2"/>
                <w:sz w:val="18"/>
                <w:szCs w:val="18"/>
              </w:rPr>
            </w:pPr>
            <w:r>
              <w:rPr>
                <w:rFonts w:hint="eastAsia" w:ascii="宋体" w:hAnsi="宋体" w:eastAsia="宋体" w:cs="宋体"/>
                <w:sz w:val="18"/>
                <w:szCs w:val="18"/>
                <w:lang w:bidi="ar"/>
              </w:rPr>
              <w:t>联系电话 ：</w:t>
            </w:r>
            <w:r>
              <w:rPr>
                <w:rFonts w:hint="eastAsia" w:ascii="宋体" w:hAnsi="宋体" w:eastAsia="宋体" w:cs="宋体"/>
                <w:kern w:val="2"/>
                <w:sz w:val="18"/>
                <w:szCs w:val="18"/>
              </w:rPr>
              <w:t>xxx</w:t>
            </w:r>
          </w:p>
        </w:tc>
        <w:tc>
          <w:tcPr>
            <w:tcW w:w="374" w:type="pct"/>
            <w:vMerge w:val="continue"/>
            <w:tcBorders>
              <w:top w:val="nil"/>
              <w:left w:val="nil"/>
              <w:bottom w:val="single" w:color="auto" w:sz="4" w:space="0"/>
              <w:right w:val="single" w:color="auto" w:sz="4" w:space="0"/>
            </w:tcBorders>
            <w:vAlign w:val="center"/>
          </w:tcPr>
          <w:p>
            <w:pPr>
              <w:spacing w:line="240" w:lineRule="exact"/>
              <w:ind w:firstLine="180" w:firstLineChars="100"/>
              <w:jc w:val="left"/>
              <w:rPr>
                <w:rFonts w:ascii="宋体" w:hAnsi="宋体" w:eastAsia="宋体" w:cs="宋体"/>
                <w:kern w:val="2"/>
                <w:sz w:val="18"/>
                <w:szCs w:val="18"/>
              </w:rPr>
            </w:pPr>
          </w:p>
        </w:tc>
        <w:tc>
          <w:tcPr>
            <w:tcW w:w="3144" w:type="pct"/>
            <w:gridSpan w:val="2"/>
            <w:vMerge w:val="continue"/>
            <w:tcBorders>
              <w:top w:val="nil"/>
              <w:left w:val="nil"/>
              <w:bottom w:val="single" w:color="auto" w:sz="4" w:space="0"/>
              <w:right w:val="single" w:color="auto" w:sz="4" w:space="0"/>
            </w:tcBorders>
            <w:vAlign w:val="center"/>
          </w:tcPr>
          <w:p>
            <w:pPr>
              <w:spacing w:line="240" w:lineRule="exact"/>
              <w:ind w:firstLine="180" w:firstLineChars="100"/>
              <w:jc w:val="left"/>
              <w:rPr>
                <w:rFonts w:ascii="宋体" w:hAnsi="宋体" w:eastAsia="宋体" w:cs="宋体"/>
                <w:kern w:val="2"/>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4" w:hRule="atLeast"/>
          <w:jc w:val="center"/>
        </w:trPr>
        <w:tc>
          <w:tcPr>
            <w:tcW w:w="1482" w:type="pct"/>
            <w:gridSpan w:val="3"/>
            <w:tcBorders>
              <w:top w:val="single" w:color="auto" w:sz="4" w:space="0"/>
              <w:left w:val="single" w:color="auto" w:sz="4" w:space="0"/>
              <w:bottom w:val="single" w:color="auto" w:sz="4" w:space="0"/>
              <w:right w:val="single" w:color="auto" w:sz="4" w:space="0"/>
            </w:tcBorders>
            <w:vAlign w:val="center"/>
          </w:tcPr>
          <w:p>
            <w:pPr>
              <w:widowControl w:val="0"/>
              <w:spacing w:line="240" w:lineRule="exact"/>
              <w:jc w:val="left"/>
              <w:rPr>
                <w:rFonts w:ascii="宋体" w:hAnsi="宋体" w:eastAsia="宋体" w:cs="宋体"/>
                <w:kern w:val="2"/>
                <w:sz w:val="18"/>
                <w:szCs w:val="18"/>
              </w:rPr>
            </w:pPr>
            <w:r>
              <w:rPr>
                <w:rFonts w:hint="eastAsia" w:ascii="宋体" w:hAnsi="宋体" w:eastAsia="宋体" w:cs="宋体"/>
                <w:b/>
                <w:bCs/>
                <w:kern w:val="2"/>
                <w:sz w:val="18"/>
                <w:szCs w:val="18"/>
              </w:rPr>
              <w:t>应急电话</w:t>
            </w:r>
            <w:r>
              <w:rPr>
                <w:rFonts w:hint="eastAsia" w:ascii="宋体" w:hAnsi="宋体" w:eastAsia="宋体" w:cs="宋体"/>
                <w:kern w:val="2"/>
                <w:sz w:val="18"/>
                <w:szCs w:val="18"/>
              </w:rPr>
              <w:t>：</w:t>
            </w:r>
          </w:p>
          <w:p>
            <w:pPr>
              <w:widowControl w:val="0"/>
              <w:spacing w:line="240" w:lineRule="exact"/>
              <w:jc w:val="left"/>
              <w:rPr>
                <w:rFonts w:ascii="宋体" w:hAnsi="宋体" w:eastAsia="宋体" w:cs="宋体"/>
                <w:kern w:val="2"/>
                <w:sz w:val="18"/>
                <w:szCs w:val="18"/>
              </w:rPr>
            </w:pPr>
            <w:r>
              <w:rPr>
                <w:rFonts w:hint="eastAsia" w:ascii="宋体" w:hAnsi="宋体" w:eastAsia="宋体" w:cs="宋体"/>
                <w:kern w:val="2"/>
                <w:sz w:val="18"/>
                <w:szCs w:val="18"/>
              </w:rPr>
              <w:t>急救电话120</w:t>
            </w:r>
          </w:p>
          <w:p>
            <w:pPr>
              <w:widowControl w:val="0"/>
              <w:spacing w:line="240" w:lineRule="exact"/>
              <w:jc w:val="left"/>
              <w:rPr>
                <w:rFonts w:ascii="宋体" w:hAnsi="宋体" w:eastAsia="宋体" w:cs="宋体"/>
                <w:kern w:val="2"/>
                <w:sz w:val="18"/>
                <w:szCs w:val="18"/>
              </w:rPr>
            </w:pPr>
            <w:r>
              <w:rPr>
                <w:rFonts w:hint="eastAsia" w:ascii="宋体" w:hAnsi="宋体" w:eastAsia="宋体" w:cs="宋体"/>
                <w:kern w:val="2"/>
                <w:sz w:val="18"/>
                <w:szCs w:val="18"/>
              </w:rPr>
              <w:t>火警电话119</w:t>
            </w:r>
          </w:p>
          <w:p>
            <w:pPr>
              <w:widowControl w:val="0"/>
              <w:spacing w:line="240" w:lineRule="exact"/>
              <w:jc w:val="left"/>
              <w:rPr>
                <w:rFonts w:ascii="宋体" w:hAnsi="宋体" w:eastAsia="宋体" w:cs="宋体"/>
                <w:kern w:val="2"/>
                <w:sz w:val="18"/>
                <w:szCs w:val="18"/>
              </w:rPr>
            </w:pPr>
            <w:r>
              <w:rPr>
                <w:rFonts w:hint="eastAsia" w:ascii="宋体" w:hAnsi="宋体" w:eastAsia="宋体" w:cs="宋体"/>
                <w:kern w:val="2"/>
                <w:sz w:val="18"/>
                <w:szCs w:val="18"/>
              </w:rPr>
              <w:t>公安电话110</w:t>
            </w:r>
          </w:p>
          <w:p>
            <w:pPr>
              <w:widowControl w:val="0"/>
              <w:spacing w:line="240" w:lineRule="exact"/>
              <w:jc w:val="left"/>
              <w:rPr>
                <w:rFonts w:ascii="宋体" w:hAnsi="宋体" w:eastAsia="宋体" w:cs="宋体"/>
                <w:kern w:val="2"/>
                <w:sz w:val="18"/>
                <w:szCs w:val="18"/>
              </w:rPr>
            </w:pPr>
            <w:r>
              <w:rPr>
                <w:rFonts w:hint="eastAsia" w:ascii="宋体" w:hAnsi="宋体" w:eastAsia="宋体" w:cs="宋体"/>
                <w:kern w:val="2"/>
                <w:sz w:val="18"/>
                <w:szCs w:val="18"/>
              </w:rPr>
              <w:t>值班室电话：</w:t>
            </w:r>
          </w:p>
          <w:p>
            <w:pPr>
              <w:widowControl w:val="0"/>
              <w:spacing w:line="240" w:lineRule="exact"/>
              <w:jc w:val="left"/>
              <w:rPr>
                <w:rFonts w:ascii="宋体" w:hAnsi="宋体" w:eastAsia="宋体" w:cs="宋体"/>
                <w:kern w:val="2"/>
                <w:sz w:val="18"/>
                <w:szCs w:val="18"/>
              </w:rPr>
            </w:pPr>
            <w:r>
              <w:rPr>
                <w:rFonts w:ascii="宋体" w:hAnsi="宋体" w:eastAsia="宋体"/>
                <w:kern w:val="2"/>
                <w:sz w:val="28"/>
                <w:szCs w:val="28"/>
              </w:rPr>
              <w:t>XXX</w:t>
            </w:r>
            <w:r>
              <w:rPr>
                <w:rFonts w:hint="eastAsia" w:ascii="宋体" w:hAnsi="宋体" w:eastAsia="宋体" w:cs="宋体"/>
                <w:kern w:val="2"/>
                <w:sz w:val="18"/>
                <w:szCs w:val="18"/>
              </w:rPr>
              <w:t>-xxx</w:t>
            </w:r>
          </w:p>
        </w:tc>
        <w:tc>
          <w:tcPr>
            <w:tcW w:w="374" w:type="pct"/>
            <w:vMerge w:val="continue"/>
            <w:tcBorders>
              <w:top w:val="nil"/>
              <w:left w:val="nil"/>
              <w:bottom w:val="single" w:color="auto" w:sz="4" w:space="0"/>
              <w:right w:val="single" w:color="auto" w:sz="4" w:space="0"/>
            </w:tcBorders>
            <w:vAlign w:val="center"/>
          </w:tcPr>
          <w:p>
            <w:pPr>
              <w:spacing w:line="240" w:lineRule="exact"/>
              <w:ind w:firstLine="180" w:firstLineChars="100"/>
              <w:jc w:val="left"/>
              <w:rPr>
                <w:rFonts w:ascii="宋体" w:hAnsi="宋体" w:eastAsia="宋体" w:cs="宋体"/>
                <w:kern w:val="2"/>
                <w:sz w:val="18"/>
                <w:szCs w:val="18"/>
              </w:rPr>
            </w:pPr>
          </w:p>
        </w:tc>
        <w:tc>
          <w:tcPr>
            <w:tcW w:w="3144" w:type="pct"/>
            <w:gridSpan w:val="2"/>
            <w:vMerge w:val="continue"/>
            <w:tcBorders>
              <w:top w:val="nil"/>
              <w:left w:val="nil"/>
              <w:bottom w:val="single" w:color="auto" w:sz="4" w:space="0"/>
              <w:right w:val="single" w:color="auto" w:sz="4" w:space="0"/>
            </w:tcBorders>
            <w:vAlign w:val="center"/>
          </w:tcPr>
          <w:p>
            <w:pPr>
              <w:spacing w:line="240" w:lineRule="exact"/>
              <w:ind w:firstLine="180" w:firstLineChars="100"/>
              <w:jc w:val="left"/>
              <w:rPr>
                <w:rFonts w:ascii="宋体" w:hAnsi="宋体" w:eastAsia="宋体" w:cs="宋体"/>
                <w:kern w:val="2"/>
                <w:sz w:val="18"/>
                <w:szCs w:val="18"/>
              </w:rPr>
            </w:pPr>
          </w:p>
        </w:tc>
      </w:tr>
    </w:tbl>
    <w:p>
      <w:pPr>
        <w:rPr>
          <w:rFonts w:asciiTheme="minorEastAsia" w:hAnsiTheme="minorEastAsia" w:eastAsiaTheme="minorEastAsia"/>
          <w:sz w:val="21"/>
          <w:szCs w:val="21"/>
        </w:rPr>
        <w:sectPr>
          <w:pgSz w:w="11906" w:h="16838"/>
          <w:pgMar w:top="1440" w:right="1797" w:bottom="1440" w:left="1797" w:header="851" w:footer="992" w:gutter="0"/>
          <w:cols w:space="425" w:num="1"/>
          <w:docGrid w:type="lines" w:linePitch="435" w:charSpace="0"/>
        </w:sectPr>
      </w:pPr>
    </w:p>
    <w:p>
      <w:pPr>
        <w:jc w:val="center"/>
        <w:outlineLvl w:val="0"/>
        <w:rPr>
          <w:rFonts w:ascii="方正小标宋_GBK" w:hAnsi="黑体" w:eastAsia="方正小标宋_GBK"/>
          <w:b/>
          <w:bCs/>
          <w:sz w:val="28"/>
          <w:szCs w:val="28"/>
        </w:rPr>
      </w:pPr>
      <w:bookmarkStart w:id="251" w:name="_Toc117541368"/>
      <w:bookmarkStart w:id="252" w:name="_Toc119336650"/>
      <w:r>
        <w:rPr>
          <w:rFonts w:hint="eastAsia" w:ascii="方正小标宋_GBK" w:hAnsi="黑体" w:eastAsia="方正小标宋_GBK"/>
          <w:b/>
          <w:bCs/>
          <w:sz w:val="28"/>
          <w:szCs w:val="28"/>
        </w:rPr>
        <w:t>附录I.5</w:t>
      </w:r>
      <w:bookmarkEnd w:id="251"/>
      <w:bookmarkEnd w:id="252"/>
    </w:p>
    <w:p>
      <w:pPr>
        <w:jc w:val="center"/>
        <w:rPr>
          <w:rFonts w:ascii="方正小标宋_GBK" w:hAnsi="黑体" w:eastAsia="方正小标宋_GBK"/>
          <w:b/>
          <w:bCs/>
          <w:sz w:val="28"/>
          <w:szCs w:val="28"/>
        </w:rPr>
      </w:pPr>
      <w:r>
        <w:rPr>
          <w:rFonts w:hint="eastAsia" w:ascii="方正小标宋_GBK" w:hAnsi="黑体" w:eastAsia="方正小标宋_GBK"/>
          <w:b/>
          <w:bCs/>
          <w:sz w:val="28"/>
          <w:szCs w:val="28"/>
        </w:rPr>
        <w:t>（资料性附录）</w:t>
      </w:r>
    </w:p>
    <w:p>
      <w:pPr>
        <w:jc w:val="center"/>
        <w:rPr>
          <w:rFonts w:ascii="方正小标宋_GBK" w:hAnsi="黑体" w:eastAsia="方正小标宋_GBK"/>
          <w:b/>
          <w:bCs/>
          <w:sz w:val="28"/>
          <w:szCs w:val="28"/>
        </w:rPr>
      </w:pPr>
    </w:p>
    <w:p>
      <w:pPr>
        <w:jc w:val="center"/>
        <w:outlineLvl w:val="1"/>
        <w:rPr>
          <w:rFonts w:ascii="方正小标宋_GBK" w:hAnsi="黑体" w:eastAsia="方正小标宋_GBK"/>
          <w:b/>
          <w:bCs/>
          <w:sz w:val="28"/>
          <w:szCs w:val="28"/>
        </w:rPr>
      </w:pPr>
      <w:bookmarkStart w:id="253" w:name="_Toc119336651"/>
      <w:bookmarkStart w:id="254" w:name="_Toc117541369"/>
      <w:r>
        <w:rPr>
          <w:rFonts w:hint="eastAsia" w:ascii="方正小标宋_GBK" w:hAnsi="黑体" w:eastAsia="方正小标宋_GBK"/>
          <w:b/>
          <w:bCs/>
          <w:sz w:val="28"/>
          <w:szCs w:val="28"/>
        </w:rPr>
        <w:t>安全风险公告栏示例</w:t>
      </w:r>
      <w:bookmarkEnd w:id="253"/>
      <w:bookmarkEnd w:id="254"/>
    </w:p>
    <w:p>
      <w:pPr>
        <w:jc w:val="center"/>
        <w:rPr>
          <w:rFonts w:asciiTheme="minorEastAsia" w:hAnsiTheme="minorEastAsia" w:eastAsiaTheme="minorEastAsia"/>
          <w:b/>
          <w:bCs/>
          <w:sz w:val="21"/>
          <w:szCs w:val="21"/>
        </w:rPr>
      </w:pPr>
      <w:r>
        <w:rPr>
          <w:rFonts w:asciiTheme="minorEastAsia" w:hAnsiTheme="minorEastAsia" w:eastAsiaTheme="minorEastAsia"/>
          <w:b/>
          <w:bCs/>
          <w:sz w:val="21"/>
          <w:szCs w:val="21"/>
        </w:rPr>
        <w:drawing>
          <wp:inline distT="0" distB="0" distL="0" distR="0">
            <wp:extent cx="7500620" cy="3853815"/>
            <wp:effectExtent l="0" t="0" r="5080" b="1333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7500620" cy="3853815"/>
                    </a:xfrm>
                    <a:prstGeom prst="rect">
                      <a:avLst/>
                    </a:prstGeom>
                    <a:noFill/>
                    <a:ln>
                      <a:noFill/>
                    </a:ln>
                  </pic:spPr>
                </pic:pic>
              </a:graphicData>
            </a:graphic>
          </wp:inline>
        </w:drawing>
      </w:r>
    </w:p>
    <w:p>
      <w:pPr>
        <w:rPr>
          <w:rFonts w:asciiTheme="minorEastAsia" w:hAnsiTheme="minorEastAsia" w:eastAsiaTheme="minorEastAsia"/>
          <w:b/>
          <w:bCs/>
          <w:sz w:val="21"/>
          <w:szCs w:val="21"/>
        </w:rPr>
        <w:sectPr>
          <w:pgSz w:w="16838" w:h="11906" w:orient="landscape"/>
          <w:pgMar w:top="1797" w:right="1440" w:bottom="1797" w:left="1440" w:header="851" w:footer="992" w:gutter="0"/>
          <w:cols w:space="425" w:num="1"/>
          <w:docGrid w:type="lines" w:linePitch="435" w:charSpace="0"/>
        </w:sectPr>
      </w:pPr>
    </w:p>
    <w:p>
      <w:pPr>
        <w:jc w:val="center"/>
        <w:outlineLvl w:val="0"/>
        <w:rPr>
          <w:rFonts w:ascii="方正小标宋_GBK" w:hAnsi="黑体" w:eastAsia="方正小标宋_GBK"/>
          <w:b/>
          <w:bCs/>
          <w:sz w:val="28"/>
          <w:szCs w:val="28"/>
        </w:rPr>
      </w:pPr>
      <w:bookmarkStart w:id="255" w:name="_Toc117541370"/>
      <w:bookmarkStart w:id="256" w:name="_Toc119336652"/>
      <w:r>
        <w:rPr>
          <w:rFonts w:hint="eastAsia" w:ascii="方正小标宋_GBK" w:hAnsi="黑体" w:eastAsia="方正小标宋_GBK"/>
          <w:b/>
          <w:bCs/>
          <w:sz w:val="28"/>
          <w:szCs w:val="28"/>
        </w:rPr>
        <w:t>附录J</w:t>
      </w:r>
      <w:bookmarkEnd w:id="255"/>
      <w:bookmarkEnd w:id="256"/>
    </w:p>
    <w:p>
      <w:pPr>
        <w:jc w:val="center"/>
        <w:rPr>
          <w:rFonts w:ascii="方正小标宋_GBK" w:hAnsi="黑体" w:eastAsia="方正小标宋_GBK"/>
          <w:b/>
          <w:bCs/>
          <w:sz w:val="28"/>
          <w:szCs w:val="28"/>
        </w:rPr>
      </w:pPr>
      <w:r>
        <w:rPr>
          <w:rFonts w:hint="eastAsia" w:ascii="方正小标宋_GBK" w:hAnsi="黑体" w:eastAsia="方正小标宋_GBK"/>
          <w:b/>
          <w:bCs/>
          <w:sz w:val="28"/>
          <w:szCs w:val="28"/>
        </w:rPr>
        <w:t>（资料性附录）</w:t>
      </w:r>
    </w:p>
    <w:p>
      <w:pPr>
        <w:jc w:val="center"/>
        <w:rPr>
          <w:rFonts w:ascii="方正小标宋_GBK" w:hAnsi="黑体" w:eastAsia="方正小标宋_GBK"/>
          <w:b/>
          <w:bCs/>
          <w:sz w:val="28"/>
          <w:szCs w:val="28"/>
        </w:rPr>
      </w:pPr>
      <w:r>
        <w:rPr>
          <w:rFonts w:hint="eastAsia" w:ascii="方正小标宋_GBK" w:hAnsi="黑体" w:eastAsia="方正小标宋_GBK"/>
          <w:b/>
          <w:bCs/>
          <w:sz w:val="28"/>
          <w:szCs w:val="28"/>
        </w:rPr>
        <w:t>重大隐患排查治理公示牌</w:t>
      </w:r>
    </w:p>
    <w:p>
      <w:pPr>
        <w:jc w:val="center"/>
        <w:rPr>
          <w:rFonts w:ascii="方正小标宋_GBK" w:hAnsi="黑体" w:eastAsia="方正小标宋_GBK"/>
          <w:b/>
          <w:bCs/>
          <w:sz w:val="28"/>
          <w:szCs w:val="28"/>
        </w:rPr>
      </w:pPr>
    </w:p>
    <w:p>
      <w:pPr>
        <w:jc w:val="center"/>
        <w:outlineLvl w:val="1"/>
        <w:rPr>
          <w:rFonts w:ascii="方正小标宋_GBK" w:hAnsi="黑体" w:eastAsia="方正小标宋_GBK"/>
          <w:b/>
          <w:bCs/>
          <w:sz w:val="28"/>
          <w:szCs w:val="28"/>
        </w:rPr>
      </w:pPr>
      <w:bookmarkStart w:id="257" w:name="_Toc119336653"/>
      <w:bookmarkStart w:id="258" w:name="_Toc117541371"/>
      <w:r>
        <w:rPr>
          <w:rFonts w:hint="eastAsia" w:ascii="方正小标宋_GBK" w:hAnsi="黑体" w:eastAsia="方正小标宋_GBK"/>
          <w:b/>
          <w:bCs/>
          <w:sz w:val="28"/>
          <w:szCs w:val="28"/>
        </w:rPr>
        <w:t>重大隐患排查治理公示表</w:t>
      </w:r>
      <w:bookmarkEnd w:id="257"/>
      <w:bookmarkEnd w:id="258"/>
    </w:p>
    <w:tbl>
      <w:tblPr>
        <w:tblStyle w:val="3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8"/>
        <w:gridCol w:w="992"/>
        <w:gridCol w:w="992"/>
        <w:gridCol w:w="1178"/>
        <w:gridCol w:w="1374"/>
        <w:gridCol w:w="992"/>
        <w:gridCol w:w="850"/>
        <w:gridCol w:w="9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pPr>
              <w:widowControl w:val="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隐患概况</w:t>
            </w:r>
          </w:p>
        </w:tc>
        <w:tc>
          <w:tcPr>
            <w:tcW w:w="992" w:type="dxa"/>
          </w:tcPr>
          <w:p>
            <w:pPr>
              <w:widowControl w:val="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隐患位置</w:t>
            </w:r>
          </w:p>
        </w:tc>
        <w:tc>
          <w:tcPr>
            <w:tcW w:w="992" w:type="dxa"/>
          </w:tcPr>
          <w:p>
            <w:pPr>
              <w:widowControl w:val="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排查时间</w:t>
            </w:r>
          </w:p>
        </w:tc>
        <w:tc>
          <w:tcPr>
            <w:tcW w:w="1178" w:type="dxa"/>
          </w:tcPr>
          <w:p>
            <w:pPr>
              <w:widowControl w:val="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整改责任人</w:t>
            </w:r>
          </w:p>
        </w:tc>
        <w:tc>
          <w:tcPr>
            <w:tcW w:w="1374" w:type="dxa"/>
          </w:tcPr>
          <w:p>
            <w:pPr>
              <w:widowControl w:val="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责令整改时限</w:t>
            </w:r>
          </w:p>
        </w:tc>
        <w:tc>
          <w:tcPr>
            <w:tcW w:w="992" w:type="dxa"/>
          </w:tcPr>
          <w:p>
            <w:pPr>
              <w:widowControl w:val="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整改措施</w:t>
            </w:r>
          </w:p>
        </w:tc>
        <w:tc>
          <w:tcPr>
            <w:tcW w:w="850" w:type="dxa"/>
          </w:tcPr>
          <w:p>
            <w:pPr>
              <w:widowControl w:val="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验收人</w:t>
            </w:r>
          </w:p>
        </w:tc>
        <w:tc>
          <w:tcPr>
            <w:tcW w:w="936" w:type="dxa"/>
          </w:tcPr>
          <w:p>
            <w:pPr>
              <w:widowControl w:val="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验收时间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pPr>
              <w:widowControl w:val="0"/>
              <w:rPr>
                <w:rFonts w:asciiTheme="minorEastAsia" w:hAnsiTheme="minorEastAsia" w:eastAsiaTheme="minorEastAsia"/>
                <w:sz w:val="18"/>
                <w:szCs w:val="18"/>
              </w:rPr>
            </w:pPr>
          </w:p>
        </w:tc>
        <w:tc>
          <w:tcPr>
            <w:tcW w:w="992" w:type="dxa"/>
          </w:tcPr>
          <w:p>
            <w:pPr>
              <w:widowControl w:val="0"/>
              <w:rPr>
                <w:rFonts w:asciiTheme="minorEastAsia" w:hAnsiTheme="minorEastAsia" w:eastAsiaTheme="minorEastAsia"/>
                <w:sz w:val="18"/>
                <w:szCs w:val="18"/>
              </w:rPr>
            </w:pPr>
          </w:p>
        </w:tc>
        <w:tc>
          <w:tcPr>
            <w:tcW w:w="992" w:type="dxa"/>
          </w:tcPr>
          <w:p>
            <w:pPr>
              <w:widowControl w:val="0"/>
              <w:rPr>
                <w:rFonts w:asciiTheme="minorEastAsia" w:hAnsiTheme="minorEastAsia" w:eastAsiaTheme="minorEastAsia"/>
                <w:sz w:val="18"/>
                <w:szCs w:val="18"/>
              </w:rPr>
            </w:pPr>
          </w:p>
        </w:tc>
        <w:tc>
          <w:tcPr>
            <w:tcW w:w="1178" w:type="dxa"/>
          </w:tcPr>
          <w:p>
            <w:pPr>
              <w:widowControl w:val="0"/>
              <w:rPr>
                <w:rFonts w:asciiTheme="minorEastAsia" w:hAnsiTheme="minorEastAsia" w:eastAsiaTheme="minorEastAsia"/>
                <w:sz w:val="18"/>
                <w:szCs w:val="18"/>
              </w:rPr>
            </w:pPr>
          </w:p>
        </w:tc>
        <w:tc>
          <w:tcPr>
            <w:tcW w:w="1374" w:type="dxa"/>
          </w:tcPr>
          <w:p>
            <w:pPr>
              <w:widowControl w:val="0"/>
              <w:rPr>
                <w:rFonts w:asciiTheme="minorEastAsia" w:hAnsiTheme="minorEastAsia" w:eastAsiaTheme="minorEastAsia"/>
                <w:sz w:val="18"/>
                <w:szCs w:val="18"/>
              </w:rPr>
            </w:pPr>
          </w:p>
        </w:tc>
        <w:tc>
          <w:tcPr>
            <w:tcW w:w="992" w:type="dxa"/>
          </w:tcPr>
          <w:p>
            <w:pPr>
              <w:widowControl w:val="0"/>
              <w:rPr>
                <w:rFonts w:asciiTheme="minorEastAsia" w:hAnsiTheme="minorEastAsia" w:eastAsiaTheme="minorEastAsia"/>
                <w:sz w:val="18"/>
                <w:szCs w:val="18"/>
              </w:rPr>
            </w:pPr>
          </w:p>
        </w:tc>
        <w:tc>
          <w:tcPr>
            <w:tcW w:w="850" w:type="dxa"/>
          </w:tcPr>
          <w:p>
            <w:pPr>
              <w:widowControl w:val="0"/>
              <w:rPr>
                <w:rFonts w:asciiTheme="minorEastAsia" w:hAnsiTheme="minorEastAsia" w:eastAsiaTheme="minorEastAsia"/>
                <w:sz w:val="18"/>
                <w:szCs w:val="18"/>
              </w:rPr>
            </w:pPr>
          </w:p>
        </w:tc>
        <w:tc>
          <w:tcPr>
            <w:tcW w:w="936" w:type="dxa"/>
          </w:tcPr>
          <w:p>
            <w:pPr>
              <w:widowControl w:val="0"/>
              <w:rPr>
                <w:rFonts w:asciiTheme="minorEastAsia" w:hAnsiTheme="minorEastAsia" w:eastAsia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pPr>
              <w:widowControl w:val="0"/>
              <w:rPr>
                <w:rFonts w:asciiTheme="minorEastAsia" w:hAnsiTheme="minorEastAsia" w:eastAsiaTheme="minorEastAsia"/>
                <w:sz w:val="18"/>
                <w:szCs w:val="18"/>
              </w:rPr>
            </w:pPr>
          </w:p>
        </w:tc>
        <w:tc>
          <w:tcPr>
            <w:tcW w:w="992" w:type="dxa"/>
          </w:tcPr>
          <w:p>
            <w:pPr>
              <w:widowControl w:val="0"/>
              <w:rPr>
                <w:rFonts w:asciiTheme="minorEastAsia" w:hAnsiTheme="minorEastAsia" w:eastAsiaTheme="minorEastAsia"/>
                <w:sz w:val="18"/>
                <w:szCs w:val="18"/>
              </w:rPr>
            </w:pPr>
          </w:p>
        </w:tc>
        <w:tc>
          <w:tcPr>
            <w:tcW w:w="992" w:type="dxa"/>
          </w:tcPr>
          <w:p>
            <w:pPr>
              <w:widowControl w:val="0"/>
              <w:rPr>
                <w:rFonts w:asciiTheme="minorEastAsia" w:hAnsiTheme="minorEastAsia" w:eastAsiaTheme="minorEastAsia"/>
                <w:sz w:val="18"/>
                <w:szCs w:val="18"/>
              </w:rPr>
            </w:pPr>
          </w:p>
        </w:tc>
        <w:tc>
          <w:tcPr>
            <w:tcW w:w="1178" w:type="dxa"/>
          </w:tcPr>
          <w:p>
            <w:pPr>
              <w:widowControl w:val="0"/>
              <w:rPr>
                <w:rFonts w:asciiTheme="minorEastAsia" w:hAnsiTheme="minorEastAsia" w:eastAsiaTheme="minorEastAsia"/>
                <w:sz w:val="18"/>
                <w:szCs w:val="18"/>
              </w:rPr>
            </w:pPr>
          </w:p>
        </w:tc>
        <w:tc>
          <w:tcPr>
            <w:tcW w:w="1374" w:type="dxa"/>
          </w:tcPr>
          <w:p>
            <w:pPr>
              <w:widowControl w:val="0"/>
              <w:rPr>
                <w:rFonts w:asciiTheme="minorEastAsia" w:hAnsiTheme="minorEastAsia" w:eastAsiaTheme="minorEastAsia"/>
                <w:sz w:val="18"/>
                <w:szCs w:val="18"/>
              </w:rPr>
            </w:pPr>
          </w:p>
        </w:tc>
        <w:tc>
          <w:tcPr>
            <w:tcW w:w="992" w:type="dxa"/>
          </w:tcPr>
          <w:p>
            <w:pPr>
              <w:widowControl w:val="0"/>
              <w:rPr>
                <w:rFonts w:asciiTheme="minorEastAsia" w:hAnsiTheme="minorEastAsia" w:eastAsiaTheme="minorEastAsia"/>
                <w:sz w:val="18"/>
                <w:szCs w:val="18"/>
              </w:rPr>
            </w:pPr>
          </w:p>
        </w:tc>
        <w:tc>
          <w:tcPr>
            <w:tcW w:w="850" w:type="dxa"/>
          </w:tcPr>
          <w:p>
            <w:pPr>
              <w:widowControl w:val="0"/>
              <w:rPr>
                <w:rFonts w:asciiTheme="minorEastAsia" w:hAnsiTheme="minorEastAsia" w:eastAsiaTheme="minorEastAsia"/>
                <w:sz w:val="18"/>
                <w:szCs w:val="18"/>
              </w:rPr>
            </w:pPr>
          </w:p>
        </w:tc>
        <w:tc>
          <w:tcPr>
            <w:tcW w:w="936" w:type="dxa"/>
          </w:tcPr>
          <w:p>
            <w:pPr>
              <w:widowControl w:val="0"/>
              <w:rPr>
                <w:rFonts w:asciiTheme="minorEastAsia" w:hAnsiTheme="minorEastAsia" w:eastAsia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pPr>
              <w:widowControl w:val="0"/>
              <w:rPr>
                <w:rFonts w:asciiTheme="minorEastAsia" w:hAnsiTheme="minorEastAsia" w:eastAsiaTheme="minorEastAsia"/>
                <w:sz w:val="18"/>
                <w:szCs w:val="18"/>
              </w:rPr>
            </w:pPr>
          </w:p>
        </w:tc>
        <w:tc>
          <w:tcPr>
            <w:tcW w:w="992" w:type="dxa"/>
          </w:tcPr>
          <w:p>
            <w:pPr>
              <w:widowControl w:val="0"/>
              <w:rPr>
                <w:rFonts w:asciiTheme="minorEastAsia" w:hAnsiTheme="minorEastAsia" w:eastAsiaTheme="minorEastAsia"/>
                <w:sz w:val="18"/>
                <w:szCs w:val="18"/>
              </w:rPr>
            </w:pPr>
          </w:p>
        </w:tc>
        <w:tc>
          <w:tcPr>
            <w:tcW w:w="992" w:type="dxa"/>
          </w:tcPr>
          <w:p>
            <w:pPr>
              <w:widowControl w:val="0"/>
              <w:rPr>
                <w:rFonts w:asciiTheme="minorEastAsia" w:hAnsiTheme="minorEastAsia" w:eastAsiaTheme="minorEastAsia"/>
                <w:sz w:val="18"/>
                <w:szCs w:val="18"/>
              </w:rPr>
            </w:pPr>
          </w:p>
        </w:tc>
        <w:tc>
          <w:tcPr>
            <w:tcW w:w="1178" w:type="dxa"/>
          </w:tcPr>
          <w:p>
            <w:pPr>
              <w:widowControl w:val="0"/>
              <w:rPr>
                <w:rFonts w:asciiTheme="minorEastAsia" w:hAnsiTheme="minorEastAsia" w:eastAsiaTheme="minorEastAsia"/>
                <w:sz w:val="18"/>
                <w:szCs w:val="18"/>
              </w:rPr>
            </w:pPr>
          </w:p>
        </w:tc>
        <w:tc>
          <w:tcPr>
            <w:tcW w:w="1374" w:type="dxa"/>
          </w:tcPr>
          <w:p>
            <w:pPr>
              <w:widowControl w:val="0"/>
              <w:rPr>
                <w:rFonts w:asciiTheme="minorEastAsia" w:hAnsiTheme="minorEastAsia" w:eastAsiaTheme="minorEastAsia"/>
                <w:sz w:val="18"/>
                <w:szCs w:val="18"/>
              </w:rPr>
            </w:pPr>
          </w:p>
        </w:tc>
        <w:tc>
          <w:tcPr>
            <w:tcW w:w="992" w:type="dxa"/>
          </w:tcPr>
          <w:p>
            <w:pPr>
              <w:widowControl w:val="0"/>
              <w:rPr>
                <w:rFonts w:asciiTheme="minorEastAsia" w:hAnsiTheme="minorEastAsia" w:eastAsiaTheme="minorEastAsia"/>
                <w:sz w:val="18"/>
                <w:szCs w:val="18"/>
              </w:rPr>
            </w:pPr>
          </w:p>
        </w:tc>
        <w:tc>
          <w:tcPr>
            <w:tcW w:w="850" w:type="dxa"/>
          </w:tcPr>
          <w:p>
            <w:pPr>
              <w:widowControl w:val="0"/>
              <w:rPr>
                <w:rFonts w:asciiTheme="minorEastAsia" w:hAnsiTheme="minorEastAsia" w:eastAsiaTheme="minorEastAsia"/>
                <w:sz w:val="18"/>
                <w:szCs w:val="18"/>
              </w:rPr>
            </w:pPr>
          </w:p>
        </w:tc>
        <w:tc>
          <w:tcPr>
            <w:tcW w:w="936" w:type="dxa"/>
          </w:tcPr>
          <w:p>
            <w:pPr>
              <w:widowControl w:val="0"/>
              <w:rPr>
                <w:rFonts w:asciiTheme="minorEastAsia" w:hAnsiTheme="minorEastAsia" w:eastAsiaTheme="minorEastAsia"/>
                <w:sz w:val="18"/>
                <w:szCs w:val="18"/>
              </w:rPr>
            </w:pPr>
          </w:p>
        </w:tc>
      </w:tr>
    </w:tbl>
    <w:p>
      <w:pPr>
        <w:rPr>
          <w:rFonts w:asciiTheme="minorEastAsia" w:hAnsiTheme="minorEastAsia" w:eastAsiaTheme="minorEastAsia"/>
          <w:sz w:val="21"/>
          <w:szCs w:val="21"/>
        </w:rPr>
        <w:sectPr>
          <w:pgSz w:w="11906" w:h="16838"/>
          <w:pgMar w:top="1440" w:right="1797" w:bottom="1440" w:left="1797" w:header="851" w:footer="992" w:gutter="0"/>
          <w:cols w:space="425" w:num="1"/>
          <w:docGrid w:type="lines" w:linePitch="435" w:charSpace="0"/>
        </w:sectPr>
      </w:pPr>
    </w:p>
    <w:p>
      <w:pPr>
        <w:jc w:val="center"/>
        <w:outlineLvl w:val="0"/>
        <w:rPr>
          <w:rFonts w:ascii="方正小标宋_GBK" w:hAnsi="黑体" w:eastAsia="方正小标宋_GBK"/>
          <w:b/>
          <w:bCs/>
          <w:sz w:val="28"/>
          <w:szCs w:val="28"/>
        </w:rPr>
      </w:pPr>
      <w:bookmarkStart w:id="259" w:name="_Toc119336654"/>
      <w:bookmarkStart w:id="260" w:name="_Toc117541372"/>
      <w:r>
        <w:rPr>
          <w:rFonts w:hint="eastAsia" w:ascii="方正小标宋_GBK" w:hAnsi="黑体" w:eastAsia="方正小标宋_GBK"/>
          <w:b/>
          <w:bCs/>
          <w:sz w:val="28"/>
          <w:szCs w:val="28"/>
        </w:rPr>
        <w:t>附录K</w:t>
      </w:r>
      <w:bookmarkEnd w:id="259"/>
      <w:bookmarkEnd w:id="260"/>
    </w:p>
    <w:p>
      <w:pPr>
        <w:jc w:val="center"/>
        <w:rPr>
          <w:rFonts w:ascii="方正小标宋_GBK" w:hAnsi="黑体" w:eastAsia="方正小标宋_GBK"/>
          <w:b/>
          <w:bCs/>
          <w:sz w:val="28"/>
          <w:szCs w:val="28"/>
        </w:rPr>
      </w:pPr>
      <w:r>
        <w:rPr>
          <w:rFonts w:hint="eastAsia" w:ascii="方正小标宋_GBK" w:hAnsi="黑体" w:eastAsia="方正小标宋_GBK"/>
          <w:b/>
          <w:bCs/>
          <w:sz w:val="28"/>
          <w:szCs w:val="28"/>
        </w:rPr>
        <w:t>（资料性附录）</w:t>
      </w:r>
    </w:p>
    <w:p>
      <w:pPr>
        <w:jc w:val="center"/>
        <w:rPr>
          <w:rFonts w:ascii="方正小标宋_GBK" w:hAnsi="黑体" w:eastAsia="方正小标宋_GBK"/>
          <w:b/>
          <w:bCs/>
          <w:sz w:val="28"/>
          <w:szCs w:val="28"/>
        </w:rPr>
      </w:pPr>
    </w:p>
    <w:p>
      <w:pPr>
        <w:jc w:val="center"/>
        <w:outlineLvl w:val="1"/>
        <w:rPr>
          <w:rFonts w:ascii="方正小标宋_GBK" w:hAnsi="黑体" w:eastAsia="方正小标宋_GBK"/>
          <w:b/>
          <w:bCs/>
          <w:sz w:val="28"/>
          <w:szCs w:val="28"/>
        </w:rPr>
      </w:pPr>
      <w:bookmarkStart w:id="261" w:name="_Toc119336655"/>
      <w:bookmarkStart w:id="262" w:name="_Toc117541373"/>
      <w:r>
        <w:rPr>
          <w:rFonts w:hint="eastAsia" w:ascii="方正小标宋_GBK" w:hAnsi="黑体" w:eastAsia="方正小标宋_GBK"/>
          <w:b/>
          <w:bCs/>
          <w:sz w:val="28"/>
          <w:szCs w:val="28"/>
        </w:rPr>
        <w:t>需录入信息系统的规模以上水利工程</w:t>
      </w:r>
      <w:bookmarkEnd w:id="261"/>
      <w:bookmarkEnd w:id="262"/>
    </w:p>
    <w:tbl>
      <w:tblPr>
        <w:tblStyle w:val="34"/>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70"/>
        <w:gridCol w:w="1997"/>
        <w:gridCol w:w="566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64" w:hRule="atLeast"/>
        </w:trPr>
        <w:tc>
          <w:tcPr>
            <w:tcW w:w="510" w:type="pct"/>
            <w:vAlign w:val="center"/>
          </w:tcPr>
          <w:p>
            <w:pPr>
              <w:jc w:val="center"/>
              <w:rPr>
                <w:rFonts w:cs="黑体" w:asciiTheme="minorEastAsia" w:hAnsiTheme="minorEastAsia" w:eastAsiaTheme="minorEastAsia"/>
                <w:b/>
                <w:sz w:val="24"/>
                <w:szCs w:val="24"/>
              </w:rPr>
            </w:pPr>
            <w:r>
              <w:rPr>
                <w:rFonts w:hint="eastAsia" w:cs="黑体" w:asciiTheme="minorEastAsia" w:hAnsiTheme="minorEastAsia" w:eastAsiaTheme="minorEastAsia"/>
                <w:b/>
                <w:sz w:val="24"/>
                <w:szCs w:val="24"/>
              </w:rPr>
              <w:t>序号</w:t>
            </w:r>
          </w:p>
        </w:tc>
        <w:tc>
          <w:tcPr>
            <w:tcW w:w="1171" w:type="pct"/>
            <w:vAlign w:val="center"/>
          </w:tcPr>
          <w:p>
            <w:pPr>
              <w:jc w:val="center"/>
              <w:rPr>
                <w:rFonts w:cs="黑体" w:asciiTheme="minorEastAsia" w:hAnsiTheme="minorEastAsia" w:eastAsiaTheme="minorEastAsia"/>
                <w:b/>
                <w:sz w:val="24"/>
                <w:szCs w:val="24"/>
              </w:rPr>
            </w:pPr>
            <w:r>
              <w:rPr>
                <w:rFonts w:hint="eastAsia" w:cs="黑体" w:asciiTheme="minorEastAsia" w:hAnsiTheme="minorEastAsia" w:eastAsiaTheme="minorEastAsia"/>
                <w:b/>
                <w:sz w:val="24"/>
                <w:szCs w:val="24"/>
              </w:rPr>
              <w:t>工程类别</w:t>
            </w:r>
          </w:p>
        </w:tc>
        <w:tc>
          <w:tcPr>
            <w:tcW w:w="3319" w:type="pct"/>
            <w:vAlign w:val="center"/>
          </w:tcPr>
          <w:p>
            <w:pPr>
              <w:jc w:val="center"/>
              <w:rPr>
                <w:rFonts w:cs="黑体" w:asciiTheme="minorEastAsia" w:hAnsiTheme="minorEastAsia" w:eastAsiaTheme="minorEastAsia"/>
                <w:b/>
                <w:sz w:val="24"/>
                <w:szCs w:val="24"/>
              </w:rPr>
            </w:pPr>
            <w:r>
              <w:rPr>
                <w:rFonts w:hint="eastAsia" w:cs="黑体" w:asciiTheme="minorEastAsia" w:hAnsiTheme="minorEastAsia" w:eastAsiaTheme="minorEastAsia"/>
                <w:b/>
                <w:sz w:val="24"/>
                <w:szCs w:val="24"/>
              </w:rPr>
              <w:t>规模以上的参考标准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7" w:hRule="atLeast"/>
        </w:trPr>
        <w:tc>
          <w:tcPr>
            <w:tcW w:w="510" w:type="pct"/>
            <w:vAlign w:val="center"/>
          </w:tcPr>
          <w:p>
            <w:pPr>
              <w:jc w:val="center"/>
              <w:rPr>
                <w:rFonts w:cs="仿宋_GB2312" w:asciiTheme="minorEastAsia" w:hAnsiTheme="minorEastAsia" w:eastAsiaTheme="minorEastAsia"/>
                <w:sz w:val="24"/>
                <w:szCs w:val="24"/>
              </w:rPr>
            </w:pPr>
            <w:r>
              <w:rPr>
                <w:rFonts w:hint="eastAsia" w:cs="仿宋_GB2312" w:asciiTheme="minorEastAsia" w:hAnsiTheme="minorEastAsia" w:eastAsiaTheme="minorEastAsia"/>
                <w:sz w:val="24"/>
                <w:szCs w:val="24"/>
              </w:rPr>
              <w:t>1</w:t>
            </w:r>
          </w:p>
        </w:tc>
        <w:tc>
          <w:tcPr>
            <w:tcW w:w="1171" w:type="pct"/>
            <w:vAlign w:val="center"/>
          </w:tcPr>
          <w:p>
            <w:pPr>
              <w:jc w:val="center"/>
              <w:rPr>
                <w:rFonts w:cs="仿宋_GB2312" w:asciiTheme="minorEastAsia" w:hAnsiTheme="minorEastAsia" w:eastAsiaTheme="minorEastAsia"/>
                <w:sz w:val="24"/>
                <w:szCs w:val="24"/>
              </w:rPr>
            </w:pPr>
            <w:r>
              <w:rPr>
                <w:rFonts w:hint="eastAsia" w:cs="仿宋_GB2312" w:asciiTheme="minorEastAsia" w:hAnsiTheme="minorEastAsia" w:eastAsiaTheme="minorEastAsia"/>
                <w:sz w:val="24"/>
                <w:szCs w:val="24"/>
              </w:rPr>
              <w:t>水库</w:t>
            </w:r>
          </w:p>
        </w:tc>
        <w:tc>
          <w:tcPr>
            <w:tcW w:w="3319" w:type="pct"/>
            <w:vAlign w:val="center"/>
          </w:tcPr>
          <w:p>
            <w:pPr>
              <w:jc w:val="center"/>
              <w:rPr>
                <w:rFonts w:cs="仿宋_GB2312" w:asciiTheme="minorEastAsia" w:hAnsiTheme="minorEastAsia" w:eastAsiaTheme="minorEastAsia"/>
                <w:sz w:val="24"/>
                <w:szCs w:val="24"/>
              </w:rPr>
            </w:pPr>
            <w:r>
              <w:rPr>
                <w:rFonts w:hint="eastAsia" w:cs="仿宋_GB2312" w:asciiTheme="minorEastAsia" w:hAnsiTheme="minorEastAsia" w:eastAsiaTheme="minorEastAsia"/>
                <w:sz w:val="24"/>
                <w:szCs w:val="24"/>
              </w:rPr>
              <w:t>库容≥10万立方米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7" w:hRule="atLeast"/>
        </w:trPr>
        <w:tc>
          <w:tcPr>
            <w:tcW w:w="510" w:type="pct"/>
            <w:vAlign w:val="center"/>
          </w:tcPr>
          <w:p>
            <w:pPr>
              <w:jc w:val="center"/>
              <w:rPr>
                <w:rFonts w:cs="仿宋_GB2312" w:asciiTheme="minorEastAsia" w:hAnsiTheme="minorEastAsia" w:eastAsiaTheme="minorEastAsia"/>
                <w:sz w:val="24"/>
                <w:szCs w:val="24"/>
              </w:rPr>
            </w:pPr>
            <w:r>
              <w:rPr>
                <w:rFonts w:hint="eastAsia" w:cs="仿宋_GB2312" w:asciiTheme="minorEastAsia" w:hAnsiTheme="minorEastAsia" w:eastAsiaTheme="minorEastAsia"/>
                <w:sz w:val="24"/>
                <w:szCs w:val="24"/>
              </w:rPr>
              <w:t>2</w:t>
            </w:r>
          </w:p>
        </w:tc>
        <w:tc>
          <w:tcPr>
            <w:tcW w:w="1171" w:type="pct"/>
            <w:vAlign w:val="center"/>
          </w:tcPr>
          <w:p>
            <w:pPr>
              <w:jc w:val="center"/>
              <w:rPr>
                <w:rFonts w:cs="仿宋_GB2312" w:asciiTheme="minorEastAsia" w:hAnsiTheme="minorEastAsia" w:eastAsiaTheme="minorEastAsia"/>
                <w:sz w:val="24"/>
                <w:szCs w:val="24"/>
              </w:rPr>
            </w:pPr>
            <w:r>
              <w:rPr>
                <w:rFonts w:hint="eastAsia" w:cs="仿宋_GB2312" w:asciiTheme="minorEastAsia" w:hAnsiTheme="minorEastAsia" w:eastAsiaTheme="minorEastAsia"/>
                <w:sz w:val="24"/>
                <w:szCs w:val="24"/>
              </w:rPr>
              <w:t>水电站</w:t>
            </w:r>
          </w:p>
        </w:tc>
        <w:tc>
          <w:tcPr>
            <w:tcW w:w="3319" w:type="pct"/>
            <w:vAlign w:val="center"/>
          </w:tcPr>
          <w:p>
            <w:pPr>
              <w:jc w:val="center"/>
              <w:rPr>
                <w:rFonts w:cs="仿宋_GB2312" w:asciiTheme="minorEastAsia" w:hAnsiTheme="minorEastAsia" w:eastAsiaTheme="minorEastAsia"/>
                <w:sz w:val="24"/>
                <w:szCs w:val="24"/>
              </w:rPr>
            </w:pPr>
            <w:r>
              <w:rPr>
                <w:rFonts w:hint="eastAsia" w:cs="仿宋_GB2312" w:asciiTheme="minorEastAsia" w:hAnsiTheme="minorEastAsia" w:eastAsiaTheme="minorEastAsia"/>
                <w:sz w:val="24"/>
                <w:szCs w:val="24"/>
              </w:rPr>
              <w:t>装机容量＞5万千瓦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7" w:hRule="atLeast"/>
        </w:trPr>
        <w:tc>
          <w:tcPr>
            <w:tcW w:w="510" w:type="pct"/>
            <w:vAlign w:val="center"/>
          </w:tcPr>
          <w:p>
            <w:pPr>
              <w:jc w:val="center"/>
              <w:rPr>
                <w:rFonts w:cs="仿宋_GB2312" w:asciiTheme="minorEastAsia" w:hAnsiTheme="minorEastAsia" w:eastAsiaTheme="minorEastAsia"/>
                <w:sz w:val="24"/>
                <w:szCs w:val="24"/>
              </w:rPr>
            </w:pPr>
            <w:r>
              <w:rPr>
                <w:rFonts w:hint="eastAsia" w:cs="仿宋_GB2312" w:asciiTheme="minorEastAsia" w:hAnsiTheme="minorEastAsia" w:eastAsiaTheme="minorEastAsia"/>
                <w:sz w:val="24"/>
                <w:szCs w:val="24"/>
              </w:rPr>
              <w:t>3</w:t>
            </w:r>
          </w:p>
        </w:tc>
        <w:tc>
          <w:tcPr>
            <w:tcW w:w="1171" w:type="pct"/>
            <w:vAlign w:val="center"/>
          </w:tcPr>
          <w:p>
            <w:pPr>
              <w:jc w:val="center"/>
              <w:rPr>
                <w:rFonts w:cs="仿宋_GB2312" w:asciiTheme="minorEastAsia" w:hAnsiTheme="minorEastAsia" w:eastAsiaTheme="minorEastAsia"/>
                <w:sz w:val="24"/>
                <w:szCs w:val="24"/>
              </w:rPr>
            </w:pPr>
            <w:r>
              <w:rPr>
                <w:rFonts w:hint="eastAsia" w:cs="仿宋_GB2312" w:asciiTheme="minorEastAsia" w:hAnsiTheme="minorEastAsia" w:eastAsiaTheme="minorEastAsia"/>
                <w:sz w:val="24"/>
                <w:szCs w:val="24"/>
              </w:rPr>
              <w:t>小水电站</w:t>
            </w:r>
          </w:p>
        </w:tc>
        <w:tc>
          <w:tcPr>
            <w:tcW w:w="3319" w:type="pct"/>
            <w:vAlign w:val="center"/>
          </w:tcPr>
          <w:p>
            <w:pPr>
              <w:jc w:val="center"/>
              <w:rPr>
                <w:rFonts w:cs="仿宋_GB2312" w:asciiTheme="minorEastAsia" w:hAnsiTheme="minorEastAsia" w:eastAsiaTheme="minorEastAsia"/>
                <w:sz w:val="24"/>
                <w:szCs w:val="24"/>
              </w:rPr>
            </w:pPr>
            <w:r>
              <w:rPr>
                <w:rFonts w:hint="eastAsia" w:cs="仿宋_GB2312" w:asciiTheme="minorEastAsia" w:hAnsiTheme="minorEastAsia" w:eastAsiaTheme="minorEastAsia"/>
                <w:sz w:val="24"/>
                <w:szCs w:val="24"/>
              </w:rPr>
              <w:t>5万千瓦≥装机容量≥500千瓦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7" w:hRule="atLeast"/>
        </w:trPr>
        <w:tc>
          <w:tcPr>
            <w:tcW w:w="510" w:type="pct"/>
            <w:vAlign w:val="center"/>
          </w:tcPr>
          <w:p>
            <w:pPr>
              <w:jc w:val="center"/>
              <w:rPr>
                <w:rFonts w:cs="仿宋_GB2312" w:asciiTheme="minorEastAsia" w:hAnsiTheme="minorEastAsia" w:eastAsiaTheme="minorEastAsia"/>
                <w:sz w:val="24"/>
                <w:szCs w:val="24"/>
              </w:rPr>
            </w:pPr>
            <w:r>
              <w:rPr>
                <w:rFonts w:hint="eastAsia" w:cs="仿宋_GB2312" w:asciiTheme="minorEastAsia" w:hAnsiTheme="minorEastAsia" w:eastAsiaTheme="minorEastAsia"/>
                <w:sz w:val="24"/>
                <w:szCs w:val="24"/>
              </w:rPr>
              <w:t>4</w:t>
            </w:r>
          </w:p>
        </w:tc>
        <w:tc>
          <w:tcPr>
            <w:tcW w:w="1171" w:type="pct"/>
            <w:vAlign w:val="center"/>
          </w:tcPr>
          <w:p>
            <w:pPr>
              <w:jc w:val="center"/>
              <w:rPr>
                <w:rFonts w:cs="仿宋_GB2312" w:asciiTheme="minorEastAsia" w:hAnsiTheme="minorEastAsia" w:eastAsiaTheme="minorEastAsia"/>
                <w:sz w:val="24"/>
                <w:szCs w:val="24"/>
              </w:rPr>
            </w:pPr>
            <w:r>
              <w:rPr>
                <w:rFonts w:hint="eastAsia" w:cs="仿宋_GB2312" w:asciiTheme="minorEastAsia" w:hAnsiTheme="minorEastAsia" w:eastAsiaTheme="minorEastAsia"/>
                <w:sz w:val="24"/>
                <w:szCs w:val="24"/>
              </w:rPr>
              <w:t>水闸</w:t>
            </w:r>
          </w:p>
        </w:tc>
        <w:tc>
          <w:tcPr>
            <w:tcW w:w="3319" w:type="pct"/>
            <w:vAlign w:val="center"/>
          </w:tcPr>
          <w:p>
            <w:pPr>
              <w:jc w:val="center"/>
              <w:rPr>
                <w:rFonts w:cs="仿宋_GB2312" w:asciiTheme="minorEastAsia" w:hAnsiTheme="minorEastAsia" w:eastAsiaTheme="minorEastAsia"/>
                <w:sz w:val="24"/>
                <w:szCs w:val="24"/>
              </w:rPr>
            </w:pPr>
            <w:r>
              <w:rPr>
                <w:rFonts w:hint="eastAsia" w:cs="仿宋_GB2312" w:asciiTheme="minorEastAsia" w:hAnsiTheme="minorEastAsia" w:eastAsiaTheme="minorEastAsia"/>
                <w:sz w:val="24"/>
                <w:szCs w:val="24"/>
              </w:rPr>
              <w:t>流量≥5立方米/秒</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7" w:hRule="atLeast"/>
        </w:trPr>
        <w:tc>
          <w:tcPr>
            <w:tcW w:w="510" w:type="pct"/>
            <w:vAlign w:val="center"/>
          </w:tcPr>
          <w:p>
            <w:pPr>
              <w:jc w:val="center"/>
              <w:rPr>
                <w:rFonts w:cs="仿宋_GB2312" w:asciiTheme="minorEastAsia" w:hAnsiTheme="minorEastAsia" w:eastAsiaTheme="minorEastAsia"/>
                <w:sz w:val="24"/>
                <w:szCs w:val="24"/>
              </w:rPr>
            </w:pPr>
            <w:r>
              <w:rPr>
                <w:rFonts w:hint="eastAsia" w:cs="仿宋_GB2312" w:asciiTheme="minorEastAsia" w:hAnsiTheme="minorEastAsia" w:eastAsiaTheme="minorEastAsia"/>
                <w:sz w:val="24"/>
                <w:szCs w:val="24"/>
              </w:rPr>
              <w:t>5</w:t>
            </w:r>
          </w:p>
        </w:tc>
        <w:tc>
          <w:tcPr>
            <w:tcW w:w="1171" w:type="pct"/>
            <w:vAlign w:val="center"/>
          </w:tcPr>
          <w:p>
            <w:pPr>
              <w:jc w:val="center"/>
              <w:rPr>
                <w:rFonts w:cs="仿宋_GB2312" w:asciiTheme="minorEastAsia" w:hAnsiTheme="minorEastAsia" w:eastAsiaTheme="minorEastAsia"/>
                <w:sz w:val="24"/>
                <w:szCs w:val="24"/>
              </w:rPr>
            </w:pPr>
            <w:r>
              <w:rPr>
                <w:rFonts w:hint="eastAsia" w:cs="仿宋_GB2312" w:asciiTheme="minorEastAsia" w:hAnsiTheme="minorEastAsia" w:eastAsiaTheme="minorEastAsia"/>
                <w:sz w:val="24"/>
                <w:szCs w:val="24"/>
              </w:rPr>
              <w:t>泵站</w:t>
            </w:r>
          </w:p>
        </w:tc>
        <w:tc>
          <w:tcPr>
            <w:tcW w:w="3319" w:type="pct"/>
            <w:vAlign w:val="center"/>
          </w:tcPr>
          <w:p>
            <w:pPr>
              <w:jc w:val="center"/>
              <w:rPr>
                <w:rFonts w:cs="仿宋_GB2312" w:asciiTheme="minorEastAsia" w:hAnsiTheme="minorEastAsia" w:eastAsiaTheme="minorEastAsia"/>
                <w:sz w:val="24"/>
                <w:szCs w:val="24"/>
              </w:rPr>
            </w:pPr>
            <w:r>
              <w:rPr>
                <w:rFonts w:hint="eastAsia" w:cs="仿宋_GB2312" w:asciiTheme="minorEastAsia" w:hAnsiTheme="minorEastAsia" w:eastAsiaTheme="minorEastAsia"/>
                <w:sz w:val="24"/>
                <w:szCs w:val="24"/>
              </w:rPr>
              <w:t>流量≥10立方米/秒或装机功率≥1000千瓦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7" w:hRule="atLeast"/>
        </w:trPr>
        <w:tc>
          <w:tcPr>
            <w:tcW w:w="510" w:type="pct"/>
            <w:vAlign w:val="center"/>
          </w:tcPr>
          <w:p>
            <w:pPr>
              <w:jc w:val="center"/>
              <w:rPr>
                <w:rFonts w:cs="仿宋_GB2312" w:asciiTheme="minorEastAsia" w:hAnsiTheme="minorEastAsia" w:eastAsiaTheme="minorEastAsia"/>
                <w:sz w:val="24"/>
                <w:szCs w:val="24"/>
              </w:rPr>
            </w:pPr>
            <w:r>
              <w:rPr>
                <w:rFonts w:hint="eastAsia" w:cs="仿宋_GB2312" w:asciiTheme="minorEastAsia" w:hAnsiTheme="minorEastAsia" w:eastAsiaTheme="minorEastAsia"/>
                <w:sz w:val="24"/>
                <w:szCs w:val="24"/>
              </w:rPr>
              <w:t>6</w:t>
            </w:r>
          </w:p>
        </w:tc>
        <w:tc>
          <w:tcPr>
            <w:tcW w:w="1171" w:type="pct"/>
            <w:vAlign w:val="center"/>
          </w:tcPr>
          <w:p>
            <w:pPr>
              <w:jc w:val="center"/>
              <w:rPr>
                <w:rFonts w:cs="仿宋_GB2312" w:asciiTheme="minorEastAsia" w:hAnsiTheme="minorEastAsia" w:eastAsiaTheme="minorEastAsia"/>
                <w:sz w:val="24"/>
                <w:szCs w:val="24"/>
              </w:rPr>
            </w:pPr>
            <w:r>
              <w:rPr>
                <w:rFonts w:hint="eastAsia" w:cs="仿宋_GB2312" w:asciiTheme="minorEastAsia" w:hAnsiTheme="minorEastAsia" w:eastAsiaTheme="minorEastAsia"/>
                <w:sz w:val="24"/>
                <w:szCs w:val="24"/>
              </w:rPr>
              <w:t>堤防</w:t>
            </w:r>
          </w:p>
        </w:tc>
        <w:tc>
          <w:tcPr>
            <w:tcW w:w="3319" w:type="pct"/>
            <w:vAlign w:val="center"/>
          </w:tcPr>
          <w:p>
            <w:pPr>
              <w:jc w:val="center"/>
              <w:rPr>
                <w:rFonts w:cs="仿宋_GB2312" w:asciiTheme="minorEastAsia" w:hAnsiTheme="minorEastAsia" w:eastAsiaTheme="minorEastAsia"/>
                <w:sz w:val="24"/>
                <w:szCs w:val="24"/>
              </w:rPr>
            </w:pPr>
            <w:r>
              <w:rPr>
                <w:rFonts w:hint="eastAsia" w:cs="仿宋_GB2312" w:asciiTheme="minorEastAsia" w:hAnsiTheme="minorEastAsia" w:eastAsiaTheme="minorEastAsia"/>
                <w:sz w:val="24"/>
                <w:szCs w:val="24"/>
              </w:rPr>
              <w:t>堤防等级≥5级（洪水重现期≥10年一遇）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7" w:hRule="atLeast"/>
        </w:trPr>
        <w:tc>
          <w:tcPr>
            <w:tcW w:w="510" w:type="pct"/>
            <w:vAlign w:val="center"/>
          </w:tcPr>
          <w:p>
            <w:pPr>
              <w:jc w:val="center"/>
              <w:rPr>
                <w:rFonts w:cs="仿宋_GB2312" w:asciiTheme="minorEastAsia" w:hAnsiTheme="minorEastAsia" w:eastAsiaTheme="minorEastAsia"/>
                <w:sz w:val="24"/>
                <w:szCs w:val="24"/>
              </w:rPr>
            </w:pPr>
            <w:r>
              <w:rPr>
                <w:rFonts w:hint="eastAsia" w:cs="仿宋_GB2312" w:asciiTheme="minorEastAsia" w:hAnsiTheme="minorEastAsia" w:eastAsiaTheme="minorEastAsia"/>
                <w:sz w:val="24"/>
                <w:szCs w:val="24"/>
              </w:rPr>
              <w:t>7</w:t>
            </w:r>
          </w:p>
        </w:tc>
        <w:tc>
          <w:tcPr>
            <w:tcW w:w="1171" w:type="pct"/>
            <w:vAlign w:val="center"/>
          </w:tcPr>
          <w:p>
            <w:pPr>
              <w:jc w:val="center"/>
              <w:rPr>
                <w:rFonts w:cs="仿宋_GB2312" w:asciiTheme="minorEastAsia" w:hAnsiTheme="minorEastAsia" w:eastAsiaTheme="minorEastAsia"/>
                <w:sz w:val="24"/>
                <w:szCs w:val="24"/>
              </w:rPr>
            </w:pPr>
            <w:r>
              <w:rPr>
                <w:rFonts w:hint="eastAsia" w:cs="仿宋_GB2312" w:asciiTheme="minorEastAsia" w:hAnsiTheme="minorEastAsia" w:eastAsiaTheme="minorEastAsia"/>
                <w:sz w:val="24"/>
                <w:szCs w:val="24"/>
              </w:rPr>
              <w:t>引调水工程</w:t>
            </w:r>
          </w:p>
        </w:tc>
        <w:tc>
          <w:tcPr>
            <w:tcW w:w="3319" w:type="pct"/>
            <w:vAlign w:val="center"/>
          </w:tcPr>
          <w:p>
            <w:pPr>
              <w:jc w:val="center"/>
              <w:rPr>
                <w:rFonts w:cs="仿宋_GB2312" w:asciiTheme="minorEastAsia" w:hAnsiTheme="minorEastAsia" w:eastAsiaTheme="minorEastAsia"/>
                <w:sz w:val="24"/>
                <w:szCs w:val="24"/>
              </w:rPr>
            </w:pPr>
            <w:r>
              <w:rPr>
                <w:rFonts w:hint="eastAsia" w:cs="仿宋_GB2312" w:asciiTheme="minorEastAsia" w:hAnsiTheme="minorEastAsia" w:eastAsiaTheme="minorEastAsia"/>
                <w:sz w:val="24"/>
                <w:szCs w:val="24"/>
              </w:rPr>
              <w:t>流量≥1立方米（暂定）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7" w:hRule="atLeast"/>
        </w:trPr>
        <w:tc>
          <w:tcPr>
            <w:tcW w:w="510" w:type="pct"/>
            <w:vAlign w:val="center"/>
          </w:tcPr>
          <w:p>
            <w:pPr>
              <w:jc w:val="center"/>
              <w:rPr>
                <w:rFonts w:cs="仿宋_GB2312" w:asciiTheme="minorEastAsia" w:hAnsiTheme="minorEastAsia" w:eastAsiaTheme="minorEastAsia"/>
                <w:sz w:val="24"/>
                <w:szCs w:val="24"/>
              </w:rPr>
            </w:pPr>
            <w:r>
              <w:rPr>
                <w:rFonts w:hint="eastAsia" w:cs="仿宋_GB2312" w:asciiTheme="minorEastAsia" w:hAnsiTheme="minorEastAsia" w:eastAsiaTheme="minorEastAsia"/>
                <w:sz w:val="24"/>
                <w:szCs w:val="24"/>
              </w:rPr>
              <w:t>8</w:t>
            </w:r>
          </w:p>
        </w:tc>
        <w:tc>
          <w:tcPr>
            <w:tcW w:w="1171" w:type="pct"/>
            <w:vAlign w:val="center"/>
          </w:tcPr>
          <w:p>
            <w:pPr>
              <w:jc w:val="center"/>
              <w:rPr>
                <w:rFonts w:cs="仿宋_GB2312" w:asciiTheme="minorEastAsia" w:hAnsiTheme="minorEastAsia" w:eastAsiaTheme="minorEastAsia"/>
                <w:sz w:val="24"/>
                <w:szCs w:val="24"/>
              </w:rPr>
            </w:pPr>
            <w:r>
              <w:rPr>
                <w:rFonts w:hint="eastAsia" w:cs="仿宋_GB2312" w:asciiTheme="minorEastAsia" w:hAnsiTheme="minorEastAsia" w:eastAsiaTheme="minorEastAsia"/>
                <w:sz w:val="24"/>
                <w:szCs w:val="24"/>
              </w:rPr>
              <w:t>灌区工程</w:t>
            </w:r>
          </w:p>
        </w:tc>
        <w:tc>
          <w:tcPr>
            <w:tcW w:w="3319" w:type="pct"/>
            <w:vAlign w:val="center"/>
          </w:tcPr>
          <w:p>
            <w:pPr>
              <w:jc w:val="center"/>
              <w:rPr>
                <w:rFonts w:cs="仿宋_GB2312" w:asciiTheme="minorEastAsia" w:hAnsiTheme="minorEastAsia" w:eastAsiaTheme="minorEastAsia"/>
                <w:sz w:val="24"/>
                <w:szCs w:val="24"/>
              </w:rPr>
            </w:pPr>
            <w:r>
              <w:rPr>
                <w:rFonts w:hint="eastAsia" w:cs="仿宋_GB2312" w:asciiTheme="minorEastAsia" w:hAnsiTheme="minorEastAsia" w:eastAsiaTheme="minorEastAsia"/>
                <w:sz w:val="24"/>
                <w:szCs w:val="24"/>
              </w:rPr>
              <w:t>灌溉面积≥5万亩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7" w:hRule="atLeast"/>
        </w:trPr>
        <w:tc>
          <w:tcPr>
            <w:tcW w:w="510" w:type="pct"/>
            <w:vAlign w:val="center"/>
          </w:tcPr>
          <w:p>
            <w:pPr>
              <w:jc w:val="center"/>
              <w:rPr>
                <w:rFonts w:cs="仿宋_GB2312" w:asciiTheme="minorEastAsia" w:hAnsiTheme="minorEastAsia" w:eastAsiaTheme="minorEastAsia"/>
                <w:sz w:val="24"/>
                <w:szCs w:val="24"/>
              </w:rPr>
            </w:pPr>
            <w:r>
              <w:rPr>
                <w:rFonts w:hint="eastAsia" w:cs="仿宋_GB2312" w:asciiTheme="minorEastAsia" w:hAnsiTheme="minorEastAsia" w:eastAsiaTheme="minorEastAsia"/>
                <w:sz w:val="24"/>
                <w:szCs w:val="24"/>
              </w:rPr>
              <w:t>9</w:t>
            </w:r>
          </w:p>
        </w:tc>
        <w:tc>
          <w:tcPr>
            <w:tcW w:w="1171" w:type="pct"/>
            <w:vAlign w:val="center"/>
          </w:tcPr>
          <w:p>
            <w:pPr>
              <w:jc w:val="center"/>
              <w:rPr>
                <w:rFonts w:cs="仿宋_GB2312" w:asciiTheme="minorEastAsia" w:hAnsiTheme="minorEastAsia" w:eastAsiaTheme="minorEastAsia"/>
                <w:sz w:val="24"/>
                <w:szCs w:val="24"/>
              </w:rPr>
            </w:pPr>
            <w:r>
              <w:rPr>
                <w:rFonts w:hint="eastAsia" w:cs="仿宋_GB2312" w:asciiTheme="minorEastAsia" w:hAnsiTheme="minorEastAsia" w:eastAsiaTheme="minorEastAsia"/>
                <w:sz w:val="24"/>
                <w:szCs w:val="24"/>
              </w:rPr>
              <w:t>淤地坝</w:t>
            </w:r>
          </w:p>
        </w:tc>
        <w:tc>
          <w:tcPr>
            <w:tcW w:w="3319" w:type="pct"/>
            <w:vAlign w:val="center"/>
          </w:tcPr>
          <w:p>
            <w:pPr>
              <w:jc w:val="center"/>
              <w:rPr>
                <w:rFonts w:cs="仿宋_GB2312" w:asciiTheme="minorEastAsia" w:hAnsiTheme="minorEastAsia" w:eastAsiaTheme="minorEastAsia"/>
                <w:sz w:val="24"/>
                <w:szCs w:val="24"/>
              </w:rPr>
            </w:pPr>
            <w:r>
              <w:rPr>
                <w:rFonts w:hint="eastAsia" w:cs="仿宋_GB2312" w:asciiTheme="minorEastAsia" w:hAnsiTheme="minorEastAsia" w:eastAsiaTheme="minorEastAsia"/>
                <w:sz w:val="24"/>
                <w:szCs w:val="24"/>
              </w:rPr>
              <w:t>库容≥10万立方米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7" w:hRule="atLeast"/>
        </w:trPr>
        <w:tc>
          <w:tcPr>
            <w:tcW w:w="510" w:type="pct"/>
            <w:vAlign w:val="center"/>
          </w:tcPr>
          <w:p>
            <w:pPr>
              <w:jc w:val="center"/>
              <w:rPr>
                <w:rFonts w:cs="仿宋_GB2312" w:asciiTheme="minorEastAsia" w:hAnsiTheme="minorEastAsia" w:eastAsiaTheme="minorEastAsia"/>
                <w:sz w:val="24"/>
                <w:szCs w:val="24"/>
              </w:rPr>
            </w:pPr>
            <w:r>
              <w:rPr>
                <w:rFonts w:hint="eastAsia" w:cs="仿宋_GB2312" w:asciiTheme="minorEastAsia" w:hAnsiTheme="minorEastAsia" w:eastAsiaTheme="minorEastAsia"/>
                <w:sz w:val="24"/>
                <w:szCs w:val="24"/>
              </w:rPr>
              <w:t>10</w:t>
            </w:r>
          </w:p>
        </w:tc>
        <w:tc>
          <w:tcPr>
            <w:tcW w:w="1171" w:type="pct"/>
            <w:vAlign w:val="center"/>
          </w:tcPr>
          <w:p>
            <w:pPr>
              <w:spacing w:line="440" w:lineRule="exact"/>
              <w:jc w:val="center"/>
              <w:rPr>
                <w:rFonts w:cs="仿宋_GB2312" w:asciiTheme="minorEastAsia" w:hAnsiTheme="minorEastAsia" w:eastAsiaTheme="minorEastAsia"/>
                <w:sz w:val="24"/>
                <w:szCs w:val="24"/>
              </w:rPr>
            </w:pPr>
            <w:r>
              <w:rPr>
                <w:rFonts w:hint="eastAsia" w:cs="仿宋_GB2312" w:asciiTheme="minorEastAsia" w:hAnsiTheme="minorEastAsia" w:eastAsiaTheme="minorEastAsia"/>
                <w:sz w:val="24"/>
                <w:szCs w:val="24"/>
              </w:rPr>
              <w:t>农村供水工程</w:t>
            </w:r>
          </w:p>
        </w:tc>
        <w:tc>
          <w:tcPr>
            <w:tcW w:w="3319" w:type="pct"/>
            <w:vAlign w:val="center"/>
          </w:tcPr>
          <w:p>
            <w:pPr>
              <w:spacing w:line="440" w:lineRule="exact"/>
              <w:jc w:val="center"/>
              <w:rPr>
                <w:rFonts w:cs="仿宋_GB2312" w:asciiTheme="minorEastAsia" w:hAnsiTheme="minorEastAsia" w:eastAsiaTheme="minorEastAsia"/>
                <w:sz w:val="24"/>
                <w:szCs w:val="24"/>
              </w:rPr>
            </w:pPr>
            <w:r>
              <w:rPr>
                <w:rFonts w:hint="eastAsia" w:cs="仿宋_GB2312" w:asciiTheme="minorEastAsia" w:hAnsiTheme="minorEastAsia" w:eastAsiaTheme="minorEastAsia"/>
                <w:sz w:val="24"/>
                <w:szCs w:val="24"/>
              </w:rPr>
              <w:t>日供水规模≥1000吨或供水人口≥10000人</w:t>
            </w:r>
          </w:p>
        </w:tc>
      </w:tr>
    </w:tbl>
    <w:p>
      <w:pPr>
        <w:pStyle w:val="2"/>
        <w:spacing w:line="440" w:lineRule="exact"/>
        <w:rPr>
          <w:rFonts w:ascii="黑体" w:hAnsi="黑体" w:eastAsia="黑体" w:cs="宋体"/>
          <w:sz w:val="24"/>
          <w:szCs w:val="24"/>
        </w:rPr>
      </w:pPr>
    </w:p>
    <w:p>
      <w:pPr>
        <w:jc w:val="left"/>
        <w:rPr>
          <w:sz w:val="24"/>
          <w:szCs w:val="24"/>
        </w:rPr>
      </w:pPr>
      <w:r>
        <w:rPr>
          <w:sz w:val="24"/>
          <w:szCs w:val="24"/>
        </w:rPr>
        <w:br w:type="page"/>
      </w:r>
    </w:p>
    <w:p>
      <w:pPr>
        <w:jc w:val="center"/>
        <w:outlineLvl w:val="0"/>
        <w:rPr>
          <w:rFonts w:ascii="方正小标宋_GBK" w:hAnsi="黑体" w:eastAsia="方正小标宋_GBK"/>
          <w:b/>
          <w:bCs/>
          <w:sz w:val="28"/>
          <w:szCs w:val="28"/>
        </w:rPr>
      </w:pPr>
      <w:bookmarkStart w:id="263" w:name="_Toc119336656"/>
      <w:r>
        <w:rPr>
          <w:rFonts w:hint="eastAsia" w:ascii="方正小标宋_GBK" w:hAnsi="黑体" w:eastAsia="方正小标宋_GBK"/>
          <w:b/>
          <w:bCs/>
          <w:sz w:val="28"/>
          <w:szCs w:val="28"/>
        </w:rPr>
        <w:t>附录</w:t>
      </w:r>
      <w:r>
        <w:rPr>
          <w:rFonts w:ascii="方正小标宋_GBK" w:hAnsi="黑体" w:eastAsia="方正小标宋_GBK"/>
          <w:b/>
          <w:bCs/>
          <w:sz w:val="28"/>
          <w:szCs w:val="28"/>
        </w:rPr>
        <w:t>L</w:t>
      </w:r>
      <w:bookmarkEnd w:id="263"/>
    </w:p>
    <w:p>
      <w:pPr>
        <w:jc w:val="center"/>
        <w:rPr>
          <w:rFonts w:ascii="方正小标宋_GBK" w:hAnsi="黑体" w:eastAsia="方正小标宋_GBK"/>
          <w:b/>
          <w:bCs/>
          <w:sz w:val="28"/>
          <w:szCs w:val="28"/>
        </w:rPr>
      </w:pPr>
      <w:r>
        <w:rPr>
          <w:rFonts w:hint="eastAsia" w:ascii="方正小标宋_GBK" w:hAnsi="黑体" w:eastAsia="方正小标宋_GBK"/>
          <w:b/>
          <w:bCs/>
          <w:sz w:val="28"/>
          <w:szCs w:val="28"/>
        </w:rPr>
        <w:t>（资料性附录）</w:t>
      </w:r>
    </w:p>
    <w:p>
      <w:pPr>
        <w:jc w:val="center"/>
        <w:outlineLvl w:val="1"/>
        <w:rPr>
          <w:rFonts w:ascii="方正小标宋_GBK" w:hAnsi="黑体" w:eastAsia="方正小标宋_GBK"/>
          <w:b/>
          <w:bCs/>
          <w:sz w:val="28"/>
          <w:szCs w:val="28"/>
        </w:rPr>
      </w:pPr>
      <w:bookmarkStart w:id="264" w:name="_Toc119336657"/>
      <w:r>
        <w:rPr>
          <w:rFonts w:hint="eastAsia" w:ascii="方正小标宋_GBK" w:hAnsi="黑体" w:eastAsia="方正小标宋_GBK"/>
          <w:b/>
          <w:bCs/>
          <w:sz w:val="28"/>
          <w:szCs w:val="28"/>
        </w:rPr>
        <w:t>专家评审意见</w:t>
      </w:r>
      <w:bookmarkEnd w:id="264"/>
    </w:p>
    <w:p>
      <w:pPr>
        <w:rPr>
          <w:sz w:val="24"/>
          <w:szCs w:val="24"/>
        </w:rPr>
      </w:pPr>
      <w:r>
        <w:drawing>
          <wp:inline distT="0" distB="0" distL="0" distR="0">
            <wp:extent cx="5264150" cy="7252335"/>
            <wp:effectExtent l="0" t="0" r="0" b="571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5" cstate="print">
                      <a:extLst>
                        <a:ext uri="{28A0092B-C50C-407E-A947-70E740481C1C}">
                          <a14:useLocalDpi xmlns:a14="http://schemas.microsoft.com/office/drawing/2010/main" val="0"/>
                        </a:ext>
                      </a:extLst>
                    </a:blip>
                    <a:srcRect t="3491" b="19063"/>
                    <a:stretch>
                      <a:fillRect/>
                    </a:stretch>
                  </pic:blipFill>
                  <pic:spPr>
                    <a:xfrm>
                      <a:off x="0" y="0"/>
                      <a:ext cx="5270798" cy="7261009"/>
                    </a:xfrm>
                    <a:prstGeom prst="rect">
                      <a:avLst/>
                    </a:prstGeom>
                    <a:noFill/>
                    <a:ln>
                      <a:noFill/>
                    </a:ln>
                  </pic:spPr>
                </pic:pic>
              </a:graphicData>
            </a:graphic>
          </wp:inline>
        </w:drawing>
      </w:r>
    </w:p>
    <w:p>
      <w:pPr>
        <w:jc w:val="left"/>
        <w:rPr>
          <w:sz w:val="24"/>
          <w:szCs w:val="24"/>
        </w:rPr>
      </w:pPr>
      <w:r>
        <w:rPr>
          <w:sz w:val="24"/>
          <w:szCs w:val="24"/>
        </w:rPr>
        <w:br w:type="page"/>
      </w:r>
    </w:p>
    <w:p>
      <w:pPr>
        <w:jc w:val="center"/>
        <w:outlineLvl w:val="0"/>
        <w:rPr>
          <w:rFonts w:ascii="方正小标宋_GBK" w:hAnsi="黑体" w:eastAsia="方正小标宋_GBK"/>
          <w:b/>
          <w:bCs/>
          <w:sz w:val="28"/>
          <w:szCs w:val="28"/>
        </w:rPr>
      </w:pPr>
      <w:bookmarkStart w:id="265" w:name="_Toc119336658"/>
      <w:r>
        <w:rPr>
          <w:rFonts w:hint="eastAsia" w:ascii="方正小标宋_GBK" w:hAnsi="黑体" w:eastAsia="方正小标宋_GBK"/>
          <w:b/>
          <w:bCs/>
          <w:sz w:val="28"/>
          <w:szCs w:val="28"/>
        </w:rPr>
        <w:t>附录</w:t>
      </w:r>
      <w:r>
        <w:rPr>
          <w:rFonts w:ascii="方正小标宋_GBK" w:hAnsi="黑体" w:eastAsia="方正小标宋_GBK"/>
          <w:b/>
          <w:bCs/>
          <w:sz w:val="28"/>
          <w:szCs w:val="28"/>
        </w:rPr>
        <w:t>M</w:t>
      </w:r>
      <w:bookmarkEnd w:id="265"/>
    </w:p>
    <w:p>
      <w:pPr>
        <w:jc w:val="center"/>
        <w:rPr>
          <w:rFonts w:ascii="方正小标宋_GBK" w:hAnsi="黑体" w:eastAsia="方正小标宋_GBK"/>
          <w:b/>
          <w:bCs/>
          <w:sz w:val="28"/>
          <w:szCs w:val="28"/>
        </w:rPr>
      </w:pPr>
      <w:r>
        <w:rPr>
          <w:rFonts w:hint="eastAsia" w:ascii="方正小标宋_GBK" w:hAnsi="黑体" w:eastAsia="方正小标宋_GBK"/>
          <w:b/>
          <w:bCs/>
          <w:sz w:val="28"/>
          <w:szCs w:val="28"/>
        </w:rPr>
        <w:t>（资料性附录）</w:t>
      </w:r>
    </w:p>
    <w:p>
      <w:pPr>
        <w:jc w:val="center"/>
        <w:outlineLvl w:val="1"/>
        <w:rPr>
          <w:rFonts w:ascii="方正小标宋_GBK" w:hAnsi="黑体" w:eastAsia="方正小标宋_GBK"/>
          <w:b/>
          <w:bCs/>
          <w:sz w:val="28"/>
          <w:szCs w:val="28"/>
        </w:rPr>
      </w:pPr>
      <w:bookmarkStart w:id="266" w:name="_Toc119336659"/>
      <w:r>
        <w:rPr>
          <w:rFonts w:hint="eastAsia" w:ascii="方正小标宋_GBK" w:hAnsi="黑体" w:eastAsia="方正小标宋_GBK"/>
          <w:b/>
          <w:bCs/>
          <w:sz w:val="28"/>
          <w:szCs w:val="28"/>
        </w:rPr>
        <w:t>专家评审会议签到表</w:t>
      </w:r>
      <w:bookmarkEnd w:id="266"/>
    </w:p>
    <w:p>
      <w:pPr>
        <w:rPr>
          <w:sz w:val="24"/>
          <w:szCs w:val="24"/>
        </w:rPr>
      </w:pPr>
      <w:r>
        <w:rPr>
          <w:sz w:val="24"/>
          <w:szCs w:val="24"/>
        </w:rPr>
        <w:drawing>
          <wp:inline distT="0" distB="0" distL="0" distR="0">
            <wp:extent cx="5259070" cy="722376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6" cstate="print">
                      <a:extLst>
                        <a:ext uri="{28A0092B-C50C-407E-A947-70E740481C1C}">
                          <a14:useLocalDpi xmlns:a14="http://schemas.microsoft.com/office/drawing/2010/main" val="0"/>
                        </a:ext>
                      </a:extLst>
                    </a:blip>
                    <a:srcRect t="6793" b="15987"/>
                    <a:stretch>
                      <a:fillRect/>
                    </a:stretch>
                  </pic:blipFill>
                  <pic:spPr>
                    <a:xfrm>
                      <a:off x="0" y="0"/>
                      <a:ext cx="5265591" cy="7232659"/>
                    </a:xfrm>
                    <a:prstGeom prst="rect">
                      <a:avLst/>
                    </a:prstGeom>
                    <a:noFill/>
                    <a:ln>
                      <a:noFill/>
                    </a:ln>
                  </pic:spPr>
                </pic:pic>
              </a:graphicData>
            </a:graphic>
          </wp:inline>
        </w:drawing>
      </w:r>
    </w:p>
    <w:p>
      <w:pPr>
        <w:jc w:val="left"/>
        <w:rPr>
          <w:sz w:val="24"/>
          <w:szCs w:val="24"/>
        </w:rPr>
      </w:pPr>
      <w:r>
        <w:rPr>
          <w:sz w:val="24"/>
          <w:szCs w:val="24"/>
        </w:rPr>
        <w:br w:type="page"/>
      </w:r>
    </w:p>
    <w:p>
      <w:pPr>
        <w:pStyle w:val="2"/>
        <w:jc w:val="center"/>
        <w:rPr>
          <w:rFonts w:ascii="方正小标宋_GBK" w:hAnsi="黑体" w:eastAsia="方正小标宋_GBK"/>
          <w:b/>
          <w:bCs/>
          <w:sz w:val="44"/>
          <w:szCs w:val="44"/>
        </w:rPr>
      </w:pPr>
      <w:bookmarkStart w:id="267" w:name="_Toc119336660"/>
      <w:r>
        <w:rPr>
          <w:rFonts w:hint="eastAsia" w:ascii="方正小标宋_GBK" w:hAnsi="黑体" w:eastAsia="方正小标宋_GBK"/>
          <w:b/>
          <w:bCs/>
          <w:sz w:val="44"/>
          <w:szCs w:val="44"/>
        </w:rPr>
        <w:t>本实施细则编制及审查人员名单</w:t>
      </w:r>
      <w:bookmarkEnd w:id="267"/>
    </w:p>
    <w:p>
      <w:pPr>
        <w:ind w:firstLine="640"/>
      </w:pPr>
    </w:p>
    <w:p>
      <w:r>
        <w:rPr>
          <w:rFonts w:hint="eastAsia"/>
        </w:rPr>
        <w:t xml:space="preserve">编制人员：胡兴富 </w:t>
      </w:r>
      <w:r>
        <w:t xml:space="preserve"> </w:t>
      </w:r>
      <w:r>
        <w:rPr>
          <w:rFonts w:hint="eastAsia"/>
        </w:rPr>
        <w:t xml:space="preserve">母智华 </w:t>
      </w:r>
      <w:r>
        <w:t xml:space="preserve"> </w:t>
      </w:r>
      <w:r>
        <w:rPr>
          <w:rFonts w:hint="eastAsia"/>
        </w:rPr>
        <w:t>胡明宽</w:t>
      </w:r>
    </w:p>
    <w:p>
      <w:r>
        <w:rPr>
          <w:rFonts w:hint="eastAsia"/>
        </w:rPr>
        <w:t>审查人员：江东</w:t>
      </w:r>
      <w:r>
        <w:t xml:space="preserve">  </w:t>
      </w:r>
      <w:r>
        <w:rPr>
          <w:rFonts w:hint="eastAsia"/>
        </w:rPr>
        <w:t xml:space="preserve">黄开剑 </w:t>
      </w:r>
      <w:r>
        <w:t xml:space="preserve"> </w:t>
      </w:r>
      <w:r>
        <w:rPr>
          <w:rFonts w:hint="eastAsia"/>
        </w:rPr>
        <w:t>叶建兵</w:t>
      </w:r>
      <w:r>
        <w:t xml:space="preserve">  </w:t>
      </w:r>
      <w:r>
        <w:rPr>
          <w:rFonts w:hint="eastAsia"/>
        </w:rPr>
        <w:t>曾涂  周礼杰</w:t>
      </w:r>
    </w:p>
    <w:p>
      <w:pPr>
        <w:rPr>
          <w:sz w:val="24"/>
          <w:szCs w:val="24"/>
        </w:rPr>
      </w:pPr>
    </w:p>
    <w:sectPr>
      <w:pgSz w:w="11906" w:h="16838"/>
      <w:pgMar w:top="1440" w:right="1797" w:bottom="1440" w:left="179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方正仿宋_GBK">
    <w:panose1 w:val="02000000000000000000"/>
    <w:charset w:val="86"/>
    <w:family w:val="script"/>
    <w:pitch w:val="default"/>
    <w:sig w:usb0="00000001" w:usb1="080E0000" w:usb2="00000000" w:usb3="00000000" w:csb0="00040000" w:csb1="00000000"/>
  </w:font>
  <w:font w:name="Cambria">
    <w:panose1 w:val="02040503050406030204"/>
    <w:charset w:val="00"/>
    <w:family w:val="roman"/>
    <w:pitch w:val="default"/>
    <w:sig w:usb0="E00002FF" w:usb1="400004FF" w:usb2="00000000" w:usb3="00000000" w:csb0="2000019F" w:csb1="00000000"/>
  </w:font>
  <w:font w:name="Courier New">
    <w:panose1 w:val="02070309020205020404"/>
    <w:charset w:val="00"/>
    <w:family w:val="modern"/>
    <w:pitch w:val="default"/>
    <w:sig w:usb0="E0002AFF" w:usb1="C0007843" w:usb2="00000009" w:usb3="00000000" w:csb0="400001FF" w:csb1="FFFF0000"/>
  </w:font>
  <w:font w:name="Microsoft YaHei UI">
    <w:panose1 w:val="020B0503020204020204"/>
    <w:charset w:val="86"/>
    <w:family w:val="swiss"/>
    <w:pitch w:val="default"/>
    <w:sig w:usb0="80000287" w:usb1="2ACF3C50" w:usb2="00000016" w:usb3="00000000" w:csb0="0004001F" w:csb1="00000000"/>
  </w:font>
  <w:font w:name="仿宋_GB2312">
    <w:panose1 w:val="02010609030101010101"/>
    <w:charset w:val="86"/>
    <w:family w:val="modern"/>
    <w:pitch w:val="default"/>
    <w:sig w:usb0="00000001" w:usb1="080E0000" w:usb2="00000000" w:usb3="00000000" w:csb0="00040000" w:csb1="00000000"/>
  </w:font>
  <w:font w:name="Calibri Light">
    <w:panose1 w:val="020F0302020204030204"/>
    <w:charset w:val="00"/>
    <w:family w:val="swiss"/>
    <w:pitch w:val="default"/>
    <w:sig w:usb0="E0002A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等线">
    <w:altName w:val="Arial Unicode MS"/>
    <w:panose1 w:val="02010600030101010101"/>
    <w:charset w:val="86"/>
    <w:family w:val="auto"/>
    <w:pitch w:val="default"/>
    <w:sig w:usb0="00000000" w:usb1="00000000" w:usb2="00000016" w:usb3="00000000" w:csb0="0004000F" w:csb1="00000000"/>
  </w:font>
  <w:font w:name="等线 Light">
    <w:altName w:val="宋体"/>
    <w:panose1 w:val="02010600030101010101"/>
    <w:charset w:val="86"/>
    <w:family w:val="auto"/>
    <w:pitch w:val="default"/>
    <w:sig w:usb0="00000000" w:usb1="00000000" w:usb2="00000016" w:usb3="00000000" w:csb0="0004000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80F3C52" w:usb2="00000016" w:usb3="00000000" w:csb0="0004001F" w:csb1="00000000"/>
  </w:font>
  <w:font w:name="方正小标宋_GBK">
    <w:panose1 w:val="02000000000000000000"/>
    <w:charset w:val="86"/>
    <w:family w:val="script"/>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方正楷体简体">
    <w:panose1 w:val="02000000000000000000"/>
    <w:charset w:val="86"/>
    <w:family w:val="auto"/>
    <w:pitch w:val="default"/>
    <w:sig w:usb0="A00002BF" w:usb1="184F6CFA" w:usb2="00000012" w:usb3="00000000" w:csb0="00040001" w:csb1="00000000"/>
  </w:font>
  <w:font w:name="方正小标宋简体">
    <w:panose1 w:val="02000000000000000000"/>
    <w:charset w:val="86"/>
    <w:family w:val="auto"/>
    <w:pitch w:val="default"/>
    <w:sig w:usb0="A00002BF" w:usb1="184F6CFA" w:usb2="00000012"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7218499"/>
      <w:docPartObj>
        <w:docPartGallery w:val="autotext"/>
      </w:docPartObj>
    </w:sdtPr>
    <w:sdtContent>
      <w:p>
        <w:pPr>
          <w:pStyle w:val="21"/>
          <w:jc w:val="center"/>
        </w:pPr>
        <w:r>
          <w:fldChar w:fldCharType="begin"/>
        </w:r>
        <w:r>
          <w:instrText xml:space="preserve">PAGE   \* MERGEFORMAT</w:instrText>
        </w:r>
        <w:r>
          <w:fldChar w:fldCharType="separate"/>
        </w:r>
        <w:r>
          <w:rPr>
            <w:lang w:val="zh-CN"/>
          </w:rPr>
          <w:t>88</w:t>
        </w:r>
        <w:r>
          <w:fldChar w:fldCharType="end"/>
        </w:r>
      </w:p>
    </w:sdtContent>
  </w:sdt>
  <w:p>
    <w:pPr>
      <w:pStyle w:val="2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72484869"/>
      <w:docPartObj>
        <w:docPartGallery w:val="AutoText"/>
      </w:docPartObj>
    </w:sdtPr>
    <w:sdtContent>
      <w:p>
        <w:pPr>
          <w:pStyle w:val="21"/>
          <w:jc w:val="center"/>
        </w:pPr>
        <w:r>
          <w:fldChar w:fldCharType="begin"/>
        </w:r>
        <w:r>
          <w:instrText xml:space="preserve">PAGE   \* MERGEFORMAT</w:instrText>
        </w:r>
        <w:r>
          <w:fldChar w:fldCharType="separate"/>
        </w:r>
        <w:r>
          <w:rPr>
            <w:lang w:val="zh-CN"/>
          </w:rPr>
          <w:t>117</w:t>
        </w:r>
        <w:r>
          <w:fldChar w:fldCharType="end"/>
        </w:r>
      </w:p>
    </w:sdtContent>
  </w:sdt>
  <w:p>
    <w:pPr>
      <w:kinsoku w:val="0"/>
      <w:overflowPunct w:val="0"/>
      <w:spacing w:line="200" w:lineRule="exact"/>
      <w:rPr>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510680666"/>
      <w:docPartObj>
        <w:docPartGallery w:val="AutoText"/>
      </w:docPartObj>
    </w:sdtPr>
    <w:sdtContent>
      <w:p>
        <w:pPr>
          <w:pStyle w:val="21"/>
          <w:jc w:val="center"/>
        </w:pPr>
        <w:r>
          <w:fldChar w:fldCharType="begin"/>
        </w:r>
        <w:r>
          <w:instrText xml:space="preserve">PAGE   \* MERGEFORMAT</w:instrText>
        </w:r>
        <w:r>
          <w:fldChar w:fldCharType="separate"/>
        </w:r>
        <w:r>
          <w:rPr>
            <w:lang w:val="zh-CN"/>
          </w:rPr>
          <w:t>130</w:t>
        </w:r>
        <w:r>
          <w:fldChar w:fldCharType="end"/>
        </w:r>
      </w:p>
    </w:sdtContent>
  </w:sdt>
  <w:p>
    <w:pPr>
      <w:kinsoku w:val="0"/>
      <w:overflowPunct w:val="0"/>
      <w:spacing w:line="200" w:lineRule="exact"/>
      <w:rPr>
        <w:sz w:val="20"/>
        <w:szCs w:val="20"/>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4E46EE"/>
    <w:multiLevelType w:val="multilevel"/>
    <w:tmpl w:val="1A4E46EE"/>
    <w:lvl w:ilvl="0" w:tentative="0">
      <w:start w:val="1"/>
      <w:numFmt w:val="decimal"/>
      <w:pStyle w:val="49"/>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205CA6F0"/>
    <w:multiLevelType w:val="singleLevel"/>
    <w:tmpl w:val="205CA6F0"/>
    <w:lvl w:ilvl="0" w:tentative="0">
      <w:start w:val="1"/>
      <w:numFmt w:val="decimal"/>
      <w:lvlText w:val="%1."/>
      <w:lvlJc w:val="left"/>
      <w:pPr>
        <w:ind w:left="425" w:hanging="425"/>
      </w:pPr>
      <w:rPr>
        <w:rFonts w:hint="default"/>
      </w:rPr>
    </w:lvl>
  </w:abstractNum>
  <w:abstractNum w:abstractNumId="2">
    <w:nsid w:val="40D7427F"/>
    <w:multiLevelType w:val="multilevel"/>
    <w:tmpl w:val="40D7427F"/>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614A113D"/>
    <w:multiLevelType w:val="multilevel"/>
    <w:tmpl w:val="614A113D"/>
    <w:lvl w:ilvl="0" w:tentative="0">
      <w:start w:val="1"/>
      <w:numFmt w:val="decimal"/>
      <w:lvlText w:val="%1."/>
      <w:lvlJc w:val="left"/>
      <w:pPr>
        <w:ind w:left="420" w:hanging="420"/>
      </w:pPr>
    </w:lvl>
    <w:lvl w:ilvl="1" w:tentative="0">
      <w:start w:val="1"/>
      <w:numFmt w:val="lowerLetter"/>
      <w:pStyle w:val="75"/>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6C306C69"/>
    <w:multiLevelType w:val="singleLevel"/>
    <w:tmpl w:val="6C306C69"/>
    <w:lvl w:ilvl="0" w:tentative="0">
      <w:start w:val="1"/>
      <w:numFmt w:val="decimal"/>
      <w:lvlText w:val="%1."/>
      <w:lvlJc w:val="left"/>
      <w:pPr>
        <w:ind w:left="425" w:hanging="425"/>
      </w:pPr>
      <w:rPr>
        <w:rFonts w:hint="default"/>
      </w:rPr>
    </w:lvl>
  </w:abstractNum>
  <w:abstractNum w:abstractNumId="5">
    <w:nsid w:val="6D1B1CF9"/>
    <w:multiLevelType w:val="singleLevel"/>
    <w:tmpl w:val="6D1B1CF9"/>
    <w:lvl w:ilvl="0" w:tentative="0">
      <w:start w:val="1"/>
      <w:numFmt w:val="decimal"/>
      <w:lvlText w:val="%1."/>
      <w:lvlJc w:val="left"/>
      <w:pPr>
        <w:ind w:left="425" w:hanging="425"/>
      </w:pPr>
      <w:rPr>
        <w:rFonts w:hint="default"/>
      </w:rPr>
    </w:lvl>
  </w:abstractNum>
  <w:abstractNum w:abstractNumId="6">
    <w:nsid w:val="79CA76AF"/>
    <w:multiLevelType w:val="singleLevel"/>
    <w:tmpl w:val="79CA76AF"/>
    <w:lvl w:ilvl="0" w:tentative="0">
      <w:start w:val="1"/>
      <w:numFmt w:val="decimal"/>
      <w:lvlText w:val="%1."/>
      <w:lvlJc w:val="left"/>
      <w:pPr>
        <w:ind w:left="425" w:hanging="425"/>
      </w:pPr>
      <w:rPr>
        <w:rFonts w:hint="default"/>
      </w:rPr>
    </w:lvl>
  </w:abstractNum>
  <w:abstractNum w:abstractNumId="7">
    <w:nsid w:val="7BDEF786"/>
    <w:multiLevelType w:val="singleLevel"/>
    <w:tmpl w:val="7BDEF786"/>
    <w:lvl w:ilvl="0" w:tentative="0">
      <w:start w:val="1"/>
      <w:numFmt w:val="decimal"/>
      <w:lvlText w:val="%1."/>
      <w:lvlJc w:val="left"/>
      <w:pPr>
        <w:ind w:left="425" w:hanging="425"/>
      </w:pPr>
      <w:rPr>
        <w:rFonts w:hint="default"/>
      </w:rPr>
    </w:lvl>
  </w:abstractNum>
  <w:num w:numId="1">
    <w:abstractNumId w:val="0"/>
  </w:num>
  <w:num w:numId="2">
    <w:abstractNumId w:val="3"/>
  </w:num>
  <w:num w:numId="3">
    <w:abstractNumId w:val="2"/>
  </w:num>
  <w:num w:numId="4">
    <w:abstractNumId w:val="6"/>
  </w:num>
  <w:num w:numId="5">
    <w:abstractNumId w:val="7"/>
  </w:num>
  <w:num w:numId="6">
    <w:abstractNumId w:val="1"/>
  </w:num>
  <w:num w:numId="7">
    <w:abstractNumId w:val="4"/>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TNmNTQ0MDNhYjk0ODY3ODQ1YTI1NTAyZTRlYjczZDEifQ=="/>
  </w:docVars>
  <w:rsids>
    <w:rsidRoot w:val="004A2D36"/>
    <w:rsid w:val="000012CC"/>
    <w:rsid w:val="000056CC"/>
    <w:rsid w:val="00014C9C"/>
    <w:rsid w:val="000222D4"/>
    <w:rsid w:val="000233D3"/>
    <w:rsid w:val="00026CBD"/>
    <w:rsid w:val="00036409"/>
    <w:rsid w:val="0005699C"/>
    <w:rsid w:val="00073D94"/>
    <w:rsid w:val="00092740"/>
    <w:rsid w:val="0009465C"/>
    <w:rsid w:val="000962B9"/>
    <w:rsid w:val="00096671"/>
    <w:rsid w:val="00096F19"/>
    <w:rsid w:val="000A0C63"/>
    <w:rsid w:val="000A1FE3"/>
    <w:rsid w:val="000C28FB"/>
    <w:rsid w:val="000C2FC6"/>
    <w:rsid w:val="000C7D2C"/>
    <w:rsid w:val="000F0F92"/>
    <w:rsid w:val="00112ABA"/>
    <w:rsid w:val="00116429"/>
    <w:rsid w:val="0011651B"/>
    <w:rsid w:val="00124A82"/>
    <w:rsid w:val="001262C8"/>
    <w:rsid w:val="001326CD"/>
    <w:rsid w:val="001335ED"/>
    <w:rsid w:val="00135A23"/>
    <w:rsid w:val="00135BAA"/>
    <w:rsid w:val="00145275"/>
    <w:rsid w:val="00150890"/>
    <w:rsid w:val="001542E9"/>
    <w:rsid w:val="00155DA2"/>
    <w:rsid w:val="001638F2"/>
    <w:rsid w:val="001713CC"/>
    <w:rsid w:val="001A21AD"/>
    <w:rsid w:val="001A34DA"/>
    <w:rsid w:val="001A46C5"/>
    <w:rsid w:val="001C0781"/>
    <w:rsid w:val="001C481F"/>
    <w:rsid w:val="001C4E17"/>
    <w:rsid w:val="001D1E19"/>
    <w:rsid w:val="001D1ECB"/>
    <w:rsid w:val="001F087C"/>
    <w:rsid w:val="001F1890"/>
    <w:rsid w:val="00210AF6"/>
    <w:rsid w:val="00215572"/>
    <w:rsid w:val="00236109"/>
    <w:rsid w:val="002474AA"/>
    <w:rsid w:val="00256C9F"/>
    <w:rsid w:val="0027474C"/>
    <w:rsid w:val="002747D0"/>
    <w:rsid w:val="00281359"/>
    <w:rsid w:val="00282B38"/>
    <w:rsid w:val="002924DB"/>
    <w:rsid w:val="002A1F0A"/>
    <w:rsid w:val="002A2AF9"/>
    <w:rsid w:val="002C5AD2"/>
    <w:rsid w:val="002D12D0"/>
    <w:rsid w:val="002D16F7"/>
    <w:rsid w:val="002F73BC"/>
    <w:rsid w:val="00322F5C"/>
    <w:rsid w:val="003337FA"/>
    <w:rsid w:val="00337FA3"/>
    <w:rsid w:val="00346A69"/>
    <w:rsid w:val="00355FE2"/>
    <w:rsid w:val="003667F4"/>
    <w:rsid w:val="00367DD3"/>
    <w:rsid w:val="0037370D"/>
    <w:rsid w:val="00397175"/>
    <w:rsid w:val="003A4541"/>
    <w:rsid w:val="003A7B03"/>
    <w:rsid w:val="003B3CFB"/>
    <w:rsid w:val="003C0783"/>
    <w:rsid w:val="003D4E98"/>
    <w:rsid w:val="003E1049"/>
    <w:rsid w:val="003E5A56"/>
    <w:rsid w:val="003F39F2"/>
    <w:rsid w:val="004061F3"/>
    <w:rsid w:val="004200C6"/>
    <w:rsid w:val="004223EC"/>
    <w:rsid w:val="004244F5"/>
    <w:rsid w:val="004321C6"/>
    <w:rsid w:val="00432972"/>
    <w:rsid w:val="004372E3"/>
    <w:rsid w:val="00454136"/>
    <w:rsid w:val="004557A5"/>
    <w:rsid w:val="00466D91"/>
    <w:rsid w:val="004A2D36"/>
    <w:rsid w:val="004A6B47"/>
    <w:rsid w:val="004C1EA4"/>
    <w:rsid w:val="004C4CB4"/>
    <w:rsid w:val="004D2F1F"/>
    <w:rsid w:val="004D6B9F"/>
    <w:rsid w:val="004E2402"/>
    <w:rsid w:val="004E5DCA"/>
    <w:rsid w:val="004E6078"/>
    <w:rsid w:val="004F0B86"/>
    <w:rsid w:val="00530D8D"/>
    <w:rsid w:val="00533C8F"/>
    <w:rsid w:val="00550735"/>
    <w:rsid w:val="00561B85"/>
    <w:rsid w:val="00562A11"/>
    <w:rsid w:val="005662E7"/>
    <w:rsid w:val="00570263"/>
    <w:rsid w:val="005910E2"/>
    <w:rsid w:val="00592920"/>
    <w:rsid w:val="005B61A2"/>
    <w:rsid w:val="005B7A2E"/>
    <w:rsid w:val="005D0793"/>
    <w:rsid w:val="005D3C53"/>
    <w:rsid w:val="005D52C0"/>
    <w:rsid w:val="005E5E53"/>
    <w:rsid w:val="005F528F"/>
    <w:rsid w:val="006102E2"/>
    <w:rsid w:val="00616670"/>
    <w:rsid w:val="006269DB"/>
    <w:rsid w:val="00626B4A"/>
    <w:rsid w:val="006302FB"/>
    <w:rsid w:val="006328EF"/>
    <w:rsid w:val="006518A2"/>
    <w:rsid w:val="0065512A"/>
    <w:rsid w:val="006A5DFB"/>
    <w:rsid w:val="006D0470"/>
    <w:rsid w:val="006E0C24"/>
    <w:rsid w:val="006F4B05"/>
    <w:rsid w:val="00701169"/>
    <w:rsid w:val="00712231"/>
    <w:rsid w:val="00724564"/>
    <w:rsid w:val="00735732"/>
    <w:rsid w:val="007573FF"/>
    <w:rsid w:val="00761D2E"/>
    <w:rsid w:val="007719AC"/>
    <w:rsid w:val="00780097"/>
    <w:rsid w:val="00783876"/>
    <w:rsid w:val="00791D6A"/>
    <w:rsid w:val="00792835"/>
    <w:rsid w:val="007A2C62"/>
    <w:rsid w:val="007B1FE5"/>
    <w:rsid w:val="007B4E24"/>
    <w:rsid w:val="007C7B03"/>
    <w:rsid w:val="007D4A3C"/>
    <w:rsid w:val="007D6FC2"/>
    <w:rsid w:val="007E37F9"/>
    <w:rsid w:val="007F4606"/>
    <w:rsid w:val="008013DD"/>
    <w:rsid w:val="00807427"/>
    <w:rsid w:val="00810924"/>
    <w:rsid w:val="008154C9"/>
    <w:rsid w:val="00830C3E"/>
    <w:rsid w:val="00855931"/>
    <w:rsid w:val="00855A44"/>
    <w:rsid w:val="00867111"/>
    <w:rsid w:val="00876B38"/>
    <w:rsid w:val="0088164E"/>
    <w:rsid w:val="008867C5"/>
    <w:rsid w:val="008A63AA"/>
    <w:rsid w:val="008A6A67"/>
    <w:rsid w:val="008C1964"/>
    <w:rsid w:val="008C67FC"/>
    <w:rsid w:val="008E2D3B"/>
    <w:rsid w:val="008F0B4C"/>
    <w:rsid w:val="00902A7C"/>
    <w:rsid w:val="00917FFE"/>
    <w:rsid w:val="009236E9"/>
    <w:rsid w:val="0094185F"/>
    <w:rsid w:val="00943D2F"/>
    <w:rsid w:val="0094574E"/>
    <w:rsid w:val="00961A16"/>
    <w:rsid w:val="009631E7"/>
    <w:rsid w:val="00965BE6"/>
    <w:rsid w:val="009674FF"/>
    <w:rsid w:val="00970139"/>
    <w:rsid w:val="009722B7"/>
    <w:rsid w:val="00974C70"/>
    <w:rsid w:val="00977E80"/>
    <w:rsid w:val="00980869"/>
    <w:rsid w:val="009821A3"/>
    <w:rsid w:val="009A01B1"/>
    <w:rsid w:val="009A652A"/>
    <w:rsid w:val="009B0D92"/>
    <w:rsid w:val="009B3DD2"/>
    <w:rsid w:val="009B6837"/>
    <w:rsid w:val="009D4581"/>
    <w:rsid w:val="009D5630"/>
    <w:rsid w:val="009E6E09"/>
    <w:rsid w:val="009F0B55"/>
    <w:rsid w:val="009F1B11"/>
    <w:rsid w:val="009F34C1"/>
    <w:rsid w:val="00A02EA1"/>
    <w:rsid w:val="00A13788"/>
    <w:rsid w:val="00A1426C"/>
    <w:rsid w:val="00A525AD"/>
    <w:rsid w:val="00A54628"/>
    <w:rsid w:val="00A559E7"/>
    <w:rsid w:val="00A62F6E"/>
    <w:rsid w:val="00A673C4"/>
    <w:rsid w:val="00A91A09"/>
    <w:rsid w:val="00A95997"/>
    <w:rsid w:val="00A969A1"/>
    <w:rsid w:val="00AA2758"/>
    <w:rsid w:val="00AA4479"/>
    <w:rsid w:val="00AA5218"/>
    <w:rsid w:val="00AC36D2"/>
    <w:rsid w:val="00AD419F"/>
    <w:rsid w:val="00AE0D65"/>
    <w:rsid w:val="00B00326"/>
    <w:rsid w:val="00B1266D"/>
    <w:rsid w:val="00B236C0"/>
    <w:rsid w:val="00B256AD"/>
    <w:rsid w:val="00B3314A"/>
    <w:rsid w:val="00B54BC4"/>
    <w:rsid w:val="00B6502C"/>
    <w:rsid w:val="00B708E5"/>
    <w:rsid w:val="00B75266"/>
    <w:rsid w:val="00B83A44"/>
    <w:rsid w:val="00B8533F"/>
    <w:rsid w:val="00B85D9F"/>
    <w:rsid w:val="00B9155F"/>
    <w:rsid w:val="00B9240E"/>
    <w:rsid w:val="00BA0B19"/>
    <w:rsid w:val="00BA6456"/>
    <w:rsid w:val="00BB09A9"/>
    <w:rsid w:val="00BC3FEB"/>
    <w:rsid w:val="00BC43F4"/>
    <w:rsid w:val="00BD460B"/>
    <w:rsid w:val="00BE0C0E"/>
    <w:rsid w:val="00BE62C0"/>
    <w:rsid w:val="00C023C0"/>
    <w:rsid w:val="00C04C90"/>
    <w:rsid w:val="00C05374"/>
    <w:rsid w:val="00C06C79"/>
    <w:rsid w:val="00C12A40"/>
    <w:rsid w:val="00C237C2"/>
    <w:rsid w:val="00C25735"/>
    <w:rsid w:val="00C32D2E"/>
    <w:rsid w:val="00C34774"/>
    <w:rsid w:val="00C60329"/>
    <w:rsid w:val="00C61277"/>
    <w:rsid w:val="00C70E0D"/>
    <w:rsid w:val="00C77091"/>
    <w:rsid w:val="00C904DE"/>
    <w:rsid w:val="00CA2CA2"/>
    <w:rsid w:val="00CA7A28"/>
    <w:rsid w:val="00CB0AAD"/>
    <w:rsid w:val="00CB24D5"/>
    <w:rsid w:val="00CB6942"/>
    <w:rsid w:val="00CD20E4"/>
    <w:rsid w:val="00CD6807"/>
    <w:rsid w:val="00CE2572"/>
    <w:rsid w:val="00CE6117"/>
    <w:rsid w:val="00CF1CE9"/>
    <w:rsid w:val="00CF3C61"/>
    <w:rsid w:val="00CF5667"/>
    <w:rsid w:val="00D2016D"/>
    <w:rsid w:val="00D216DF"/>
    <w:rsid w:val="00D2426E"/>
    <w:rsid w:val="00D27267"/>
    <w:rsid w:val="00D42DBB"/>
    <w:rsid w:val="00D459E0"/>
    <w:rsid w:val="00D670B7"/>
    <w:rsid w:val="00D724B7"/>
    <w:rsid w:val="00D77715"/>
    <w:rsid w:val="00D855E7"/>
    <w:rsid w:val="00D912A0"/>
    <w:rsid w:val="00D91B6B"/>
    <w:rsid w:val="00D9376F"/>
    <w:rsid w:val="00D95DE5"/>
    <w:rsid w:val="00DC3778"/>
    <w:rsid w:val="00DC4C50"/>
    <w:rsid w:val="00DC4DEA"/>
    <w:rsid w:val="00DE2195"/>
    <w:rsid w:val="00DE3111"/>
    <w:rsid w:val="00DF2A17"/>
    <w:rsid w:val="00DF3B28"/>
    <w:rsid w:val="00E01EC2"/>
    <w:rsid w:val="00E044C8"/>
    <w:rsid w:val="00E149C1"/>
    <w:rsid w:val="00E25F5F"/>
    <w:rsid w:val="00E64425"/>
    <w:rsid w:val="00E73C32"/>
    <w:rsid w:val="00E74584"/>
    <w:rsid w:val="00E876E7"/>
    <w:rsid w:val="00E96DB4"/>
    <w:rsid w:val="00EB3876"/>
    <w:rsid w:val="00EE0C9F"/>
    <w:rsid w:val="00EF78AA"/>
    <w:rsid w:val="00F12AF3"/>
    <w:rsid w:val="00F37664"/>
    <w:rsid w:val="00F41161"/>
    <w:rsid w:val="00F4222F"/>
    <w:rsid w:val="00F42EEE"/>
    <w:rsid w:val="00F432D1"/>
    <w:rsid w:val="00F5517A"/>
    <w:rsid w:val="00F56539"/>
    <w:rsid w:val="00F77EBD"/>
    <w:rsid w:val="00F77F67"/>
    <w:rsid w:val="00F90B54"/>
    <w:rsid w:val="00F9496E"/>
    <w:rsid w:val="00F95202"/>
    <w:rsid w:val="00F9639F"/>
    <w:rsid w:val="00FA1618"/>
    <w:rsid w:val="00FA65C6"/>
    <w:rsid w:val="00FA75E9"/>
    <w:rsid w:val="00FC0AE0"/>
    <w:rsid w:val="00FD0A39"/>
    <w:rsid w:val="00FD28D6"/>
    <w:rsid w:val="00FD3ADB"/>
    <w:rsid w:val="00FE5847"/>
    <w:rsid w:val="00FE7E09"/>
    <w:rsid w:val="00FF41E4"/>
    <w:rsid w:val="189E2F59"/>
    <w:rsid w:val="566901D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方正仿宋_GBK" w:hAnsi="Times New Roman" w:eastAsia="方正仿宋_GBK" w:cs="Times New Roman"/>
      </w:rPr>
    </w:rPrDefault>
  </w:docDefaults>
  <w:latentStyles w:count="260" w:defQFormat="0" w:defUnhideWhenUsed="1" w:defSemiHidden="1" w:defUIPriority="99" w:defLockedState="0">
    <w:lsdException w:qFormat="1" w:unhideWhenUsed="0" w:uiPriority="1" w:semiHidden="0" w:name="Normal"/>
    <w:lsdException w:qFormat="1" w:unhideWhenUsed="0" w:uiPriority="0" w:semiHidden="0" w:name="heading 1"/>
    <w:lsdException w:qFormat="1"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iPriority="0" w:name="heading 6"/>
    <w:lsdException w:qFormat="1" w:uiPriority="0" w:name="heading 7"/>
    <w:lsdException w:qFormat="1" w:uiPriority="0" w:name="heading 8"/>
    <w:lsdException w:qFormat="1" w:uiPriority="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99" w:name="footnote text"/>
    <w:lsdException w:qFormat="1" w:uiPriority="99" w:semiHidden="0" w:name="annotation text"/>
    <w:lsdException w:qFormat="1" w:uiPriority="99" w:semiHidden="0" w:name="header"/>
    <w:lsdException w:qFormat="1" w:unhideWhenUsed="0" w:uiPriority="99" w:semiHidden="0" w:name="footer"/>
    <w:lsdException w:uiPriority="99" w:name="index heading"/>
    <w:lsdException w:qFormat="1" w:uiPriority="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1" w:semiHidden="0"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qFormat="1" w:uiPriority="99" w:semiHidden="0" w:name="Body Text 2"/>
    <w:lsdException w:qFormat="1" w:uiPriority="99" w:semiHidden="0" w:name="Body Text 3"/>
    <w:lsdException w:qFormat="1" w:uiPriority="99" w:semiHidden="0" w:name="Body Text Indent 2"/>
    <w:lsdException w:qFormat="1" w:uiPriority="99" w:semiHidden="0"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qFormat="1" w:uiPriority="99" w:semiHidden="0"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jc w:val="both"/>
    </w:pPr>
    <w:rPr>
      <w:rFonts w:ascii="方正仿宋_GBK" w:hAnsi="Times New Roman" w:eastAsia="方正仿宋_GBK" w:cs="Times New Roman"/>
      <w:sz w:val="32"/>
      <w:szCs w:val="32"/>
      <w:lang w:val="en-US" w:eastAsia="zh-CN" w:bidi="ar-SA"/>
    </w:rPr>
  </w:style>
  <w:style w:type="paragraph" w:styleId="2">
    <w:name w:val="heading 1"/>
    <w:basedOn w:val="1"/>
    <w:next w:val="1"/>
    <w:link w:val="42"/>
    <w:qFormat/>
    <w:uiPriority w:val="0"/>
    <w:pPr>
      <w:ind w:right="380"/>
      <w:outlineLvl w:val="0"/>
    </w:pPr>
    <w:rPr>
      <w:sz w:val="28"/>
      <w:szCs w:val="28"/>
    </w:rPr>
  </w:style>
  <w:style w:type="paragraph" w:styleId="3">
    <w:name w:val="heading 2"/>
    <w:basedOn w:val="1"/>
    <w:next w:val="1"/>
    <w:link w:val="48"/>
    <w:unhideWhenUsed/>
    <w:qFormat/>
    <w:uiPriority w:val="0"/>
    <w:pPr>
      <w:keepNext/>
      <w:keepLines/>
      <w:spacing w:before="260" w:after="260" w:line="416" w:lineRule="auto"/>
      <w:outlineLvl w:val="1"/>
    </w:pPr>
    <w:rPr>
      <w:rFonts w:asciiTheme="majorHAnsi" w:hAnsiTheme="majorHAnsi" w:eastAsiaTheme="majorEastAsia" w:cstheme="majorBidi"/>
      <w:b/>
      <w:bCs/>
    </w:rPr>
  </w:style>
  <w:style w:type="paragraph" w:styleId="4">
    <w:name w:val="heading 3"/>
    <w:basedOn w:val="1"/>
    <w:next w:val="1"/>
    <w:link w:val="51"/>
    <w:qFormat/>
    <w:uiPriority w:val="0"/>
    <w:pPr>
      <w:keepNext/>
      <w:keepLines/>
      <w:widowControl w:val="0"/>
      <w:adjustRightInd w:val="0"/>
      <w:snapToGrid w:val="0"/>
      <w:spacing w:before="240" w:after="240" w:line="360" w:lineRule="auto"/>
      <w:ind w:firstLine="200" w:firstLineChars="200"/>
      <w:outlineLvl w:val="2"/>
    </w:pPr>
    <w:rPr>
      <w:rFonts w:ascii="Times New Roman" w:eastAsia="宋体"/>
      <w:b/>
      <w:bCs/>
      <w:kern w:val="2"/>
      <w:sz w:val="24"/>
    </w:rPr>
  </w:style>
  <w:style w:type="paragraph" w:styleId="5">
    <w:name w:val="heading 4"/>
    <w:basedOn w:val="1"/>
    <w:next w:val="1"/>
    <w:link w:val="52"/>
    <w:qFormat/>
    <w:uiPriority w:val="0"/>
    <w:pPr>
      <w:keepNext/>
      <w:keepLines/>
      <w:widowControl w:val="0"/>
      <w:adjustRightInd w:val="0"/>
      <w:snapToGrid w:val="0"/>
      <w:spacing w:before="280" w:after="290" w:line="374" w:lineRule="auto"/>
      <w:ind w:firstLine="200" w:firstLineChars="200"/>
      <w:outlineLvl w:val="3"/>
    </w:pPr>
    <w:rPr>
      <w:rFonts w:ascii="Cambria" w:hAnsi="Cambria" w:eastAsia="宋体"/>
      <w:b/>
      <w:bCs/>
      <w:kern w:val="2"/>
      <w:sz w:val="28"/>
      <w:szCs w:val="28"/>
    </w:rPr>
  </w:style>
  <w:style w:type="paragraph" w:styleId="6">
    <w:name w:val="heading 5"/>
    <w:basedOn w:val="1"/>
    <w:next w:val="1"/>
    <w:link w:val="53"/>
    <w:qFormat/>
    <w:uiPriority w:val="0"/>
    <w:pPr>
      <w:keepNext/>
      <w:widowControl w:val="0"/>
      <w:adjustRightInd w:val="0"/>
      <w:snapToGrid w:val="0"/>
      <w:spacing w:line="480" w:lineRule="exact"/>
      <w:ind w:firstLine="803" w:firstLineChars="400"/>
      <w:outlineLvl w:val="4"/>
    </w:pPr>
    <w:rPr>
      <w:rFonts w:ascii="宋体" w:hAnsi="宋体" w:eastAsia="宋体"/>
      <w:b/>
      <w:bCs/>
      <w:kern w:val="2"/>
      <w:sz w:val="28"/>
      <w:szCs w:val="24"/>
    </w:rPr>
  </w:style>
  <w:style w:type="character" w:default="1" w:styleId="36">
    <w:name w:val="Default Paragraph Font"/>
    <w:semiHidden/>
    <w:unhideWhenUsed/>
    <w:uiPriority w:val="1"/>
  </w:style>
  <w:style w:type="table" w:default="1" w:styleId="34">
    <w:name w:val="Normal Table"/>
    <w:semiHidden/>
    <w:unhideWhenUsed/>
    <w:uiPriority w:val="99"/>
    <w:tblPr>
      <w:tblCellMar>
        <w:top w:w="0" w:type="dxa"/>
        <w:left w:w="108" w:type="dxa"/>
        <w:bottom w:w="0" w:type="dxa"/>
        <w:right w:w="108" w:type="dxa"/>
      </w:tblCellMar>
    </w:tblPr>
  </w:style>
  <w:style w:type="paragraph" w:styleId="7">
    <w:name w:val="toc 7"/>
    <w:basedOn w:val="1"/>
    <w:next w:val="1"/>
    <w:qFormat/>
    <w:uiPriority w:val="39"/>
    <w:pPr>
      <w:widowControl w:val="0"/>
      <w:adjustRightInd w:val="0"/>
      <w:snapToGrid w:val="0"/>
      <w:spacing w:line="360" w:lineRule="auto"/>
      <w:ind w:left="1260" w:firstLine="200" w:firstLineChars="200"/>
      <w:jc w:val="left"/>
    </w:pPr>
    <w:rPr>
      <w:rFonts w:ascii="Calibri" w:hAnsi="Calibri" w:eastAsia="宋体" w:cs="Calibri"/>
      <w:kern w:val="2"/>
      <w:sz w:val="18"/>
      <w:szCs w:val="18"/>
    </w:rPr>
  </w:style>
  <w:style w:type="paragraph" w:styleId="8">
    <w:name w:val="Normal Indent"/>
    <w:basedOn w:val="1"/>
    <w:link w:val="46"/>
    <w:qFormat/>
    <w:uiPriority w:val="0"/>
    <w:pPr>
      <w:widowControl w:val="0"/>
      <w:spacing w:line="400" w:lineRule="exact"/>
      <w:ind w:firstLine="420" w:firstLineChars="200"/>
    </w:pPr>
    <w:rPr>
      <w:sz w:val="24"/>
      <w:szCs w:val="21"/>
    </w:rPr>
  </w:style>
  <w:style w:type="paragraph" w:styleId="9">
    <w:name w:val="Document Map"/>
    <w:basedOn w:val="1"/>
    <w:link w:val="54"/>
    <w:qFormat/>
    <w:uiPriority w:val="0"/>
    <w:pPr>
      <w:widowControl w:val="0"/>
      <w:spacing w:line="400" w:lineRule="exact"/>
    </w:pPr>
    <w:rPr>
      <w:rFonts w:ascii="宋体"/>
      <w:kern w:val="2"/>
      <w:sz w:val="18"/>
      <w:szCs w:val="18"/>
    </w:rPr>
  </w:style>
  <w:style w:type="paragraph" w:styleId="10">
    <w:name w:val="annotation text"/>
    <w:basedOn w:val="1"/>
    <w:link w:val="90"/>
    <w:unhideWhenUsed/>
    <w:qFormat/>
    <w:uiPriority w:val="99"/>
    <w:pPr>
      <w:jc w:val="left"/>
    </w:pPr>
  </w:style>
  <w:style w:type="paragraph" w:styleId="11">
    <w:name w:val="Body Text 3"/>
    <w:basedOn w:val="1"/>
    <w:link w:val="56"/>
    <w:unhideWhenUsed/>
    <w:qFormat/>
    <w:uiPriority w:val="99"/>
    <w:pPr>
      <w:widowControl w:val="0"/>
      <w:adjustRightInd w:val="0"/>
      <w:snapToGrid w:val="0"/>
      <w:spacing w:after="120" w:line="360" w:lineRule="auto"/>
      <w:ind w:firstLine="200" w:firstLineChars="200"/>
    </w:pPr>
    <w:rPr>
      <w:rFonts w:ascii="Calibri" w:hAnsi="Calibri"/>
      <w:sz w:val="16"/>
      <w:szCs w:val="16"/>
    </w:rPr>
  </w:style>
  <w:style w:type="paragraph" w:styleId="12">
    <w:name w:val="Body Text"/>
    <w:basedOn w:val="1"/>
    <w:link w:val="44"/>
    <w:qFormat/>
    <w:uiPriority w:val="1"/>
  </w:style>
  <w:style w:type="paragraph" w:styleId="13">
    <w:name w:val="Body Text Indent"/>
    <w:basedOn w:val="1"/>
    <w:link w:val="57"/>
    <w:unhideWhenUsed/>
    <w:qFormat/>
    <w:uiPriority w:val="99"/>
    <w:pPr>
      <w:widowControl w:val="0"/>
      <w:adjustRightInd w:val="0"/>
      <w:snapToGrid w:val="0"/>
      <w:spacing w:line="400" w:lineRule="exact"/>
      <w:ind w:firstLine="600" w:firstLineChars="200"/>
      <w:jc w:val="center"/>
    </w:pPr>
    <w:rPr>
      <w:rFonts w:ascii="Calibri" w:hAnsi="Calibri" w:eastAsia="黑体"/>
      <w:b/>
      <w:bCs/>
    </w:rPr>
  </w:style>
  <w:style w:type="paragraph" w:styleId="14">
    <w:name w:val="toc 5"/>
    <w:basedOn w:val="1"/>
    <w:next w:val="1"/>
    <w:qFormat/>
    <w:uiPriority w:val="39"/>
    <w:pPr>
      <w:widowControl w:val="0"/>
      <w:adjustRightInd w:val="0"/>
      <w:snapToGrid w:val="0"/>
      <w:spacing w:line="360" w:lineRule="auto"/>
      <w:ind w:left="840" w:firstLine="200" w:firstLineChars="200"/>
      <w:jc w:val="left"/>
    </w:pPr>
    <w:rPr>
      <w:rFonts w:ascii="Calibri" w:hAnsi="Calibri" w:eastAsia="宋体" w:cs="Calibri"/>
      <w:kern w:val="2"/>
      <w:sz w:val="18"/>
      <w:szCs w:val="18"/>
    </w:rPr>
  </w:style>
  <w:style w:type="paragraph" w:styleId="15">
    <w:name w:val="toc 3"/>
    <w:basedOn w:val="1"/>
    <w:next w:val="1"/>
    <w:qFormat/>
    <w:uiPriority w:val="39"/>
    <w:pPr>
      <w:widowControl w:val="0"/>
      <w:adjustRightInd w:val="0"/>
      <w:snapToGrid w:val="0"/>
      <w:spacing w:line="360" w:lineRule="auto"/>
      <w:ind w:left="420" w:firstLine="200" w:firstLineChars="200"/>
      <w:jc w:val="left"/>
    </w:pPr>
    <w:rPr>
      <w:rFonts w:ascii="Calibri" w:hAnsi="Calibri" w:eastAsia="宋体" w:cs="Calibri"/>
      <w:i/>
      <w:iCs/>
      <w:kern w:val="2"/>
      <w:sz w:val="20"/>
      <w:szCs w:val="20"/>
    </w:rPr>
  </w:style>
  <w:style w:type="paragraph" w:styleId="16">
    <w:name w:val="Plain Text"/>
    <w:basedOn w:val="1"/>
    <w:link w:val="58"/>
    <w:unhideWhenUsed/>
    <w:qFormat/>
    <w:uiPriority w:val="99"/>
    <w:pPr>
      <w:widowControl w:val="0"/>
      <w:adjustRightInd w:val="0"/>
      <w:snapToGrid w:val="0"/>
      <w:spacing w:line="360" w:lineRule="auto"/>
      <w:ind w:firstLine="200" w:firstLineChars="200"/>
    </w:pPr>
    <w:rPr>
      <w:rFonts w:ascii="宋体" w:hAnsi="Courier New"/>
    </w:rPr>
  </w:style>
  <w:style w:type="paragraph" w:styleId="17">
    <w:name w:val="toc 8"/>
    <w:basedOn w:val="1"/>
    <w:next w:val="1"/>
    <w:qFormat/>
    <w:uiPriority w:val="39"/>
    <w:pPr>
      <w:widowControl w:val="0"/>
      <w:adjustRightInd w:val="0"/>
      <w:snapToGrid w:val="0"/>
      <w:spacing w:line="360" w:lineRule="auto"/>
      <w:ind w:left="1470" w:firstLine="200" w:firstLineChars="200"/>
      <w:jc w:val="left"/>
    </w:pPr>
    <w:rPr>
      <w:rFonts w:ascii="Calibri" w:hAnsi="Calibri" w:eastAsia="宋体" w:cs="Calibri"/>
      <w:kern w:val="2"/>
      <w:sz w:val="18"/>
      <w:szCs w:val="18"/>
    </w:rPr>
  </w:style>
  <w:style w:type="paragraph" w:styleId="18">
    <w:name w:val="Date"/>
    <w:basedOn w:val="1"/>
    <w:next w:val="1"/>
    <w:link w:val="50"/>
    <w:unhideWhenUsed/>
    <w:qFormat/>
    <w:uiPriority w:val="99"/>
    <w:pPr>
      <w:ind w:left="100" w:leftChars="2500"/>
    </w:pPr>
  </w:style>
  <w:style w:type="paragraph" w:styleId="19">
    <w:name w:val="Body Text Indent 2"/>
    <w:basedOn w:val="1"/>
    <w:link w:val="59"/>
    <w:unhideWhenUsed/>
    <w:qFormat/>
    <w:uiPriority w:val="99"/>
    <w:pPr>
      <w:widowControl w:val="0"/>
      <w:adjustRightInd w:val="0"/>
      <w:snapToGrid w:val="0"/>
      <w:spacing w:line="400" w:lineRule="exact"/>
      <w:ind w:firstLine="540" w:firstLineChars="180"/>
    </w:pPr>
    <w:rPr>
      <w:rFonts w:ascii="Calibri" w:hAnsi="Calibri"/>
      <w:sz w:val="30"/>
    </w:rPr>
  </w:style>
  <w:style w:type="paragraph" w:styleId="20">
    <w:name w:val="Balloon Text"/>
    <w:basedOn w:val="1"/>
    <w:link w:val="60"/>
    <w:qFormat/>
    <w:uiPriority w:val="99"/>
    <w:pPr>
      <w:widowControl w:val="0"/>
    </w:pPr>
    <w:rPr>
      <w:kern w:val="2"/>
      <w:sz w:val="18"/>
      <w:szCs w:val="18"/>
    </w:rPr>
  </w:style>
  <w:style w:type="paragraph" w:styleId="21">
    <w:name w:val="footer"/>
    <w:basedOn w:val="1"/>
    <w:link w:val="43"/>
    <w:qFormat/>
    <w:uiPriority w:val="99"/>
    <w:pPr>
      <w:tabs>
        <w:tab w:val="center" w:pos="4153"/>
        <w:tab w:val="right" w:pos="8306"/>
      </w:tabs>
      <w:snapToGrid w:val="0"/>
    </w:pPr>
    <w:rPr>
      <w:sz w:val="18"/>
    </w:rPr>
  </w:style>
  <w:style w:type="paragraph" w:styleId="22">
    <w:name w:val="header"/>
    <w:basedOn w:val="1"/>
    <w:link w:val="47"/>
    <w:unhideWhenUsed/>
    <w:qFormat/>
    <w:uiPriority w:val="99"/>
    <w:pPr>
      <w:pBdr>
        <w:bottom w:val="single" w:color="auto" w:sz="6" w:space="1"/>
      </w:pBdr>
      <w:tabs>
        <w:tab w:val="center" w:pos="4153"/>
        <w:tab w:val="right" w:pos="8306"/>
      </w:tabs>
      <w:snapToGrid w:val="0"/>
      <w:jc w:val="center"/>
    </w:pPr>
    <w:rPr>
      <w:sz w:val="18"/>
      <w:szCs w:val="18"/>
    </w:rPr>
  </w:style>
  <w:style w:type="paragraph" w:styleId="23">
    <w:name w:val="toc 1"/>
    <w:basedOn w:val="1"/>
    <w:next w:val="1"/>
    <w:unhideWhenUsed/>
    <w:qFormat/>
    <w:uiPriority w:val="39"/>
  </w:style>
  <w:style w:type="paragraph" w:styleId="24">
    <w:name w:val="toc 4"/>
    <w:basedOn w:val="1"/>
    <w:next w:val="1"/>
    <w:qFormat/>
    <w:uiPriority w:val="39"/>
    <w:pPr>
      <w:widowControl w:val="0"/>
      <w:adjustRightInd w:val="0"/>
      <w:snapToGrid w:val="0"/>
      <w:spacing w:line="360" w:lineRule="auto"/>
      <w:ind w:left="630" w:firstLine="200" w:firstLineChars="200"/>
      <w:jc w:val="left"/>
    </w:pPr>
    <w:rPr>
      <w:rFonts w:ascii="Calibri" w:hAnsi="Calibri" w:eastAsia="宋体" w:cs="Calibri"/>
      <w:kern w:val="2"/>
      <w:sz w:val="18"/>
      <w:szCs w:val="18"/>
    </w:rPr>
  </w:style>
  <w:style w:type="paragraph" w:styleId="25">
    <w:name w:val="Subtitle"/>
    <w:basedOn w:val="1"/>
    <w:next w:val="1"/>
    <w:link w:val="61"/>
    <w:qFormat/>
    <w:uiPriority w:val="11"/>
    <w:pPr>
      <w:widowControl w:val="0"/>
      <w:adjustRightInd w:val="0"/>
      <w:snapToGrid w:val="0"/>
      <w:spacing w:before="240" w:after="60" w:line="312" w:lineRule="auto"/>
      <w:ind w:firstLine="200" w:firstLineChars="200"/>
      <w:jc w:val="center"/>
      <w:outlineLvl w:val="1"/>
    </w:pPr>
    <w:rPr>
      <w:rFonts w:ascii="Cambria" w:hAnsi="Cambria"/>
      <w:b/>
      <w:bCs/>
      <w:kern w:val="28"/>
    </w:rPr>
  </w:style>
  <w:style w:type="paragraph" w:styleId="26">
    <w:name w:val="toc 6"/>
    <w:basedOn w:val="1"/>
    <w:next w:val="1"/>
    <w:qFormat/>
    <w:uiPriority w:val="39"/>
    <w:pPr>
      <w:widowControl w:val="0"/>
      <w:adjustRightInd w:val="0"/>
      <w:snapToGrid w:val="0"/>
      <w:spacing w:line="360" w:lineRule="auto"/>
      <w:ind w:left="1050" w:firstLine="200" w:firstLineChars="200"/>
      <w:jc w:val="left"/>
    </w:pPr>
    <w:rPr>
      <w:rFonts w:ascii="Calibri" w:hAnsi="Calibri" w:eastAsia="宋体" w:cs="Calibri"/>
      <w:kern w:val="2"/>
      <w:sz w:val="18"/>
      <w:szCs w:val="18"/>
    </w:rPr>
  </w:style>
  <w:style w:type="paragraph" w:styleId="27">
    <w:name w:val="Body Text Indent 3"/>
    <w:basedOn w:val="1"/>
    <w:link w:val="62"/>
    <w:unhideWhenUsed/>
    <w:qFormat/>
    <w:uiPriority w:val="99"/>
    <w:pPr>
      <w:widowControl w:val="0"/>
      <w:adjustRightInd w:val="0"/>
      <w:snapToGrid w:val="0"/>
      <w:spacing w:after="120" w:line="360" w:lineRule="auto"/>
      <w:ind w:left="420" w:leftChars="200" w:firstLine="200" w:firstLineChars="200"/>
    </w:pPr>
    <w:rPr>
      <w:rFonts w:ascii="Calibri" w:hAnsi="Calibri"/>
      <w:sz w:val="16"/>
      <w:szCs w:val="16"/>
    </w:rPr>
  </w:style>
  <w:style w:type="paragraph" w:styleId="28">
    <w:name w:val="toc 2"/>
    <w:basedOn w:val="1"/>
    <w:next w:val="1"/>
    <w:unhideWhenUsed/>
    <w:qFormat/>
    <w:uiPriority w:val="39"/>
    <w:pPr>
      <w:ind w:left="420" w:leftChars="200"/>
    </w:pPr>
  </w:style>
  <w:style w:type="paragraph" w:styleId="29">
    <w:name w:val="toc 9"/>
    <w:basedOn w:val="1"/>
    <w:next w:val="1"/>
    <w:qFormat/>
    <w:uiPriority w:val="39"/>
    <w:pPr>
      <w:widowControl w:val="0"/>
      <w:adjustRightInd w:val="0"/>
      <w:snapToGrid w:val="0"/>
      <w:spacing w:line="360" w:lineRule="auto"/>
      <w:ind w:left="1680" w:firstLine="200" w:firstLineChars="200"/>
      <w:jc w:val="left"/>
    </w:pPr>
    <w:rPr>
      <w:rFonts w:ascii="Calibri" w:hAnsi="Calibri" w:eastAsia="宋体" w:cs="Calibri"/>
      <w:kern w:val="2"/>
      <w:sz w:val="18"/>
      <w:szCs w:val="18"/>
    </w:rPr>
  </w:style>
  <w:style w:type="paragraph" w:styleId="30">
    <w:name w:val="Body Text 2"/>
    <w:basedOn w:val="1"/>
    <w:link w:val="63"/>
    <w:unhideWhenUsed/>
    <w:qFormat/>
    <w:uiPriority w:val="99"/>
    <w:pPr>
      <w:widowControl w:val="0"/>
      <w:adjustRightInd w:val="0"/>
      <w:snapToGrid w:val="0"/>
      <w:spacing w:line="360" w:lineRule="auto"/>
      <w:ind w:firstLine="200" w:firstLineChars="200"/>
      <w:jc w:val="center"/>
    </w:pPr>
    <w:rPr>
      <w:rFonts w:ascii="Calibri" w:hAnsi="Calibri"/>
      <w:b/>
      <w:bCs/>
      <w:sz w:val="28"/>
      <w:szCs w:val="24"/>
    </w:rPr>
  </w:style>
  <w:style w:type="paragraph" w:styleId="31">
    <w:name w:val="Normal (Web)"/>
    <w:basedOn w:val="1"/>
    <w:unhideWhenUsed/>
    <w:qFormat/>
    <w:uiPriority w:val="0"/>
    <w:pPr>
      <w:spacing w:before="100" w:beforeAutospacing="1" w:after="100" w:afterAutospacing="1"/>
      <w:jc w:val="left"/>
    </w:pPr>
    <w:rPr>
      <w:rFonts w:ascii="宋体" w:hAnsi="宋体" w:eastAsia="宋体" w:cs="宋体"/>
      <w:sz w:val="24"/>
      <w:szCs w:val="24"/>
    </w:rPr>
  </w:style>
  <w:style w:type="paragraph" w:styleId="32">
    <w:name w:val="Title"/>
    <w:basedOn w:val="1"/>
    <w:next w:val="1"/>
    <w:link w:val="64"/>
    <w:qFormat/>
    <w:uiPriority w:val="10"/>
    <w:pPr>
      <w:widowControl w:val="0"/>
      <w:adjustRightInd w:val="0"/>
      <w:snapToGrid w:val="0"/>
      <w:spacing w:before="240" w:after="60" w:line="360" w:lineRule="auto"/>
      <w:ind w:firstLine="200" w:firstLineChars="200"/>
      <w:jc w:val="center"/>
      <w:outlineLvl w:val="0"/>
    </w:pPr>
    <w:rPr>
      <w:rFonts w:ascii="Cambria" w:hAnsi="Cambria"/>
      <w:b/>
      <w:bCs/>
      <w:kern w:val="2"/>
    </w:rPr>
  </w:style>
  <w:style w:type="paragraph" w:styleId="33">
    <w:name w:val="annotation subject"/>
    <w:basedOn w:val="10"/>
    <w:next w:val="10"/>
    <w:link w:val="65"/>
    <w:qFormat/>
    <w:uiPriority w:val="0"/>
    <w:pPr>
      <w:widowControl w:val="0"/>
      <w:spacing w:line="400" w:lineRule="exact"/>
    </w:pPr>
    <w:rPr>
      <w:b/>
      <w:bCs/>
      <w:kern w:val="2"/>
      <w:sz w:val="24"/>
      <w:szCs w:val="21"/>
    </w:rPr>
  </w:style>
  <w:style w:type="table" w:styleId="35">
    <w:name w:val="Table Grid"/>
    <w:basedOn w:val="34"/>
    <w:qFormat/>
    <w:uiPriority w:val="39"/>
    <w:pPr>
      <w:widowControl w:val="0"/>
    </w:pPr>
    <w:rPr>
      <w:rFonts w:ascii="Times New Roman" w:eastAsia="宋体"/>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7">
    <w:name w:val="Strong"/>
    <w:qFormat/>
    <w:uiPriority w:val="22"/>
    <w:rPr>
      <w:b/>
      <w:bCs/>
    </w:rPr>
  </w:style>
  <w:style w:type="character" w:styleId="38">
    <w:name w:val="FollowedHyperlink"/>
    <w:unhideWhenUsed/>
    <w:qFormat/>
    <w:uiPriority w:val="99"/>
    <w:rPr>
      <w:color w:val="800080"/>
      <w:u w:val="single"/>
    </w:rPr>
  </w:style>
  <w:style w:type="character" w:styleId="39">
    <w:name w:val="Hyperlink"/>
    <w:basedOn w:val="36"/>
    <w:unhideWhenUsed/>
    <w:qFormat/>
    <w:uiPriority w:val="99"/>
    <w:rPr>
      <w:color w:val="0000FF" w:themeColor="hyperlink"/>
      <w:u w:val="single"/>
      <w14:textFill>
        <w14:solidFill>
          <w14:schemeClr w14:val="hlink"/>
        </w14:solidFill>
      </w14:textFill>
    </w:rPr>
  </w:style>
  <w:style w:type="character" w:styleId="40">
    <w:name w:val="annotation reference"/>
    <w:qFormat/>
    <w:uiPriority w:val="0"/>
    <w:rPr>
      <w:sz w:val="21"/>
      <w:szCs w:val="21"/>
    </w:rPr>
  </w:style>
  <w:style w:type="paragraph" w:customStyle="1" w:styleId="41">
    <w:name w:val="Table Paragraph"/>
    <w:basedOn w:val="1"/>
    <w:qFormat/>
    <w:uiPriority w:val="1"/>
  </w:style>
  <w:style w:type="character" w:customStyle="1" w:styleId="42">
    <w:name w:val="标题 1 字符"/>
    <w:basedOn w:val="36"/>
    <w:link w:val="2"/>
    <w:qFormat/>
    <w:uiPriority w:val="0"/>
    <w:rPr>
      <w:rFonts w:ascii="宋体" w:hAnsi="宋体" w:cs="宋体"/>
      <w:sz w:val="28"/>
      <w:szCs w:val="28"/>
      <w:lang w:val="zh-CN" w:bidi="zh-CN"/>
    </w:rPr>
  </w:style>
  <w:style w:type="character" w:customStyle="1" w:styleId="43">
    <w:name w:val="页脚 字符"/>
    <w:basedOn w:val="36"/>
    <w:link w:val="21"/>
    <w:qFormat/>
    <w:uiPriority w:val="99"/>
    <w:rPr>
      <w:rFonts w:ascii="宋体" w:hAnsi="宋体" w:cs="宋体"/>
      <w:sz w:val="18"/>
      <w:szCs w:val="22"/>
      <w:lang w:val="zh-CN" w:bidi="zh-CN"/>
    </w:rPr>
  </w:style>
  <w:style w:type="character" w:customStyle="1" w:styleId="44">
    <w:name w:val="正文文本 字符"/>
    <w:basedOn w:val="36"/>
    <w:link w:val="12"/>
    <w:qFormat/>
    <w:uiPriority w:val="99"/>
    <w:rPr>
      <w:rFonts w:ascii="宋体" w:hAnsi="宋体" w:cs="宋体"/>
      <w:sz w:val="22"/>
      <w:szCs w:val="22"/>
      <w:lang w:val="zh-CN" w:bidi="zh-CN"/>
    </w:rPr>
  </w:style>
  <w:style w:type="paragraph" w:styleId="45">
    <w:name w:val="List Paragraph"/>
    <w:basedOn w:val="1"/>
    <w:qFormat/>
    <w:uiPriority w:val="34"/>
  </w:style>
  <w:style w:type="character" w:customStyle="1" w:styleId="46">
    <w:name w:val="正文缩进 字符"/>
    <w:link w:val="8"/>
    <w:qFormat/>
    <w:locked/>
    <w:uiPriority w:val="0"/>
    <w:rPr>
      <w:sz w:val="24"/>
      <w:szCs w:val="21"/>
    </w:rPr>
  </w:style>
  <w:style w:type="character" w:customStyle="1" w:styleId="47">
    <w:name w:val="页眉 字符"/>
    <w:basedOn w:val="36"/>
    <w:link w:val="22"/>
    <w:qFormat/>
    <w:uiPriority w:val="99"/>
    <w:rPr>
      <w:sz w:val="18"/>
      <w:szCs w:val="18"/>
    </w:rPr>
  </w:style>
  <w:style w:type="character" w:customStyle="1" w:styleId="48">
    <w:name w:val="标题 2 字符"/>
    <w:basedOn w:val="36"/>
    <w:link w:val="3"/>
    <w:qFormat/>
    <w:uiPriority w:val="9"/>
    <w:rPr>
      <w:rFonts w:asciiTheme="majorHAnsi" w:hAnsiTheme="majorHAnsi" w:eastAsiaTheme="majorEastAsia" w:cstheme="majorBidi"/>
      <w:b/>
      <w:bCs/>
    </w:rPr>
  </w:style>
  <w:style w:type="paragraph" w:customStyle="1" w:styleId="49">
    <w:name w:val="字母编号列项（一级）"/>
    <w:qFormat/>
    <w:uiPriority w:val="0"/>
    <w:pPr>
      <w:numPr>
        <w:ilvl w:val="0"/>
        <w:numId w:val="1"/>
      </w:numPr>
      <w:tabs>
        <w:tab w:val="left" w:pos="840"/>
      </w:tabs>
      <w:jc w:val="both"/>
    </w:pPr>
    <w:rPr>
      <w:rFonts w:ascii="宋体" w:hAnsi="Times New Roman" w:eastAsia="宋体" w:cs="Times New Roman"/>
      <w:sz w:val="21"/>
      <w:szCs w:val="22"/>
      <w:lang w:val="en-US" w:eastAsia="zh-CN" w:bidi="ar-SA"/>
    </w:rPr>
  </w:style>
  <w:style w:type="character" w:customStyle="1" w:styleId="50">
    <w:name w:val="日期 字符"/>
    <w:basedOn w:val="36"/>
    <w:link w:val="18"/>
    <w:qFormat/>
    <w:uiPriority w:val="99"/>
    <w:rPr>
      <w:sz w:val="32"/>
      <w:szCs w:val="32"/>
    </w:rPr>
  </w:style>
  <w:style w:type="character" w:customStyle="1" w:styleId="51">
    <w:name w:val="标题 3 字符"/>
    <w:basedOn w:val="36"/>
    <w:link w:val="4"/>
    <w:qFormat/>
    <w:uiPriority w:val="0"/>
    <w:rPr>
      <w:rFonts w:ascii="Times New Roman" w:eastAsia="宋体"/>
      <w:b/>
      <w:bCs/>
      <w:kern w:val="2"/>
      <w:sz w:val="24"/>
      <w:szCs w:val="32"/>
    </w:rPr>
  </w:style>
  <w:style w:type="character" w:customStyle="1" w:styleId="52">
    <w:name w:val="标题 4 字符"/>
    <w:basedOn w:val="36"/>
    <w:link w:val="5"/>
    <w:qFormat/>
    <w:uiPriority w:val="0"/>
    <w:rPr>
      <w:rFonts w:ascii="Cambria" w:hAnsi="Cambria" w:eastAsia="宋体"/>
      <w:b/>
      <w:bCs/>
      <w:kern w:val="2"/>
      <w:sz w:val="28"/>
      <w:szCs w:val="28"/>
    </w:rPr>
  </w:style>
  <w:style w:type="character" w:customStyle="1" w:styleId="53">
    <w:name w:val="标题 5 字符"/>
    <w:basedOn w:val="36"/>
    <w:link w:val="6"/>
    <w:qFormat/>
    <w:uiPriority w:val="0"/>
    <w:rPr>
      <w:rFonts w:ascii="宋体" w:hAnsi="宋体" w:eastAsia="宋体"/>
      <w:b/>
      <w:bCs/>
      <w:kern w:val="2"/>
      <w:sz w:val="28"/>
      <w:szCs w:val="24"/>
    </w:rPr>
  </w:style>
  <w:style w:type="character" w:customStyle="1" w:styleId="54">
    <w:name w:val="文档结构图 字符"/>
    <w:basedOn w:val="36"/>
    <w:link w:val="9"/>
    <w:qFormat/>
    <w:uiPriority w:val="0"/>
    <w:rPr>
      <w:rFonts w:ascii="宋体"/>
      <w:kern w:val="2"/>
      <w:sz w:val="18"/>
      <w:szCs w:val="18"/>
    </w:rPr>
  </w:style>
  <w:style w:type="character" w:customStyle="1" w:styleId="55">
    <w:name w:val="批注文字 字符"/>
    <w:basedOn w:val="36"/>
    <w:qFormat/>
    <w:uiPriority w:val="99"/>
    <w:rPr>
      <w:sz w:val="32"/>
      <w:szCs w:val="32"/>
    </w:rPr>
  </w:style>
  <w:style w:type="character" w:customStyle="1" w:styleId="56">
    <w:name w:val="正文文本 3 字符"/>
    <w:basedOn w:val="36"/>
    <w:link w:val="11"/>
    <w:qFormat/>
    <w:uiPriority w:val="99"/>
    <w:rPr>
      <w:rFonts w:ascii="Calibri" w:hAnsi="Calibri"/>
      <w:sz w:val="16"/>
      <w:szCs w:val="16"/>
    </w:rPr>
  </w:style>
  <w:style w:type="character" w:customStyle="1" w:styleId="57">
    <w:name w:val="正文文本缩进 字符"/>
    <w:basedOn w:val="36"/>
    <w:link w:val="13"/>
    <w:qFormat/>
    <w:uiPriority w:val="99"/>
    <w:rPr>
      <w:rFonts w:ascii="Calibri" w:hAnsi="Calibri" w:eastAsia="黑体"/>
      <w:b/>
      <w:bCs/>
      <w:sz w:val="32"/>
      <w:szCs w:val="32"/>
    </w:rPr>
  </w:style>
  <w:style w:type="character" w:customStyle="1" w:styleId="58">
    <w:name w:val="纯文本 字符"/>
    <w:basedOn w:val="36"/>
    <w:link w:val="16"/>
    <w:qFormat/>
    <w:uiPriority w:val="99"/>
    <w:rPr>
      <w:rFonts w:ascii="宋体" w:hAnsi="Courier New"/>
      <w:sz w:val="32"/>
      <w:szCs w:val="32"/>
    </w:rPr>
  </w:style>
  <w:style w:type="character" w:customStyle="1" w:styleId="59">
    <w:name w:val="正文文本缩进 2 字符"/>
    <w:basedOn w:val="36"/>
    <w:link w:val="19"/>
    <w:qFormat/>
    <w:uiPriority w:val="99"/>
    <w:rPr>
      <w:rFonts w:ascii="Calibri" w:hAnsi="Calibri"/>
      <w:sz w:val="30"/>
      <w:szCs w:val="32"/>
    </w:rPr>
  </w:style>
  <w:style w:type="character" w:customStyle="1" w:styleId="60">
    <w:name w:val="批注框文本 字符"/>
    <w:basedOn w:val="36"/>
    <w:link w:val="20"/>
    <w:qFormat/>
    <w:uiPriority w:val="99"/>
    <w:rPr>
      <w:kern w:val="2"/>
      <w:sz w:val="18"/>
      <w:szCs w:val="18"/>
    </w:rPr>
  </w:style>
  <w:style w:type="character" w:customStyle="1" w:styleId="61">
    <w:name w:val="副标题 字符"/>
    <w:basedOn w:val="36"/>
    <w:link w:val="25"/>
    <w:qFormat/>
    <w:uiPriority w:val="11"/>
    <w:rPr>
      <w:rFonts w:ascii="Cambria" w:hAnsi="Cambria"/>
      <w:b/>
      <w:bCs/>
      <w:kern w:val="28"/>
      <w:sz w:val="32"/>
      <w:szCs w:val="32"/>
    </w:rPr>
  </w:style>
  <w:style w:type="character" w:customStyle="1" w:styleId="62">
    <w:name w:val="正文文本缩进 3 字符"/>
    <w:basedOn w:val="36"/>
    <w:link w:val="27"/>
    <w:qFormat/>
    <w:uiPriority w:val="99"/>
    <w:rPr>
      <w:rFonts w:ascii="Calibri" w:hAnsi="Calibri"/>
      <w:sz w:val="16"/>
      <w:szCs w:val="16"/>
    </w:rPr>
  </w:style>
  <w:style w:type="character" w:customStyle="1" w:styleId="63">
    <w:name w:val="正文文本 2 字符"/>
    <w:basedOn w:val="36"/>
    <w:link w:val="30"/>
    <w:qFormat/>
    <w:uiPriority w:val="99"/>
    <w:rPr>
      <w:rFonts w:ascii="Calibri" w:hAnsi="Calibri"/>
      <w:b/>
      <w:bCs/>
      <w:sz w:val="28"/>
      <w:szCs w:val="24"/>
    </w:rPr>
  </w:style>
  <w:style w:type="character" w:customStyle="1" w:styleId="64">
    <w:name w:val="标题 字符"/>
    <w:basedOn w:val="36"/>
    <w:link w:val="32"/>
    <w:qFormat/>
    <w:uiPriority w:val="10"/>
    <w:rPr>
      <w:rFonts w:ascii="Cambria" w:hAnsi="Cambria"/>
      <w:b/>
      <w:bCs/>
      <w:kern w:val="2"/>
      <w:sz w:val="32"/>
      <w:szCs w:val="32"/>
    </w:rPr>
  </w:style>
  <w:style w:type="character" w:customStyle="1" w:styleId="65">
    <w:name w:val="批注主题 字符"/>
    <w:basedOn w:val="55"/>
    <w:link w:val="33"/>
    <w:qFormat/>
    <w:uiPriority w:val="0"/>
    <w:rPr>
      <w:b/>
      <w:bCs/>
      <w:kern w:val="2"/>
      <w:sz w:val="24"/>
      <w:szCs w:val="21"/>
    </w:rPr>
  </w:style>
  <w:style w:type="character" w:customStyle="1" w:styleId="66">
    <w:name w:val="font11"/>
    <w:basedOn w:val="36"/>
    <w:qFormat/>
    <w:uiPriority w:val="0"/>
    <w:rPr>
      <w:rFonts w:hint="eastAsia" w:ascii="宋体" w:hAnsi="宋体" w:eastAsia="宋体" w:cs="宋体"/>
      <w:color w:val="000000"/>
      <w:sz w:val="20"/>
      <w:szCs w:val="20"/>
      <w:u w:val="none"/>
    </w:rPr>
  </w:style>
  <w:style w:type="character" w:customStyle="1" w:styleId="67">
    <w:name w:val="font01"/>
    <w:basedOn w:val="36"/>
    <w:qFormat/>
    <w:uiPriority w:val="0"/>
    <w:rPr>
      <w:rFonts w:hint="eastAsia" w:ascii="宋体" w:hAnsi="宋体" w:eastAsia="宋体" w:cs="宋体"/>
      <w:color w:val="000000"/>
      <w:sz w:val="20"/>
      <w:szCs w:val="20"/>
      <w:u w:val="none"/>
      <w:vertAlign w:val="superscript"/>
    </w:rPr>
  </w:style>
  <w:style w:type="character" w:customStyle="1" w:styleId="68">
    <w:name w:val="页脚 Char"/>
    <w:qFormat/>
    <w:uiPriority w:val="99"/>
    <w:rPr>
      <w:rFonts w:eastAsia="Calibri"/>
      <w:sz w:val="21"/>
    </w:rPr>
  </w:style>
  <w:style w:type="character" w:customStyle="1" w:styleId="69">
    <w:name w:val="正文缩进 Char"/>
    <w:qFormat/>
    <w:locked/>
    <w:uiPriority w:val="0"/>
    <w:rPr>
      <w:rFonts w:ascii="Times New Roman" w:hAnsi="Times New Roman"/>
      <w:sz w:val="28"/>
      <w:szCs w:val="21"/>
    </w:rPr>
  </w:style>
  <w:style w:type="character" w:customStyle="1" w:styleId="70">
    <w:name w:val="批注框文本 字符1"/>
    <w:basedOn w:val="36"/>
    <w:qFormat/>
    <w:uiPriority w:val="99"/>
    <w:rPr>
      <w:sz w:val="18"/>
      <w:szCs w:val="18"/>
    </w:rPr>
  </w:style>
  <w:style w:type="character" w:customStyle="1" w:styleId="71">
    <w:name w:val="文档结构图 字符1"/>
    <w:basedOn w:val="36"/>
    <w:qFormat/>
    <w:uiPriority w:val="0"/>
    <w:rPr>
      <w:rFonts w:ascii="Microsoft YaHei UI" w:eastAsia="Microsoft YaHei UI"/>
      <w:sz w:val="18"/>
      <w:szCs w:val="18"/>
    </w:rPr>
  </w:style>
  <w:style w:type="character" w:customStyle="1" w:styleId="72">
    <w:name w:val="日期 字符1"/>
    <w:basedOn w:val="36"/>
    <w:qFormat/>
    <w:uiPriority w:val="99"/>
  </w:style>
  <w:style w:type="paragraph" w:customStyle="1" w:styleId="73">
    <w:name w:val="段"/>
    <w:link w:val="145"/>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sz w:val="21"/>
      <w:szCs w:val="22"/>
      <w:lang w:val="en-US" w:eastAsia="zh-CN" w:bidi="ar-SA"/>
    </w:rPr>
  </w:style>
  <w:style w:type="paragraph" w:customStyle="1" w:styleId="74">
    <w:name w:val="!gb2312"/>
    <w:basedOn w:val="1"/>
    <w:uiPriority w:val="0"/>
    <w:pPr>
      <w:widowControl w:val="0"/>
      <w:ind w:firstLine="1440" w:firstLineChars="450"/>
    </w:pPr>
    <w:rPr>
      <w:rFonts w:ascii="仿宋_GB2312" w:eastAsia="仿宋_GB2312"/>
      <w:kern w:val="2"/>
    </w:rPr>
  </w:style>
  <w:style w:type="paragraph" w:customStyle="1" w:styleId="75">
    <w:name w:val="附录章标题"/>
    <w:next w:val="73"/>
    <w:qFormat/>
    <w:uiPriority w:val="0"/>
    <w:pPr>
      <w:numPr>
        <w:ilvl w:val="1"/>
        <w:numId w:val="2"/>
      </w:numPr>
      <w:tabs>
        <w:tab w:val="left" w:pos="360"/>
      </w:tabs>
      <w:wordWrap w:val="0"/>
      <w:overflowPunct w:val="0"/>
      <w:autoSpaceDE w:val="0"/>
      <w:spacing w:beforeLines="100" w:afterLines="100"/>
      <w:jc w:val="both"/>
      <w:textAlignment w:val="baseline"/>
      <w:outlineLvl w:val="1"/>
    </w:pPr>
    <w:rPr>
      <w:rFonts w:ascii="黑体" w:hAnsi="Times New Roman" w:eastAsia="黑体" w:cs="Times New Roman"/>
      <w:kern w:val="21"/>
      <w:sz w:val="21"/>
      <w:szCs w:val="22"/>
      <w:lang w:val="en-US" w:eastAsia="zh-CN" w:bidi="ar-SA"/>
    </w:rPr>
  </w:style>
  <w:style w:type="paragraph" w:customStyle="1" w:styleId="76">
    <w:name w:val="TOC 标题1"/>
    <w:basedOn w:val="2"/>
    <w:next w:val="1"/>
    <w:qFormat/>
    <w:uiPriority w:val="39"/>
    <w:pPr>
      <w:keepNext/>
      <w:keepLines/>
      <w:snapToGrid w:val="0"/>
      <w:spacing w:before="480" w:line="276" w:lineRule="auto"/>
      <w:ind w:right="0"/>
      <w:jc w:val="left"/>
      <w:outlineLvl w:val="9"/>
    </w:pPr>
    <w:rPr>
      <w:rFonts w:ascii="Calibri Light" w:hAnsi="Calibri Light" w:eastAsia="宋体"/>
      <w:b/>
      <w:bCs/>
      <w:color w:val="2E74B5"/>
    </w:rPr>
  </w:style>
  <w:style w:type="character" w:customStyle="1" w:styleId="77">
    <w:name w:val="font51"/>
    <w:uiPriority w:val="0"/>
    <w:rPr>
      <w:rFonts w:hint="eastAsia" w:ascii="宋体" w:hAnsi="宋体" w:eastAsia="宋体" w:cs="宋体"/>
      <w:color w:val="000000"/>
      <w:sz w:val="24"/>
      <w:szCs w:val="24"/>
      <w:u w:val="none"/>
    </w:rPr>
  </w:style>
  <w:style w:type="character" w:customStyle="1" w:styleId="78">
    <w:name w:val="font121"/>
    <w:qFormat/>
    <w:uiPriority w:val="0"/>
    <w:rPr>
      <w:rFonts w:hint="eastAsia" w:ascii="宋体" w:hAnsi="宋体" w:eastAsia="宋体" w:cs="宋体"/>
      <w:color w:val="FF0000"/>
      <w:sz w:val="24"/>
      <w:szCs w:val="24"/>
      <w:u w:val="none"/>
    </w:rPr>
  </w:style>
  <w:style w:type="character" w:customStyle="1" w:styleId="79">
    <w:name w:val="font61"/>
    <w:qFormat/>
    <w:uiPriority w:val="0"/>
    <w:rPr>
      <w:rFonts w:hint="eastAsia" w:ascii="宋体" w:hAnsi="宋体" w:eastAsia="宋体" w:cs="宋体"/>
      <w:color w:val="000000"/>
      <w:sz w:val="20"/>
      <w:szCs w:val="20"/>
      <w:u w:val="none"/>
    </w:rPr>
  </w:style>
  <w:style w:type="character" w:customStyle="1" w:styleId="80">
    <w:name w:val="font12"/>
    <w:qFormat/>
    <w:uiPriority w:val="0"/>
    <w:rPr>
      <w:rFonts w:hint="eastAsia" w:ascii="宋体" w:hAnsi="宋体" w:eastAsia="宋体" w:cs="宋体"/>
      <w:color w:val="FF0000"/>
      <w:sz w:val="24"/>
      <w:szCs w:val="24"/>
      <w:u w:val="none"/>
    </w:rPr>
  </w:style>
  <w:style w:type="character" w:customStyle="1" w:styleId="81">
    <w:name w:val="font71"/>
    <w:uiPriority w:val="0"/>
    <w:rPr>
      <w:rFonts w:hint="eastAsia" w:ascii="宋体" w:hAnsi="宋体" w:eastAsia="宋体" w:cs="宋体"/>
      <w:b/>
      <w:color w:val="000000"/>
      <w:sz w:val="24"/>
      <w:szCs w:val="24"/>
      <w:u w:val="none"/>
    </w:rPr>
  </w:style>
  <w:style w:type="character" w:customStyle="1" w:styleId="82">
    <w:name w:val="font21"/>
    <w:uiPriority w:val="0"/>
    <w:rPr>
      <w:rFonts w:hint="eastAsia" w:ascii="宋体" w:hAnsi="宋体" w:eastAsia="宋体" w:cs="宋体"/>
      <w:color w:val="000000"/>
      <w:sz w:val="22"/>
      <w:szCs w:val="22"/>
      <w:u w:val="none"/>
    </w:rPr>
  </w:style>
  <w:style w:type="character" w:customStyle="1" w:styleId="83">
    <w:name w:val="font81"/>
    <w:uiPriority w:val="0"/>
    <w:rPr>
      <w:rFonts w:hint="eastAsia" w:ascii="宋体" w:hAnsi="宋体" w:eastAsia="宋体" w:cs="宋体"/>
      <w:b/>
      <w:color w:val="000000"/>
      <w:sz w:val="24"/>
      <w:szCs w:val="24"/>
      <w:u w:val="none"/>
    </w:rPr>
  </w:style>
  <w:style w:type="character" w:customStyle="1" w:styleId="84">
    <w:name w:val="font161"/>
    <w:uiPriority w:val="0"/>
    <w:rPr>
      <w:rFonts w:hint="eastAsia" w:ascii="宋体" w:hAnsi="宋体" w:eastAsia="宋体" w:cs="宋体"/>
      <w:b/>
      <w:color w:val="000000"/>
      <w:sz w:val="24"/>
      <w:szCs w:val="24"/>
      <w:u w:val="none"/>
    </w:rPr>
  </w:style>
  <w:style w:type="character" w:customStyle="1" w:styleId="85">
    <w:name w:val="font131"/>
    <w:uiPriority w:val="0"/>
    <w:rPr>
      <w:rFonts w:hint="eastAsia" w:ascii="宋体" w:hAnsi="宋体" w:eastAsia="宋体" w:cs="宋体"/>
      <w:b/>
      <w:color w:val="000000"/>
      <w:sz w:val="24"/>
      <w:szCs w:val="24"/>
      <w:u w:val="none"/>
    </w:rPr>
  </w:style>
  <w:style w:type="character" w:customStyle="1" w:styleId="86">
    <w:name w:val="font101"/>
    <w:uiPriority w:val="0"/>
    <w:rPr>
      <w:rFonts w:hint="eastAsia" w:ascii="宋体" w:hAnsi="宋体" w:eastAsia="宋体" w:cs="宋体"/>
      <w:color w:val="000000"/>
      <w:sz w:val="24"/>
      <w:szCs w:val="24"/>
      <w:u w:val="none"/>
    </w:rPr>
  </w:style>
  <w:style w:type="character" w:customStyle="1" w:styleId="87">
    <w:name w:val="font41"/>
    <w:uiPriority w:val="0"/>
    <w:rPr>
      <w:rFonts w:hint="eastAsia" w:ascii="宋体" w:hAnsi="宋体" w:eastAsia="宋体" w:cs="宋体"/>
      <w:color w:val="000000"/>
      <w:sz w:val="24"/>
      <w:szCs w:val="24"/>
      <w:u w:val="none"/>
    </w:rPr>
  </w:style>
  <w:style w:type="character" w:customStyle="1" w:styleId="88">
    <w:name w:val="font31"/>
    <w:uiPriority w:val="0"/>
    <w:rPr>
      <w:rFonts w:hint="eastAsia" w:ascii="宋体" w:hAnsi="宋体" w:eastAsia="宋体" w:cs="宋体"/>
      <w:color w:val="000000"/>
      <w:sz w:val="24"/>
      <w:szCs w:val="24"/>
      <w:u w:val="none"/>
    </w:rPr>
  </w:style>
  <w:style w:type="character" w:customStyle="1" w:styleId="89">
    <w:name w:val="font91"/>
    <w:uiPriority w:val="0"/>
    <w:rPr>
      <w:rFonts w:hint="eastAsia" w:ascii="宋体" w:hAnsi="宋体" w:eastAsia="宋体" w:cs="宋体"/>
      <w:b/>
      <w:color w:val="000000"/>
      <w:sz w:val="24"/>
      <w:szCs w:val="24"/>
      <w:u w:val="none"/>
    </w:rPr>
  </w:style>
  <w:style w:type="character" w:customStyle="1" w:styleId="90">
    <w:name w:val="批注文字 字符1"/>
    <w:basedOn w:val="36"/>
    <w:link w:val="10"/>
    <w:qFormat/>
    <w:uiPriority w:val="99"/>
    <w:rPr>
      <w:sz w:val="32"/>
      <w:szCs w:val="32"/>
    </w:rPr>
  </w:style>
  <w:style w:type="character" w:customStyle="1" w:styleId="91">
    <w:name w:val="批注主题 字符1"/>
    <w:basedOn w:val="90"/>
    <w:qFormat/>
    <w:uiPriority w:val="0"/>
    <w:rPr>
      <w:b/>
      <w:bCs/>
      <w:sz w:val="32"/>
      <w:szCs w:val="32"/>
    </w:rPr>
  </w:style>
  <w:style w:type="paragraph" w:customStyle="1" w:styleId="92">
    <w:name w:val="xl82"/>
    <w:basedOn w:val="1"/>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eastAsia="宋体" w:cs="宋体"/>
      <w:b/>
      <w:bCs/>
      <w:sz w:val="24"/>
      <w:szCs w:val="24"/>
    </w:rPr>
  </w:style>
  <w:style w:type="paragraph" w:customStyle="1" w:styleId="93">
    <w:name w:val="xl65"/>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b/>
      <w:bCs/>
      <w:sz w:val="24"/>
      <w:szCs w:val="24"/>
    </w:rPr>
  </w:style>
  <w:style w:type="paragraph" w:customStyle="1" w:styleId="94">
    <w:name w:val="xl86"/>
    <w:basedOn w:val="1"/>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eastAsia="宋体" w:cs="宋体"/>
      <w:sz w:val="24"/>
      <w:szCs w:val="24"/>
    </w:rPr>
  </w:style>
  <w:style w:type="paragraph" w:customStyle="1" w:styleId="95">
    <w:name w:val="xl69"/>
    <w:basedOn w:val="1"/>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eastAsia="宋体" w:cs="宋体"/>
      <w:sz w:val="24"/>
      <w:szCs w:val="24"/>
    </w:rPr>
  </w:style>
  <w:style w:type="paragraph" w:customStyle="1" w:styleId="96">
    <w:name w:val="xl81"/>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sz w:val="24"/>
      <w:szCs w:val="24"/>
    </w:rPr>
  </w:style>
  <w:style w:type="paragraph" w:customStyle="1" w:styleId="97">
    <w:name w:val="xl71"/>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sz w:val="24"/>
      <w:szCs w:val="24"/>
    </w:rPr>
  </w:style>
  <w:style w:type="paragraph" w:customStyle="1" w:styleId="98">
    <w:name w:val="xl67"/>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b/>
      <w:bCs/>
      <w:sz w:val="24"/>
      <w:szCs w:val="24"/>
    </w:rPr>
  </w:style>
  <w:style w:type="paragraph" w:customStyle="1" w:styleId="99">
    <w:name w:val="xl68"/>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sz w:val="24"/>
      <w:szCs w:val="24"/>
    </w:rPr>
  </w:style>
  <w:style w:type="paragraph" w:customStyle="1" w:styleId="100">
    <w:name w:val="xl89"/>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sz w:val="24"/>
      <w:szCs w:val="24"/>
    </w:rPr>
  </w:style>
  <w:style w:type="paragraph" w:customStyle="1" w:styleId="101">
    <w:name w:val="font8"/>
    <w:basedOn w:val="1"/>
    <w:uiPriority w:val="0"/>
    <w:pPr>
      <w:spacing w:before="100" w:beforeAutospacing="1" w:after="100" w:afterAutospacing="1"/>
      <w:jc w:val="left"/>
    </w:pPr>
    <w:rPr>
      <w:rFonts w:ascii="宋体" w:hAnsi="宋体" w:eastAsia="宋体" w:cs="宋体"/>
      <w:sz w:val="18"/>
      <w:szCs w:val="18"/>
    </w:rPr>
  </w:style>
  <w:style w:type="paragraph" w:customStyle="1" w:styleId="102">
    <w:name w:val="xl84"/>
    <w:basedOn w:val="1"/>
    <w:uiPriority w:val="0"/>
    <w:pPr>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left"/>
    </w:pPr>
    <w:rPr>
      <w:rFonts w:ascii="宋体" w:hAnsi="宋体" w:eastAsia="宋体" w:cs="宋体"/>
      <w:sz w:val="24"/>
      <w:szCs w:val="24"/>
    </w:rPr>
  </w:style>
  <w:style w:type="paragraph" w:customStyle="1" w:styleId="103">
    <w:name w:val="xl87"/>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w:hAnsi="Arial" w:eastAsia="宋体" w:cs="Arial"/>
      <w:sz w:val="24"/>
      <w:szCs w:val="24"/>
    </w:rPr>
  </w:style>
  <w:style w:type="paragraph" w:customStyle="1" w:styleId="104">
    <w:name w:val="xl77"/>
    <w:basedOn w:val="1"/>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eastAsia="宋体" w:cs="宋体"/>
      <w:sz w:val="24"/>
      <w:szCs w:val="24"/>
    </w:rPr>
  </w:style>
  <w:style w:type="paragraph" w:customStyle="1" w:styleId="105">
    <w:name w:val="xl76"/>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sz w:val="24"/>
      <w:szCs w:val="24"/>
    </w:rPr>
  </w:style>
  <w:style w:type="paragraph" w:customStyle="1" w:styleId="106">
    <w:name w:val="msonormal"/>
    <w:basedOn w:val="1"/>
    <w:uiPriority w:val="0"/>
    <w:pPr>
      <w:spacing w:before="100" w:beforeAutospacing="1" w:after="100" w:afterAutospacing="1"/>
      <w:jc w:val="left"/>
    </w:pPr>
    <w:rPr>
      <w:rFonts w:ascii="宋体" w:hAnsi="宋体" w:eastAsia="宋体" w:cs="宋体"/>
      <w:sz w:val="24"/>
      <w:szCs w:val="24"/>
    </w:rPr>
  </w:style>
  <w:style w:type="paragraph" w:customStyle="1" w:styleId="107">
    <w:name w:val="font7"/>
    <w:basedOn w:val="1"/>
    <w:uiPriority w:val="0"/>
    <w:pPr>
      <w:spacing w:before="100" w:beforeAutospacing="1" w:after="100" w:afterAutospacing="1"/>
      <w:jc w:val="left"/>
    </w:pPr>
    <w:rPr>
      <w:rFonts w:ascii="宋体" w:hAnsi="宋体" w:eastAsia="宋体" w:cs="宋体"/>
      <w:color w:val="FF0000"/>
      <w:sz w:val="24"/>
      <w:szCs w:val="24"/>
    </w:rPr>
  </w:style>
  <w:style w:type="paragraph" w:customStyle="1" w:styleId="108">
    <w:name w:val="xl79"/>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sz w:val="24"/>
      <w:szCs w:val="24"/>
    </w:rPr>
  </w:style>
  <w:style w:type="paragraph" w:customStyle="1" w:styleId="109">
    <w:name w:val="xl72"/>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color w:val="000000"/>
      <w:sz w:val="24"/>
      <w:szCs w:val="24"/>
    </w:rPr>
  </w:style>
  <w:style w:type="paragraph" w:customStyle="1" w:styleId="110">
    <w:name w:val="xl70"/>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sz w:val="24"/>
      <w:szCs w:val="24"/>
    </w:rPr>
  </w:style>
  <w:style w:type="paragraph" w:customStyle="1" w:styleId="111">
    <w:name w:val="xl88"/>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b/>
      <w:bCs/>
      <w:sz w:val="24"/>
      <w:szCs w:val="24"/>
    </w:rPr>
  </w:style>
  <w:style w:type="paragraph" w:customStyle="1" w:styleId="112">
    <w:name w:val="xl78"/>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sz w:val="24"/>
      <w:szCs w:val="24"/>
    </w:rPr>
  </w:style>
  <w:style w:type="paragraph" w:customStyle="1" w:styleId="113">
    <w:name w:val="xl73"/>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sz w:val="24"/>
      <w:szCs w:val="24"/>
    </w:rPr>
  </w:style>
  <w:style w:type="paragraph" w:customStyle="1" w:styleId="114">
    <w:name w:val="font6"/>
    <w:basedOn w:val="1"/>
    <w:uiPriority w:val="0"/>
    <w:pPr>
      <w:spacing w:before="100" w:beforeAutospacing="1" w:after="100" w:afterAutospacing="1"/>
      <w:jc w:val="left"/>
    </w:pPr>
    <w:rPr>
      <w:rFonts w:ascii="宋体" w:hAnsi="宋体" w:eastAsia="宋体" w:cs="宋体"/>
      <w:sz w:val="24"/>
      <w:szCs w:val="24"/>
    </w:rPr>
  </w:style>
  <w:style w:type="paragraph" w:customStyle="1" w:styleId="115">
    <w:name w:val="xl74"/>
    <w:basedOn w:val="1"/>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eastAsia="宋体" w:cs="宋体"/>
      <w:sz w:val="24"/>
      <w:szCs w:val="24"/>
    </w:rPr>
  </w:style>
  <w:style w:type="paragraph" w:customStyle="1" w:styleId="116">
    <w:name w:val="xl85"/>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color w:val="C00000"/>
      <w:sz w:val="24"/>
      <w:szCs w:val="24"/>
    </w:rPr>
  </w:style>
  <w:style w:type="paragraph" w:customStyle="1" w:styleId="117">
    <w:name w:val="font5"/>
    <w:basedOn w:val="1"/>
    <w:uiPriority w:val="0"/>
    <w:pPr>
      <w:spacing w:before="100" w:beforeAutospacing="1" w:after="100" w:afterAutospacing="1"/>
      <w:jc w:val="left"/>
    </w:pPr>
    <w:rPr>
      <w:rFonts w:ascii="宋体" w:hAnsi="宋体" w:eastAsia="宋体" w:cs="宋体"/>
      <w:sz w:val="24"/>
      <w:szCs w:val="24"/>
    </w:rPr>
  </w:style>
  <w:style w:type="paragraph" w:customStyle="1" w:styleId="118">
    <w:name w:val="xl75"/>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sz w:val="24"/>
      <w:szCs w:val="24"/>
    </w:rPr>
  </w:style>
  <w:style w:type="paragraph" w:customStyle="1" w:styleId="119">
    <w:name w:val="xl80"/>
    <w:basedOn w:val="1"/>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eastAsia="宋体" w:cs="宋体"/>
      <w:sz w:val="24"/>
      <w:szCs w:val="24"/>
    </w:rPr>
  </w:style>
  <w:style w:type="paragraph" w:customStyle="1" w:styleId="120">
    <w:name w:val="xl66"/>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b/>
      <w:bCs/>
      <w:sz w:val="24"/>
      <w:szCs w:val="24"/>
    </w:rPr>
  </w:style>
  <w:style w:type="paragraph" w:customStyle="1" w:styleId="121">
    <w:name w:val="修订1"/>
    <w:unhideWhenUsed/>
    <w:uiPriority w:val="99"/>
    <w:rPr>
      <w:rFonts w:ascii="Times New Roman" w:hAnsi="Times New Roman" w:eastAsia="宋体" w:cs="Times New Roman"/>
      <w:kern w:val="2"/>
      <w:sz w:val="24"/>
      <w:szCs w:val="21"/>
      <w:lang w:val="en-US" w:eastAsia="zh-CN" w:bidi="ar-SA"/>
    </w:rPr>
  </w:style>
  <w:style w:type="paragraph" w:customStyle="1" w:styleId="122">
    <w:name w:val="xl83"/>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sz w:val="24"/>
      <w:szCs w:val="24"/>
    </w:rPr>
  </w:style>
  <w:style w:type="table" w:customStyle="1" w:styleId="123">
    <w:name w:val="网格型11"/>
    <w:basedOn w:val="34"/>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24">
    <w:name w:val="正文（改） Char"/>
    <w:link w:val="125"/>
    <w:qFormat/>
    <w:locked/>
    <w:uiPriority w:val="0"/>
    <w:rPr>
      <w:rFonts w:ascii="宋体" w:hAnsi="宋体"/>
      <w:color w:val="000000"/>
      <w:sz w:val="28"/>
    </w:rPr>
  </w:style>
  <w:style w:type="paragraph" w:customStyle="1" w:styleId="125">
    <w:name w:val="正文（改）"/>
    <w:basedOn w:val="1"/>
    <w:link w:val="124"/>
    <w:qFormat/>
    <w:uiPriority w:val="0"/>
    <w:pPr>
      <w:widowControl w:val="0"/>
      <w:adjustRightInd w:val="0"/>
      <w:snapToGrid w:val="0"/>
      <w:spacing w:line="500" w:lineRule="exact"/>
      <w:ind w:firstLine="200" w:firstLineChars="200"/>
    </w:pPr>
    <w:rPr>
      <w:rFonts w:ascii="宋体" w:hAnsi="宋体"/>
      <w:color w:val="000000"/>
      <w:sz w:val="28"/>
      <w:szCs w:val="20"/>
    </w:rPr>
  </w:style>
  <w:style w:type="character" w:customStyle="1" w:styleId="126">
    <w:name w:val="图表五号 Char"/>
    <w:link w:val="127"/>
    <w:qFormat/>
    <w:locked/>
    <w:uiPriority w:val="0"/>
    <w:rPr>
      <w:kern w:val="2"/>
      <w:sz w:val="21"/>
    </w:rPr>
  </w:style>
  <w:style w:type="paragraph" w:customStyle="1" w:styleId="127">
    <w:name w:val="图表五号"/>
    <w:basedOn w:val="1"/>
    <w:link w:val="126"/>
    <w:qFormat/>
    <w:uiPriority w:val="0"/>
    <w:pPr>
      <w:widowControl w:val="0"/>
      <w:autoSpaceDE w:val="0"/>
      <w:autoSpaceDN w:val="0"/>
      <w:adjustRightInd w:val="0"/>
      <w:snapToGrid w:val="0"/>
      <w:spacing w:line="288" w:lineRule="auto"/>
      <w:ind w:firstLine="200" w:firstLineChars="200"/>
    </w:pPr>
    <w:rPr>
      <w:kern w:val="2"/>
      <w:sz w:val="21"/>
      <w:szCs w:val="20"/>
    </w:rPr>
  </w:style>
  <w:style w:type="character" w:customStyle="1" w:styleId="128">
    <w:name w:val="程序文件名 Char"/>
    <w:link w:val="129"/>
    <w:qFormat/>
    <w:locked/>
    <w:uiPriority w:val="0"/>
    <w:rPr>
      <w:rFonts w:ascii="Arial" w:hAnsi="Arial" w:eastAsia="黑体" w:cs="Arial"/>
      <w:b/>
      <w:bCs/>
      <w:kern w:val="2"/>
      <w:sz w:val="52"/>
      <w:lang w:val="zh-CN"/>
    </w:rPr>
  </w:style>
  <w:style w:type="paragraph" w:customStyle="1" w:styleId="129">
    <w:name w:val="程序文件名"/>
    <w:basedOn w:val="32"/>
    <w:link w:val="128"/>
    <w:qFormat/>
    <w:uiPriority w:val="0"/>
    <w:pPr>
      <w:ind w:firstLine="0" w:firstLineChars="0"/>
    </w:pPr>
    <w:rPr>
      <w:rFonts w:ascii="Arial" w:hAnsi="Arial" w:eastAsia="黑体" w:cs="Arial"/>
      <w:sz w:val="52"/>
      <w:szCs w:val="20"/>
      <w:lang w:val="zh-CN"/>
    </w:rPr>
  </w:style>
  <w:style w:type="character" w:customStyle="1" w:styleId="130">
    <w:name w:val="正文文本缩进 3 Char"/>
    <w:qFormat/>
    <w:uiPriority w:val="0"/>
    <w:rPr>
      <w:kern w:val="2"/>
      <w:sz w:val="16"/>
      <w:szCs w:val="16"/>
    </w:rPr>
  </w:style>
  <w:style w:type="character" w:customStyle="1" w:styleId="131">
    <w:name w:val="正文文本 2 Char"/>
    <w:qFormat/>
    <w:uiPriority w:val="0"/>
    <w:rPr>
      <w:rFonts w:ascii="宋体" w:hAnsi="宋体"/>
      <w:kern w:val="2"/>
      <w:sz w:val="21"/>
      <w:szCs w:val="24"/>
    </w:rPr>
  </w:style>
  <w:style w:type="character" w:customStyle="1" w:styleId="132">
    <w:name w:val="批注框文本 Char"/>
    <w:semiHidden/>
    <w:qFormat/>
    <w:uiPriority w:val="99"/>
    <w:rPr>
      <w:kern w:val="2"/>
      <w:sz w:val="18"/>
      <w:szCs w:val="18"/>
    </w:rPr>
  </w:style>
  <w:style w:type="character" w:customStyle="1" w:styleId="133">
    <w:name w:val="批注主题 Char"/>
    <w:qFormat/>
    <w:uiPriority w:val="0"/>
    <w:rPr>
      <w:rFonts w:eastAsia="仿宋_GB2312"/>
      <w:b/>
      <w:bCs/>
      <w:kern w:val="2"/>
      <w:sz w:val="28"/>
      <w:szCs w:val="24"/>
    </w:rPr>
  </w:style>
  <w:style w:type="character" w:customStyle="1" w:styleId="134">
    <w:name w:val="标题 4 Char"/>
    <w:semiHidden/>
    <w:qFormat/>
    <w:uiPriority w:val="0"/>
    <w:rPr>
      <w:rFonts w:ascii="等线 Light" w:hAnsi="等线 Light" w:eastAsia="等线 Light" w:cs="Times New Roman"/>
      <w:b/>
      <w:bCs/>
      <w:kern w:val="2"/>
      <w:sz w:val="28"/>
      <w:szCs w:val="28"/>
    </w:rPr>
  </w:style>
  <w:style w:type="character" w:customStyle="1" w:styleId="135">
    <w:name w:val="正文文本缩进 Char"/>
    <w:qFormat/>
    <w:uiPriority w:val="0"/>
    <w:rPr>
      <w:kern w:val="2"/>
      <w:sz w:val="21"/>
      <w:szCs w:val="24"/>
    </w:rPr>
  </w:style>
  <w:style w:type="character" w:customStyle="1" w:styleId="136">
    <w:name w:val="日期 Char"/>
    <w:qFormat/>
    <w:uiPriority w:val="99"/>
    <w:rPr>
      <w:kern w:val="2"/>
      <w:sz w:val="21"/>
      <w:szCs w:val="24"/>
    </w:rPr>
  </w:style>
  <w:style w:type="character" w:customStyle="1" w:styleId="137">
    <w:name w:val="正文文本 Char"/>
    <w:qFormat/>
    <w:uiPriority w:val="0"/>
    <w:rPr>
      <w:kern w:val="2"/>
      <w:sz w:val="21"/>
      <w:szCs w:val="24"/>
    </w:rPr>
  </w:style>
  <w:style w:type="character" w:customStyle="1" w:styleId="138">
    <w:name w:val="标题 2 Char"/>
    <w:semiHidden/>
    <w:qFormat/>
    <w:uiPriority w:val="0"/>
    <w:rPr>
      <w:rFonts w:ascii="等线 Light" w:hAnsi="等线 Light" w:eastAsia="等线 Light" w:cs="Times New Roman"/>
      <w:b/>
      <w:bCs/>
      <w:kern w:val="2"/>
      <w:sz w:val="32"/>
      <w:szCs w:val="32"/>
    </w:rPr>
  </w:style>
  <w:style w:type="character" w:customStyle="1" w:styleId="139">
    <w:name w:val="标题 5 Char"/>
    <w:semiHidden/>
    <w:qFormat/>
    <w:uiPriority w:val="0"/>
    <w:rPr>
      <w:b/>
      <w:bCs/>
      <w:kern w:val="2"/>
      <w:sz w:val="28"/>
      <w:szCs w:val="28"/>
    </w:rPr>
  </w:style>
  <w:style w:type="character" w:customStyle="1" w:styleId="140">
    <w:name w:val="G正文 Char"/>
    <w:link w:val="141"/>
    <w:qFormat/>
    <w:locked/>
    <w:uiPriority w:val="0"/>
    <w:rPr>
      <w:kern w:val="2"/>
    </w:rPr>
  </w:style>
  <w:style w:type="paragraph" w:customStyle="1" w:styleId="141">
    <w:name w:val="G正文"/>
    <w:link w:val="140"/>
    <w:qFormat/>
    <w:uiPriority w:val="0"/>
    <w:pPr>
      <w:widowControl w:val="0"/>
      <w:adjustRightInd w:val="0"/>
      <w:snapToGrid w:val="0"/>
      <w:spacing w:line="360" w:lineRule="auto"/>
      <w:ind w:firstLine="640" w:firstLineChars="200"/>
      <w:jc w:val="center"/>
    </w:pPr>
    <w:rPr>
      <w:rFonts w:ascii="方正仿宋_GBK" w:hAnsi="Times New Roman" w:eastAsia="方正仿宋_GBK" w:cs="Times New Roman"/>
      <w:kern w:val="2"/>
      <w:lang w:val="en-US" w:eastAsia="zh-CN" w:bidi="ar-SA"/>
    </w:rPr>
  </w:style>
  <w:style w:type="character" w:customStyle="1" w:styleId="142">
    <w:name w:val="正文文本缩进 2 Char"/>
    <w:qFormat/>
    <w:uiPriority w:val="0"/>
    <w:rPr>
      <w:kern w:val="2"/>
      <w:sz w:val="21"/>
      <w:szCs w:val="24"/>
    </w:rPr>
  </w:style>
  <w:style w:type="character" w:customStyle="1" w:styleId="143">
    <w:name w:val="文档结构图 Char"/>
    <w:qFormat/>
    <w:uiPriority w:val="0"/>
    <w:rPr>
      <w:rFonts w:ascii="宋体"/>
      <w:kern w:val="2"/>
      <w:sz w:val="18"/>
      <w:szCs w:val="18"/>
    </w:rPr>
  </w:style>
  <w:style w:type="character" w:customStyle="1" w:styleId="144">
    <w:name w:val="页眉 Char"/>
    <w:qFormat/>
    <w:uiPriority w:val="99"/>
    <w:rPr>
      <w:kern w:val="2"/>
      <w:sz w:val="18"/>
      <w:szCs w:val="18"/>
    </w:rPr>
  </w:style>
  <w:style w:type="character" w:customStyle="1" w:styleId="145">
    <w:name w:val="段 Char"/>
    <w:link w:val="73"/>
    <w:qFormat/>
    <w:locked/>
    <w:uiPriority w:val="0"/>
    <w:rPr>
      <w:rFonts w:ascii="宋体" w:eastAsia="宋体"/>
      <w:sz w:val="21"/>
      <w:szCs w:val="22"/>
    </w:rPr>
  </w:style>
  <w:style w:type="character" w:customStyle="1" w:styleId="146">
    <w:name w:val="纯文本 Char"/>
    <w:qFormat/>
    <w:uiPriority w:val="0"/>
    <w:rPr>
      <w:rFonts w:ascii="宋体" w:hAnsi="Courier New" w:cs="Courier New"/>
      <w:kern w:val="2"/>
      <w:sz w:val="21"/>
      <w:szCs w:val="21"/>
    </w:rPr>
  </w:style>
  <w:style w:type="character" w:customStyle="1" w:styleId="147">
    <w:name w:val="标题 3 Char"/>
    <w:semiHidden/>
    <w:qFormat/>
    <w:uiPriority w:val="0"/>
    <w:rPr>
      <w:b/>
      <w:bCs/>
      <w:kern w:val="2"/>
      <w:sz w:val="32"/>
      <w:szCs w:val="32"/>
    </w:rPr>
  </w:style>
  <w:style w:type="character" w:customStyle="1" w:styleId="148">
    <w:name w:val="List Paragraph Char"/>
    <w:link w:val="149"/>
    <w:locked/>
    <w:uiPriority w:val="0"/>
    <w:rPr>
      <w:rFonts w:ascii="Tahoma" w:hAnsi="Tahoma" w:eastAsia="微软雅黑" w:cs="Tahoma"/>
      <w:sz w:val="22"/>
      <w:szCs w:val="22"/>
    </w:rPr>
  </w:style>
  <w:style w:type="paragraph" w:customStyle="1" w:styleId="149">
    <w:name w:val="列出段落121"/>
    <w:link w:val="148"/>
    <w:qFormat/>
    <w:uiPriority w:val="0"/>
    <w:pPr>
      <w:adjustRightInd w:val="0"/>
      <w:snapToGrid w:val="0"/>
      <w:spacing w:after="200"/>
      <w:ind w:firstLine="420" w:firstLineChars="200"/>
    </w:pPr>
    <w:rPr>
      <w:rFonts w:ascii="Tahoma" w:hAnsi="Tahoma" w:eastAsia="微软雅黑" w:cs="Tahoma"/>
      <w:sz w:val="22"/>
      <w:szCs w:val="22"/>
      <w:lang w:val="en-US" w:eastAsia="zh-CN" w:bidi="ar-SA"/>
    </w:rPr>
  </w:style>
  <w:style w:type="character" w:customStyle="1" w:styleId="150">
    <w:name w:val="正文文本 3 Char"/>
    <w:qFormat/>
    <w:uiPriority w:val="0"/>
    <w:rPr>
      <w:kern w:val="2"/>
      <w:sz w:val="16"/>
      <w:szCs w:val="16"/>
    </w:rPr>
  </w:style>
  <w:style w:type="character" w:customStyle="1" w:styleId="151">
    <w:name w:val="纯文本 字符1"/>
    <w:basedOn w:val="36"/>
    <w:qFormat/>
    <w:uiPriority w:val="0"/>
    <w:rPr>
      <w:rFonts w:hAnsi="Courier New" w:cs="Courier New" w:asciiTheme="minorEastAsia" w:eastAsiaTheme="minorEastAsia"/>
    </w:rPr>
  </w:style>
  <w:style w:type="character" w:customStyle="1" w:styleId="152">
    <w:name w:val="正文文本 3 字符1"/>
    <w:basedOn w:val="36"/>
    <w:qFormat/>
    <w:uiPriority w:val="0"/>
    <w:rPr>
      <w:sz w:val="16"/>
      <w:szCs w:val="16"/>
    </w:rPr>
  </w:style>
  <w:style w:type="character" w:customStyle="1" w:styleId="153">
    <w:name w:val="正文文本缩进 字符1"/>
    <w:basedOn w:val="36"/>
    <w:qFormat/>
    <w:uiPriority w:val="0"/>
  </w:style>
  <w:style w:type="character" w:customStyle="1" w:styleId="154">
    <w:name w:val="正文文本缩进 2 字符1"/>
    <w:basedOn w:val="36"/>
    <w:qFormat/>
    <w:uiPriority w:val="0"/>
  </w:style>
  <w:style w:type="character" w:customStyle="1" w:styleId="155">
    <w:name w:val="副标题 字符1"/>
    <w:basedOn w:val="36"/>
    <w:qFormat/>
    <w:uiPriority w:val="0"/>
    <w:rPr>
      <w:rFonts w:asciiTheme="minorHAnsi" w:hAnsiTheme="minorHAnsi" w:eastAsiaTheme="minorEastAsia" w:cstheme="minorBidi"/>
      <w:b/>
      <w:bCs/>
      <w:kern w:val="28"/>
    </w:rPr>
  </w:style>
  <w:style w:type="character" w:customStyle="1" w:styleId="156">
    <w:name w:val="标题 字符1"/>
    <w:basedOn w:val="36"/>
    <w:qFormat/>
    <w:uiPriority w:val="0"/>
    <w:rPr>
      <w:rFonts w:asciiTheme="majorHAnsi" w:hAnsiTheme="majorHAnsi" w:eastAsiaTheme="majorEastAsia" w:cstheme="majorBidi"/>
      <w:b/>
      <w:bCs/>
    </w:rPr>
  </w:style>
  <w:style w:type="character" w:customStyle="1" w:styleId="157">
    <w:name w:val="正文文本缩进 3 字符1"/>
    <w:basedOn w:val="36"/>
    <w:qFormat/>
    <w:uiPriority w:val="0"/>
    <w:rPr>
      <w:sz w:val="16"/>
      <w:szCs w:val="16"/>
    </w:rPr>
  </w:style>
  <w:style w:type="character" w:customStyle="1" w:styleId="158">
    <w:name w:val="正文文本 2 字符1"/>
    <w:basedOn w:val="36"/>
    <w:qFormat/>
    <w:uiPriority w:val="0"/>
  </w:style>
  <w:style w:type="paragraph" w:customStyle="1" w:styleId="159">
    <w:name w:val="f14"/>
    <w:basedOn w:val="1"/>
    <w:uiPriority w:val="0"/>
    <w:pPr>
      <w:spacing w:before="100" w:beforeAutospacing="1" w:after="100" w:afterAutospacing="1"/>
      <w:jc w:val="left"/>
    </w:pPr>
    <w:rPr>
      <w:rFonts w:ascii="宋体" w:hAnsi="宋体" w:eastAsia="宋体" w:cs="宋体"/>
      <w:sz w:val="24"/>
      <w:szCs w:val="24"/>
    </w:rPr>
  </w:style>
  <w:style w:type="paragraph" w:customStyle="1" w:styleId="160">
    <w:name w:val="Char1"/>
    <w:basedOn w:val="1"/>
    <w:uiPriority w:val="0"/>
    <w:pPr>
      <w:widowControl w:val="0"/>
      <w:spacing w:line="360" w:lineRule="auto"/>
      <w:ind w:firstLine="200" w:firstLineChars="200"/>
    </w:pPr>
    <w:rPr>
      <w:rFonts w:ascii="宋体" w:hAnsi="宋体" w:eastAsia="宋体" w:cs="宋体"/>
      <w:kern w:val="2"/>
      <w:sz w:val="24"/>
      <w:szCs w:val="24"/>
    </w:rPr>
  </w:style>
  <w:style w:type="paragraph" w:customStyle="1" w:styleId="161">
    <w:name w:val="reader-word-layer"/>
    <w:basedOn w:val="1"/>
    <w:uiPriority w:val="0"/>
    <w:pPr>
      <w:spacing w:before="100" w:beforeAutospacing="1" w:after="100" w:afterAutospacing="1"/>
      <w:jc w:val="left"/>
    </w:pPr>
    <w:rPr>
      <w:rFonts w:ascii="宋体" w:hAnsi="宋体" w:eastAsia="宋体" w:cs="宋体"/>
      <w:sz w:val="24"/>
      <w:szCs w:val="24"/>
    </w:rPr>
  </w:style>
  <w:style w:type="paragraph" w:customStyle="1" w:styleId="162">
    <w:name w:val="Default"/>
    <w:qFormat/>
    <w:uiPriority w:val="0"/>
    <w:pPr>
      <w:autoSpaceDE w:val="0"/>
      <w:autoSpaceDN w:val="0"/>
      <w:adjustRightInd w:val="0"/>
    </w:pPr>
    <w:rPr>
      <w:rFonts w:ascii="Cambria" w:hAnsi="Cambria" w:eastAsia="宋体" w:cs="Cambria"/>
      <w:color w:val="000000"/>
      <w:sz w:val="24"/>
      <w:szCs w:val="24"/>
      <w:lang w:val="en-US" w:eastAsia="zh-CN" w:bidi="ar-SA"/>
    </w:rPr>
  </w:style>
  <w:style w:type="paragraph" w:customStyle="1" w:styleId="163">
    <w:name w:val="Char1 Char Char Char Char Char Char"/>
    <w:basedOn w:val="1"/>
    <w:uiPriority w:val="0"/>
    <w:pPr>
      <w:widowControl w:val="0"/>
      <w:spacing w:beforeLines="100" w:afterLines="50" w:line="600" w:lineRule="exact"/>
      <w:ind w:firstLine="200" w:firstLineChars="200"/>
    </w:pPr>
    <w:rPr>
      <w:rFonts w:ascii="Times New Roman" w:eastAsia="黑体"/>
      <w:kern w:val="2"/>
      <w:sz w:val="28"/>
      <w:szCs w:val="24"/>
    </w:rPr>
  </w:style>
  <w:style w:type="paragraph" w:customStyle="1" w:styleId="164">
    <w:name w:val="Footer Left"/>
    <w:basedOn w:val="21"/>
    <w:qFormat/>
    <w:uiPriority w:val="0"/>
    <w:pPr>
      <w:pBdr>
        <w:top w:val="dashed" w:color="7F7F7F" w:sz="4" w:space="18"/>
      </w:pBdr>
      <w:tabs>
        <w:tab w:val="center" w:pos="4320"/>
        <w:tab w:val="right" w:pos="8640"/>
        <w:tab w:val="clear" w:pos="4153"/>
        <w:tab w:val="clear" w:pos="8306"/>
      </w:tabs>
      <w:adjustRightInd w:val="0"/>
      <w:snapToGrid/>
      <w:spacing w:after="200" w:line="360" w:lineRule="auto"/>
      <w:ind w:firstLine="200" w:firstLineChars="200"/>
    </w:pPr>
    <w:rPr>
      <w:rFonts w:ascii="Calibri" w:hAnsi="Calibri" w:eastAsia="宋体" w:cs="宋体"/>
      <w:color w:val="7F7F7F"/>
      <w:sz w:val="20"/>
      <w:szCs w:val="20"/>
    </w:rPr>
  </w:style>
  <w:style w:type="table" w:customStyle="1" w:styleId="165">
    <w:name w:val="网格型1"/>
    <w:basedOn w:val="34"/>
    <w:qFormat/>
    <w:uiPriority w:val="0"/>
    <w:rPr>
      <w:rFonts w:ascii="Times New Roman" w:eastAsia="宋体"/>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66">
    <w:name w:val="页眉 Char1"/>
    <w:qFormat/>
    <w:locked/>
    <w:uiPriority w:val="99"/>
    <w:rPr>
      <w:rFonts w:ascii="Calibri" w:hAnsi="Calibri"/>
      <w:sz w:val="18"/>
      <w:szCs w:val="18"/>
    </w:rPr>
  </w:style>
  <w:style w:type="character" w:customStyle="1" w:styleId="167">
    <w:name w:val="页脚 Char1"/>
    <w:qFormat/>
    <w:locked/>
    <w:uiPriority w:val="99"/>
    <w:rPr>
      <w:rFonts w:ascii="Calibri" w:hAnsi="Calibri"/>
      <w:sz w:val="18"/>
      <w:szCs w:val="18"/>
    </w:rPr>
  </w:style>
  <w:style w:type="character" w:customStyle="1" w:styleId="168">
    <w:name w:val="标题 1 字符1"/>
    <w:qFormat/>
    <w:uiPriority w:val="0"/>
    <w:rPr>
      <w:rFonts w:ascii="Calibri" w:hAnsi="Calibri" w:eastAsia="黑体" w:cs="Times New Roman"/>
      <w:b/>
      <w:bCs/>
      <w:kern w:val="44"/>
      <w:szCs w:val="44"/>
      <w:lang w:val="zh-CN" w:eastAsia="zh-CN"/>
    </w:rPr>
  </w:style>
  <w:style w:type="character" w:customStyle="1" w:styleId="169">
    <w:name w:val="标题 2 字符1"/>
    <w:qFormat/>
    <w:locked/>
    <w:uiPriority w:val="0"/>
    <w:rPr>
      <w:rFonts w:ascii="宋体" w:hAnsi="宋体" w:eastAsia="宋体" w:cs="Times New Roman"/>
      <w:b/>
      <w:bCs/>
      <w:kern w:val="0"/>
      <w:sz w:val="28"/>
      <w:szCs w:val="32"/>
      <w:lang w:val="zh-CN" w:eastAsia="zh-CN"/>
    </w:rPr>
  </w:style>
  <w:style w:type="character" w:customStyle="1" w:styleId="170">
    <w:name w:val="标题 3 字符1"/>
    <w:qFormat/>
    <w:locked/>
    <w:uiPriority w:val="0"/>
    <w:rPr>
      <w:rFonts w:ascii="Times New Roman" w:hAnsi="Times New Roman" w:eastAsia="宋体" w:cs="Times New Roman"/>
      <w:b/>
      <w:bCs/>
      <w:sz w:val="24"/>
      <w:szCs w:val="32"/>
      <w:lang w:val="zh-CN" w:eastAsia="zh-CN"/>
    </w:rPr>
  </w:style>
  <w:style w:type="character" w:customStyle="1" w:styleId="171">
    <w:name w:val="标题 4 字符1"/>
    <w:qFormat/>
    <w:locked/>
    <w:uiPriority w:val="0"/>
    <w:rPr>
      <w:rFonts w:ascii="Cambria" w:hAnsi="Cambria" w:eastAsia="宋体" w:cs="Times New Roman"/>
      <w:b/>
      <w:bCs/>
      <w:sz w:val="28"/>
      <w:szCs w:val="28"/>
      <w:lang w:val="zh-CN" w:eastAsia="zh-CN"/>
    </w:rPr>
  </w:style>
  <w:style w:type="character" w:customStyle="1" w:styleId="172">
    <w:name w:val="标题 5 字符1"/>
    <w:qFormat/>
    <w:locked/>
    <w:uiPriority w:val="0"/>
    <w:rPr>
      <w:rFonts w:ascii="宋体" w:hAnsi="宋体" w:eastAsia="宋体" w:cs="Times New Roman"/>
      <w:b/>
      <w:bCs/>
      <w:sz w:val="28"/>
      <w:szCs w:val="24"/>
      <w:lang w:val="zh-CN" w:eastAsia="zh-CN"/>
    </w:rPr>
  </w:style>
  <w:style w:type="character" w:customStyle="1" w:styleId="173">
    <w:name w:val="页眉 字符1"/>
    <w:qFormat/>
    <w:locked/>
    <w:uiPriority w:val="99"/>
    <w:rPr>
      <w:rFonts w:ascii="Calibri" w:hAnsi="Calibri"/>
      <w:sz w:val="18"/>
      <w:szCs w:val="18"/>
    </w:rPr>
  </w:style>
  <w:style w:type="character" w:customStyle="1" w:styleId="174">
    <w:name w:val="页脚 字符1"/>
    <w:qFormat/>
    <w:locked/>
    <w:uiPriority w:val="99"/>
    <w:rPr>
      <w:rFonts w:ascii="Calibri" w:hAnsi="Calibri"/>
      <w:sz w:val="18"/>
      <w:szCs w:val="18"/>
    </w:rPr>
  </w:style>
  <w:style w:type="character" w:customStyle="1" w:styleId="175">
    <w:name w:val="正文文本 字符1"/>
    <w:qFormat/>
    <w:locked/>
    <w:uiPriority w:val="0"/>
    <w:rPr>
      <w:rFonts w:ascii="Calibri" w:hAnsi="Calibri"/>
      <w:sz w:val="24"/>
    </w:rPr>
  </w:style>
  <w:style w:type="table" w:customStyle="1" w:styleId="176">
    <w:name w:val="Table Normal"/>
    <w:semiHidden/>
    <w:unhideWhenUsed/>
    <w:qFormat/>
    <w:uiPriority w:val="2"/>
    <w:pPr>
      <w:widowControl w:val="0"/>
    </w:pPr>
    <w:rPr>
      <w:rFonts w:asciiTheme="minorHAnsi" w:hAnsiTheme="minorHAnsi" w:eastAsiaTheme="minorEastAsia" w:cstheme="minorBidi"/>
      <w:sz w:val="22"/>
      <w:szCs w:val="22"/>
      <w:lang w:eastAsia="en-US"/>
    </w:rPr>
    <w:tblPr>
      <w:tblCellMar>
        <w:top w:w="0" w:type="dxa"/>
        <w:left w:w="0" w:type="dxa"/>
        <w:bottom w:w="0" w:type="dxa"/>
        <w:right w:w="0" w:type="dxa"/>
      </w:tblCellMar>
    </w:tblPr>
  </w:style>
  <w:style w:type="table" w:customStyle="1" w:styleId="177">
    <w:name w:val="网格型2"/>
    <w:basedOn w:val="34"/>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78">
    <w:name w:val="未处理的提及1"/>
    <w:basedOn w:val="36"/>
    <w:semiHidden/>
    <w:unhideWhenUsed/>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9.jpeg"/><Relationship Id="rId15" Type="http://schemas.openxmlformats.org/officeDocument/2006/relationships/image" Target="media/image8.jpeg"/><Relationship Id="rId14" Type="http://schemas.openxmlformats.org/officeDocument/2006/relationships/image" Target="media/image7.pn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chart" Target="charts/chart1.xml"/><Relationship Id="rId10" Type="http://schemas.openxmlformats.org/officeDocument/2006/relationships/image" Target="media/image4.png"/><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4" Type="http://schemas.microsoft.com/office/2011/relationships/chartColorStyle" Target="colors1.xml"/><Relationship Id="rId3" Type="http://schemas.microsoft.com/office/2011/relationships/chartStyle" Target="style1.xml"/><Relationship Id="rId2" Type="http://schemas.openxmlformats.org/officeDocument/2006/relationships/themeOverride" Target="../theme/themeOverride1.xml"/><Relationship Id="rId1" Type="http://schemas.openxmlformats.org/officeDocument/2006/relationships/package" Target="../embeddings/Workbook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zh-CN" altLang="en-US" b="1"/>
              <a:t>某拦河闸安全风险柱状比较图</a:t>
            </a:r>
            <a:endParaRPr lang="zh-CN" altLang="en-US" b="1"/>
          </a:p>
        </c:rich>
      </c:tx>
      <c:layout/>
      <c:overlay val="0"/>
      <c:spPr>
        <a:noFill/>
        <a:ln>
          <a:noFill/>
        </a:ln>
        <a:effectLst/>
      </c:spPr>
    </c:title>
    <c:autoTitleDeleted val="0"/>
    <c:plotArea>
      <c:layout/>
      <c:barChart>
        <c:barDir val="col"/>
        <c:grouping val="stacked"/>
        <c:varyColors val="0"/>
        <c:ser>
          <c:idx val="0"/>
          <c:order val="0"/>
          <c:tx>
            <c:strRef>
              <c:f>Sheet1!$B$1</c:f>
              <c:strCache>
                <c:ptCount val="1"/>
                <c:pt idx="0">
                  <c:v>重大</c:v>
                </c:pt>
              </c:strCache>
            </c:strRef>
          </c:tx>
          <c:spPr>
            <a:solidFill>
              <a:srgbClr val="FF0000"/>
            </a:solidFill>
            <a:ln>
              <a:noFill/>
            </a:ln>
            <a:effectLst/>
          </c:spPr>
          <c:invertIfNegative val="0"/>
          <c:dLbls>
            <c:delete val="1"/>
          </c:dLbls>
          <c:cat>
            <c:strRef>
              <c:f>Sheet1!$A$2:$A$26</c:f>
              <c:strCache>
                <c:ptCount val="25"/>
                <c:pt idx="0">
                  <c:v>拦河闸闸室段</c:v>
                </c:pt>
                <c:pt idx="1">
                  <c:v>拦河闸闸室段地基</c:v>
                </c:pt>
                <c:pt idx="2">
                  <c:v>生态放水闸室段</c:v>
                </c:pt>
                <c:pt idx="3">
                  <c:v>生态放水闸室段地基</c:v>
                </c:pt>
                <c:pt idx="4">
                  <c:v>上下游连接段</c:v>
                </c:pt>
                <c:pt idx="5">
                  <c:v>左右岸砼重力坝</c:v>
                </c:pt>
                <c:pt idx="6">
                  <c:v>左右岸砼重力坝地基</c:v>
                </c:pt>
                <c:pt idx="7">
                  <c:v>近坝岸坡</c:v>
                </c:pt>
                <c:pt idx="8">
                  <c:v>拦河闸工作闸门</c:v>
                </c:pt>
                <c:pt idx="9">
                  <c:v>拦河闸工作启闭机械</c:v>
                </c:pt>
                <c:pt idx="10">
                  <c:v>拦河闸启闭机检修移动式电动葫芦</c:v>
                </c:pt>
                <c:pt idx="11">
                  <c:v>拦河闸上游检修闸门</c:v>
                </c:pt>
                <c:pt idx="12">
                  <c:v>拦河闸上游检修启闭机械</c:v>
                </c:pt>
                <c:pt idx="13">
                  <c:v>拦河闸下游检修闸门</c:v>
                </c:pt>
                <c:pt idx="14">
                  <c:v>拦河闸下游检修启闭门机</c:v>
                </c:pt>
                <c:pt idx="15">
                  <c:v>生态放水工作闸门</c:v>
                </c:pt>
                <c:pt idx="16">
                  <c:v>生态放水工作启闭机械</c:v>
                </c:pt>
                <c:pt idx="17">
                  <c:v>生态放水事故闸门检修用</c:v>
                </c:pt>
                <c:pt idx="18">
                  <c:v>生态放水事故启闭机械</c:v>
                </c:pt>
                <c:pt idx="19">
                  <c:v>电气设备（拦河闸、增殖放流站）</c:v>
                </c:pt>
                <c:pt idx="20">
                  <c:v>特种设备</c:v>
                </c:pt>
                <c:pt idx="21">
                  <c:v>拦河闸管理设施</c:v>
                </c:pt>
                <c:pt idx="22">
                  <c:v>作业活动</c:v>
                </c:pt>
                <c:pt idx="23">
                  <c:v>运行管理</c:v>
                </c:pt>
                <c:pt idx="24">
                  <c:v>自然环境</c:v>
                </c:pt>
              </c:strCache>
            </c:strRef>
          </c:cat>
          <c:val>
            <c:numRef>
              <c:f>Sheet1!$B$2:$B$26</c:f>
              <c:numCache>
                <c:formatCode>General</c:formatCode>
                <c:ptCount val="25"/>
                <c:pt idx="0">
                  <c:v>1</c:v>
                </c:pt>
                <c:pt idx="1">
                  <c:v>2</c:v>
                </c:pt>
                <c:pt idx="2">
                  <c:v>1</c:v>
                </c:pt>
                <c:pt idx="3">
                  <c:v>2</c:v>
                </c:pt>
                <c:pt idx="4">
                  <c:v>4</c:v>
                </c:pt>
                <c:pt idx="5">
                  <c:v>0</c:v>
                </c:pt>
                <c:pt idx="6">
                  <c:v>2</c:v>
                </c:pt>
                <c:pt idx="7">
                  <c:v>0</c:v>
                </c:pt>
                <c:pt idx="8">
                  <c:v>1</c:v>
                </c:pt>
                <c:pt idx="9">
                  <c:v>1</c:v>
                </c:pt>
                <c:pt idx="10">
                  <c:v>0</c:v>
                </c:pt>
                <c:pt idx="11">
                  <c:v>1</c:v>
                </c:pt>
                <c:pt idx="12">
                  <c:v>1</c:v>
                </c:pt>
                <c:pt idx="13">
                  <c:v>1</c:v>
                </c:pt>
                <c:pt idx="14">
                  <c:v>0</c:v>
                </c:pt>
                <c:pt idx="15">
                  <c:v>1</c:v>
                </c:pt>
                <c:pt idx="16">
                  <c:v>1</c:v>
                </c:pt>
                <c:pt idx="17">
                  <c:v>1</c:v>
                </c:pt>
                <c:pt idx="18">
                  <c:v>1</c:v>
                </c:pt>
                <c:pt idx="19">
                  <c:v>2</c:v>
                </c:pt>
                <c:pt idx="20">
                  <c:v>0</c:v>
                </c:pt>
                <c:pt idx="21">
                  <c:v>0</c:v>
                </c:pt>
                <c:pt idx="22">
                  <c:v>1</c:v>
                </c:pt>
                <c:pt idx="23">
                  <c:v>5</c:v>
                </c:pt>
                <c:pt idx="24">
                  <c:v>1</c:v>
                </c:pt>
              </c:numCache>
            </c:numRef>
          </c:val>
        </c:ser>
        <c:ser>
          <c:idx val="1"/>
          <c:order val="1"/>
          <c:tx>
            <c:strRef>
              <c:f>Sheet1!$C$1</c:f>
              <c:strCache>
                <c:ptCount val="1"/>
                <c:pt idx="0">
                  <c:v>较大</c:v>
                </c:pt>
              </c:strCache>
            </c:strRef>
          </c:tx>
          <c:spPr>
            <a:solidFill>
              <a:srgbClr val="FFC000"/>
            </a:solidFill>
            <a:ln>
              <a:noFill/>
            </a:ln>
            <a:effectLst/>
          </c:spPr>
          <c:invertIfNegative val="0"/>
          <c:dLbls>
            <c:delete val="1"/>
          </c:dLbls>
          <c:cat>
            <c:strRef>
              <c:f>Sheet1!$A$2:$A$26</c:f>
              <c:strCache>
                <c:ptCount val="25"/>
                <c:pt idx="0">
                  <c:v>拦河闸闸室段</c:v>
                </c:pt>
                <c:pt idx="1">
                  <c:v>拦河闸闸室段地基</c:v>
                </c:pt>
                <c:pt idx="2">
                  <c:v>生态放水闸室段</c:v>
                </c:pt>
                <c:pt idx="3">
                  <c:v>生态放水闸室段地基</c:v>
                </c:pt>
                <c:pt idx="4">
                  <c:v>上下游连接段</c:v>
                </c:pt>
                <c:pt idx="5">
                  <c:v>左右岸砼重力坝</c:v>
                </c:pt>
                <c:pt idx="6">
                  <c:v>左右岸砼重力坝地基</c:v>
                </c:pt>
                <c:pt idx="7">
                  <c:v>近坝岸坡</c:v>
                </c:pt>
                <c:pt idx="8">
                  <c:v>拦河闸工作闸门</c:v>
                </c:pt>
                <c:pt idx="9">
                  <c:v>拦河闸工作启闭机械</c:v>
                </c:pt>
                <c:pt idx="10">
                  <c:v>拦河闸启闭机检修移动式电动葫芦</c:v>
                </c:pt>
                <c:pt idx="11">
                  <c:v>拦河闸上游检修闸门</c:v>
                </c:pt>
                <c:pt idx="12">
                  <c:v>拦河闸上游检修启闭机械</c:v>
                </c:pt>
                <c:pt idx="13">
                  <c:v>拦河闸下游检修闸门</c:v>
                </c:pt>
                <c:pt idx="14">
                  <c:v>拦河闸下游检修启闭门机</c:v>
                </c:pt>
                <c:pt idx="15">
                  <c:v>生态放水工作闸门</c:v>
                </c:pt>
                <c:pt idx="16">
                  <c:v>生态放水工作启闭机械</c:v>
                </c:pt>
                <c:pt idx="17">
                  <c:v>生态放水事故闸门检修用</c:v>
                </c:pt>
                <c:pt idx="18">
                  <c:v>生态放水事故启闭机械</c:v>
                </c:pt>
                <c:pt idx="19">
                  <c:v>电气设备（拦河闸、增殖放流站）</c:v>
                </c:pt>
                <c:pt idx="20">
                  <c:v>特种设备</c:v>
                </c:pt>
                <c:pt idx="21">
                  <c:v>拦河闸管理设施</c:v>
                </c:pt>
                <c:pt idx="22">
                  <c:v>作业活动</c:v>
                </c:pt>
                <c:pt idx="23">
                  <c:v>运行管理</c:v>
                </c:pt>
                <c:pt idx="24">
                  <c:v>自然环境</c:v>
                </c:pt>
              </c:strCache>
            </c:strRef>
          </c:cat>
          <c:val>
            <c:numRef>
              <c:f>Sheet1!$C$2:$C$26</c:f>
              <c:numCache>
                <c:formatCode>General</c:formatCode>
                <c:ptCount val="25"/>
                <c:pt idx="0">
                  <c:v>1</c:v>
                </c:pt>
                <c:pt idx="1">
                  <c:v>0</c:v>
                </c:pt>
                <c:pt idx="2">
                  <c:v>1</c:v>
                </c:pt>
                <c:pt idx="3">
                  <c:v>0</c:v>
                </c:pt>
                <c:pt idx="4">
                  <c:v>2</c:v>
                </c:pt>
                <c:pt idx="5">
                  <c:v>2</c:v>
                </c:pt>
                <c:pt idx="6">
                  <c:v>0</c:v>
                </c:pt>
                <c:pt idx="7">
                  <c:v>1</c:v>
                </c:pt>
                <c:pt idx="8">
                  <c:v>2</c:v>
                </c:pt>
                <c:pt idx="9">
                  <c:v>2</c:v>
                </c:pt>
                <c:pt idx="10">
                  <c:v>1</c:v>
                </c:pt>
                <c:pt idx="11">
                  <c:v>0</c:v>
                </c:pt>
                <c:pt idx="12">
                  <c:v>0</c:v>
                </c:pt>
                <c:pt idx="13">
                  <c:v>0</c:v>
                </c:pt>
                <c:pt idx="14">
                  <c:v>0</c:v>
                </c:pt>
                <c:pt idx="15">
                  <c:v>2</c:v>
                </c:pt>
                <c:pt idx="16">
                  <c:v>0</c:v>
                </c:pt>
                <c:pt idx="17">
                  <c:v>0</c:v>
                </c:pt>
                <c:pt idx="18">
                  <c:v>2</c:v>
                </c:pt>
                <c:pt idx="19">
                  <c:v>0</c:v>
                </c:pt>
                <c:pt idx="20">
                  <c:v>0</c:v>
                </c:pt>
                <c:pt idx="21">
                  <c:v>2</c:v>
                </c:pt>
                <c:pt idx="22">
                  <c:v>0</c:v>
                </c:pt>
                <c:pt idx="23">
                  <c:v>0</c:v>
                </c:pt>
                <c:pt idx="24">
                  <c:v>0</c:v>
                </c:pt>
              </c:numCache>
            </c:numRef>
          </c:val>
        </c:ser>
        <c:ser>
          <c:idx val="2"/>
          <c:order val="2"/>
          <c:tx>
            <c:strRef>
              <c:f>Sheet1!$D$1</c:f>
              <c:strCache>
                <c:ptCount val="1"/>
                <c:pt idx="0">
                  <c:v>一般</c:v>
                </c:pt>
              </c:strCache>
            </c:strRef>
          </c:tx>
          <c:spPr>
            <a:solidFill>
              <a:srgbClr val="FFFF00"/>
            </a:solidFill>
            <a:ln>
              <a:noFill/>
            </a:ln>
            <a:effectLst/>
          </c:spPr>
          <c:invertIfNegative val="0"/>
          <c:dLbls>
            <c:delete val="1"/>
          </c:dLbls>
          <c:cat>
            <c:strRef>
              <c:f>Sheet1!$A$2:$A$26</c:f>
              <c:strCache>
                <c:ptCount val="25"/>
                <c:pt idx="0">
                  <c:v>拦河闸闸室段</c:v>
                </c:pt>
                <c:pt idx="1">
                  <c:v>拦河闸闸室段地基</c:v>
                </c:pt>
                <c:pt idx="2">
                  <c:v>生态放水闸室段</c:v>
                </c:pt>
                <c:pt idx="3">
                  <c:v>生态放水闸室段地基</c:v>
                </c:pt>
                <c:pt idx="4">
                  <c:v>上下游连接段</c:v>
                </c:pt>
                <c:pt idx="5">
                  <c:v>左右岸砼重力坝</c:v>
                </c:pt>
                <c:pt idx="6">
                  <c:v>左右岸砼重力坝地基</c:v>
                </c:pt>
                <c:pt idx="7">
                  <c:v>近坝岸坡</c:v>
                </c:pt>
                <c:pt idx="8">
                  <c:v>拦河闸工作闸门</c:v>
                </c:pt>
                <c:pt idx="9">
                  <c:v>拦河闸工作启闭机械</c:v>
                </c:pt>
                <c:pt idx="10">
                  <c:v>拦河闸启闭机检修移动式电动葫芦</c:v>
                </c:pt>
                <c:pt idx="11">
                  <c:v>拦河闸上游检修闸门</c:v>
                </c:pt>
                <c:pt idx="12">
                  <c:v>拦河闸上游检修启闭机械</c:v>
                </c:pt>
                <c:pt idx="13">
                  <c:v>拦河闸下游检修闸门</c:v>
                </c:pt>
                <c:pt idx="14">
                  <c:v>拦河闸下游检修启闭门机</c:v>
                </c:pt>
                <c:pt idx="15">
                  <c:v>生态放水工作闸门</c:v>
                </c:pt>
                <c:pt idx="16">
                  <c:v>生态放水工作启闭机械</c:v>
                </c:pt>
                <c:pt idx="17">
                  <c:v>生态放水事故闸门检修用</c:v>
                </c:pt>
                <c:pt idx="18">
                  <c:v>生态放水事故启闭机械</c:v>
                </c:pt>
                <c:pt idx="19">
                  <c:v>电气设备（拦河闸、增殖放流站）</c:v>
                </c:pt>
                <c:pt idx="20">
                  <c:v>特种设备</c:v>
                </c:pt>
                <c:pt idx="21">
                  <c:v>拦河闸管理设施</c:v>
                </c:pt>
                <c:pt idx="22">
                  <c:v>作业活动</c:v>
                </c:pt>
                <c:pt idx="23">
                  <c:v>运行管理</c:v>
                </c:pt>
                <c:pt idx="24">
                  <c:v>自然环境</c:v>
                </c:pt>
              </c:strCache>
            </c:strRef>
          </c:cat>
          <c:val>
            <c:numRef>
              <c:f>Sheet1!$D$2:$D$26</c:f>
              <c:numCache>
                <c:formatCode>General</c:formatCode>
                <c:ptCount val="25"/>
                <c:pt idx="0">
                  <c:v>5</c:v>
                </c:pt>
                <c:pt idx="1">
                  <c:v>0</c:v>
                </c:pt>
                <c:pt idx="2">
                  <c:v>5</c:v>
                </c:pt>
                <c:pt idx="3">
                  <c:v>0</c:v>
                </c:pt>
                <c:pt idx="4">
                  <c:v>5</c:v>
                </c:pt>
                <c:pt idx="5">
                  <c:v>8</c:v>
                </c:pt>
                <c:pt idx="6">
                  <c:v>0</c:v>
                </c:pt>
                <c:pt idx="7">
                  <c:v>2</c:v>
                </c:pt>
                <c:pt idx="8">
                  <c:v>5</c:v>
                </c:pt>
                <c:pt idx="9">
                  <c:v>0</c:v>
                </c:pt>
                <c:pt idx="10">
                  <c:v>4</c:v>
                </c:pt>
                <c:pt idx="11">
                  <c:v>1</c:v>
                </c:pt>
                <c:pt idx="12">
                  <c:v>3</c:v>
                </c:pt>
                <c:pt idx="13">
                  <c:v>1</c:v>
                </c:pt>
                <c:pt idx="14">
                  <c:v>4</c:v>
                </c:pt>
                <c:pt idx="15">
                  <c:v>5</c:v>
                </c:pt>
                <c:pt idx="16">
                  <c:v>1</c:v>
                </c:pt>
                <c:pt idx="17">
                  <c:v>1</c:v>
                </c:pt>
                <c:pt idx="18">
                  <c:v>0</c:v>
                </c:pt>
                <c:pt idx="19">
                  <c:v>9</c:v>
                </c:pt>
                <c:pt idx="20">
                  <c:v>1</c:v>
                </c:pt>
                <c:pt idx="21">
                  <c:v>9</c:v>
                </c:pt>
                <c:pt idx="22">
                  <c:v>0</c:v>
                </c:pt>
                <c:pt idx="23">
                  <c:v>0</c:v>
                </c:pt>
                <c:pt idx="24">
                  <c:v>0</c:v>
                </c:pt>
              </c:numCache>
            </c:numRef>
          </c:val>
        </c:ser>
        <c:ser>
          <c:idx val="3"/>
          <c:order val="3"/>
          <c:tx>
            <c:strRef>
              <c:f>Sheet1!$E$1</c:f>
              <c:strCache>
                <c:ptCount val="1"/>
                <c:pt idx="0">
                  <c:v>低</c:v>
                </c:pt>
              </c:strCache>
            </c:strRef>
          </c:tx>
          <c:spPr>
            <a:solidFill>
              <a:srgbClr val="0070C0"/>
            </a:solidFill>
            <a:ln>
              <a:noFill/>
            </a:ln>
            <a:effectLst/>
          </c:spPr>
          <c:invertIfNegative val="0"/>
          <c:dLbls>
            <c:delete val="1"/>
          </c:dLbls>
          <c:cat>
            <c:strRef>
              <c:f>Sheet1!$A$2:$A$26</c:f>
              <c:strCache>
                <c:ptCount val="25"/>
                <c:pt idx="0">
                  <c:v>拦河闸闸室段</c:v>
                </c:pt>
                <c:pt idx="1">
                  <c:v>拦河闸闸室段地基</c:v>
                </c:pt>
                <c:pt idx="2">
                  <c:v>生态放水闸室段</c:v>
                </c:pt>
                <c:pt idx="3">
                  <c:v>生态放水闸室段地基</c:v>
                </c:pt>
                <c:pt idx="4">
                  <c:v>上下游连接段</c:v>
                </c:pt>
                <c:pt idx="5">
                  <c:v>左右岸砼重力坝</c:v>
                </c:pt>
                <c:pt idx="6">
                  <c:v>左右岸砼重力坝地基</c:v>
                </c:pt>
                <c:pt idx="7">
                  <c:v>近坝岸坡</c:v>
                </c:pt>
                <c:pt idx="8">
                  <c:v>拦河闸工作闸门</c:v>
                </c:pt>
                <c:pt idx="9">
                  <c:v>拦河闸工作启闭机械</c:v>
                </c:pt>
                <c:pt idx="10">
                  <c:v>拦河闸启闭机检修移动式电动葫芦</c:v>
                </c:pt>
                <c:pt idx="11">
                  <c:v>拦河闸上游检修闸门</c:v>
                </c:pt>
                <c:pt idx="12">
                  <c:v>拦河闸上游检修启闭机械</c:v>
                </c:pt>
                <c:pt idx="13">
                  <c:v>拦河闸下游检修闸门</c:v>
                </c:pt>
                <c:pt idx="14">
                  <c:v>拦河闸下游检修启闭门机</c:v>
                </c:pt>
                <c:pt idx="15">
                  <c:v>生态放水工作闸门</c:v>
                </c:pt>
                <c:pt idx="16">
                  <c:v>生态放水工作启闭机械</c:v>
                </c:pt>
                <c:pt idx="17">
                  <c:v>生态放水事故闸门检修用</c:v>
                </c:pt>
                <c:pt idx="18">
                  <c:v>生态放水事故启闭机械</c:v>
                </c:pt>
                <c:pt idx="19">
                  <c:v>电气设备（拦河闸、增殖放流站）</c:v>
                </c:pt>
                <c:pt idx="20">
                  <c:v>特种设备</c:v>
                </c:pt>
                <c:pt idx="21">
                  <c:v>拦河闸管理设施</c:v>
                </c:pt>
                <c:pt idx="22">
                  <c:v>作业活动</c:v>
                </c:pt>
                <c:pt idx="23">
                  <c:v>运行管理</c:v>
                </c:pt>
                <c:pt idx="24">
                  <c:v>自然环境</c:v>
                </c:pt>
              </c:strCache>
            </c:strRef>
          </c:cat>
          <c:val>
            <c:numRef>
              <c:f>Sheet1!$E$2:$E$26</c:f>
              <c:numCache>
                <c:formatCode>General</c:formatCode>
                <c:ptCount val="25"/>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1</c:v>
                </c:pt>
                <c:pt idx="21">
                  <c:v>0</c:v>
                </c:pt>
                <c:pt idx="22">
                  <c:v>0</c:v>
                </c:pt>
                <c:pt idx="23">
                  <c:v>0</c:v>
                </c:pt>
                <c:pt idx="24">
                  <c:v>0</c:v>
                </c:pt>
              </c:numCache>
            </c:numRef>
          </c:val>
        </c:ser>
        <c:dLbls>
          <c:showLegendKey val="0"/>
          <c:showVal val="0"/>
          <c:showCatName val="0"/>
          <c:showSerName val="0"/>
          <c:showPercent val="0"/>
          <c:showBubbleSize val="0"/>
        </c:dLbls>
        <c:gapWidth val="150"/>
        <c:overlap val="100"/>
        <c:axId val="249496807"/>
        <c:axId val="74659823"/>
      </c:barChart>
      <c:catAx>
        <c:axId val="249496807"/>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0" spcFirstLastPara="0" vertOverflow="ellipsis" vert="eaVert"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4659823"/>
        <c:crosses val="autoZero"/>
        <c:auto val="1"/>
        <c:lblAlgn val="ctr"/>
        <c:lblOffset val="100"/>
        <c:noMultiLvlLbl val="0"/>
      </c:catAx>
      <c:valAx>
        <c:axId val="7465982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49496807"/>
        <c:crosses val="autoZero"/>
        <c:crossBetween val="between"/>
      </c:valAx>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2C8BB51-3C14-4DE4-BBD5-669DE76CC157}">
  <ds:schemaRefs/>
</ds:datastoreItem>
</file>

<file path=docProps/app.xml><?xml version="1.0" encoding="utf-8"?>
<Properties xmlns="http://schemas.openxmlformats.org/officeDocument/2006/extended-properties" xmlns:vt="http://schemas.openxmlformats.org/officeDocument/2006/docPropsVTypes">
  <Template>Normal</Template>
  <Pages>1</Pages>
  <Words>15399</Words>
  <Characters>87779</Characters>
  <Lines>731</Lines>
  <Paragraphs>205</Paragraphs>
  <TotalTime>2577</TotalTime>
  <ScaleCrop>false</ScaleCrop>
  <LinksUpToDate>false</LinksUpToDate>
  <CharactersWithSpaces>102973</CharactersWithSpaces>
  <Application>WPS Office_11.8.2.9015_F1E327BC-269C-435d-A152-05C5408002CA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2022-10-18T08:22:00Z</dcterms:created>
  <dc:creator>62542</dc:creator>
  <cp:lastModifiedBy>zyj</cp:lastModifiedBy>
  <cp:lastPrinted>2022-12-03T08:10:00Z</cp:lastPrinted>
  <dcterms:modified xsi:type="dcterms:W3CDTF">2023-10-25T03:43:15Z</dcterms:modified>
  <cp:revision>178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2052-11.8.2.9015</vt:lpwstr>
  </property>
  <property fmtid="{D5CDD505-2E9C-101B-9397-08002B2CF9AE}" pid="3" name="ICV">
    <vt:lpwstr>04B0387797B44AF49EA24AFFE6FB6A7C</vt:lpwstr>
  </property>
</Properties>
</file>