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区（县）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典型案例汇总表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3"/>
        <w:gridCol w:w="1053"/>
        <w:gridCol w:w="1038"/>
        <w:gridCol w:w="1038"/>
        <w:gridCol w:w="1038"/>
        <w:gridCol w:w="104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"/>
              </w:rPr>
              <w:t>单位名称</w:t>
            </w:r>
          </w:p>
        </w:tc>
        <w:tc>
          <w:tcPr>
            <w:tcW w:w="61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"/>
              </w:rPr>
              <w:t>统一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"/>
              </w:rPr>
              <w:t>信用代码</w:t>
            </w:r>
          </w:p>
        </w:tc>
        <w:tc>
          <w:tcPr>
            <w:tcW w:w="61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单位类别</w:t>
            </w:r>
          </w:p>
        </w:tc>
        <w:tc>
          <w:tcPr>
            <w:tcW w:w="243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年用水量（万m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）</w:t>
            </w:r>
          </w:p>
        </w:tc>
        <w:tc>
          <w:tcPr>
            <w:tcW w:w="70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取水许可水源地取用水量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公共管网取用水量</w:t>
            </w:r>
          </w:p>
        </w:tc>
        <w:tc>
          <w:tcPr>
            <w:tcW w:w="6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非常规水取用水量</w:t>
            </w:r>
          </w:p>
        </w:tc>
        <w:tc>
          <w:tcPr>
            <w:tcW w:w="707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70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70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70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70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18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707" w:type="pct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注：单位类别：按高校、公共机构、工业企业填写。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9"/>
    <w:rsid w:val="001D7668"/>
    <w:rsid w:val="0023510A"/>
    <w:rsid w:val="008F1CA9"/>
    <w:rsid w:val="00E24A05"/>
    <w:rsid w:val="797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2022-05-23T00:33:00Z</dcterms:created>
  <dc:creator>王雄</dc:creator>
  <cp:lastModifiedBy>Administrator</cp:lastModifiedBy>
  <dcterms:modified xsi:type="dcterms:W3CDTF">2025-02-19T08:45:23Z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