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华能重庆奉节金凤山风电扩建（望天坪）项目</w:t>
      </w: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华能重庆奉节风电有限责任公司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提交的</w:t>
      </w:r>
      <w:r>
        <w:rPr>
          <w:rFonts w:hint="eastAsia" w:eastAsia="方正仿宋_GBK" w:cs="Times New Roman"/>
          <w:color w:val="auto"/>
          <w:sz w:val="32"/>
          <w:szCs w:val="32"/>
          <w:lang w:eastAsia="zh-CN"/>
        </w:rPr>
        <w:t>华能重庆奉节金凤山风电扩建（望天坪）项目</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审批申请（项目代码：</w:t>
      </w:r>
      <w:r>
        <w:rPr>
          <w:rFonts w:hint="eastAsia" w:eastAsia="方正仿宋_GBK" w:cs="Times New Roman"/>
          <w:color w:val="auto"/>
          <w:sz w:val="32"/>
          <w:szCs w:val="32"/>
          <w:lang w:val="en-US" w:eastAsia="zh-CN"/>
        </w:rPr>
        <w:t>2210—500236—04—01—526397</w:t>
      </w:r>
      <w:r>
        <w:rPr>
          <w:rFonts w:hint="default" w:ascii="Times New Roman" w:hAnsi="Times New Roman" w:eastAsia="方正仿宋_GBK" w:cs="Times New Roman"/>
          <w:color w:val="auto"/>
          <w:sz w:val="32"/>
          <w:szCs w:val="32"/>
        </w:rPr>
        <w:t>）和《</w:t>
      </w:r>
      <w:r>
        <w:rPr>
          <w:rFonts w:hint="eastAsia" w:eastAsia="方正仿宋_GBK" w:cs="Times New Roman"/>
          <w:color w:val="auto"/>
          <w:sz w:val="32"/>
          <w:szCs w:val="32"/>
          <w:lang w:eastAsia="zh-CN"/>
        </w:rPr>
        <w:t>华能重庆奉节金凤山风电扩建（望天坪）项目</w:t>
      </w:r>
      <w:r>
        <w:rPr>
          <w:rFonts w:hint="eastAsia" w:ascii="Times New Roman" w:hAnsi="Times New Roman" w:eastAsia="方正仿宋_GBK" w:cs="Times New Roman"/>
          <w:color w:val="auto"/>
          <w:sz w:val="32"/>
          <w:szCs w:val="32"/>
        </w:rPr>
        <w:t>水土保持方案</w:t>
      </w:r>
      <w:r>
        <w:rPr>
          <w:rFonts w:hint="default" w:ascii="Times New Roman" w:hAnsi="Times New Roman" w:eastAsia="方正仿宋_GBK" w:cs="Times New Roman"/>
          <w:color w:val="auto"/>
          <w:sz w:val="32"/>
          <w:szCs w:val="32"/>
        </w:rPr>
        <w:t>报告书》收悉。经审查，该申请符合法定条件，根据《中华人民共和国行政许可法》第三十八条</w:t>
      </w:r>
      <w:r>
        <w:rPr>
          <w:rFonts w:hint="default" w:ascii="Times New Roman" w:hAnsi="Times New Roman" w:eastAsia="方正仿宋_GBK" w:cs="Times New Roman"/>
          <w:color w:val="auto"/>
          <w:sz w:val="32"/>
          <w:szCs w:val="32"/>
          <w:lang w:eastAsia="zh-CN"/>
        </w:rPr>
        <w:t>第一款、</w:t>
      </w:r>
      <w:r>
        <w:rPr>
          <w:rFonts w:hint="default" w:ascii="Times New Roman" w:hAnsi="Times New Roman" w:eastAsia="方正仿宋_GBK" w:cs="Times New Roman"/>
          <w:color w:val="auto"/>
          <w:sz w:val="32"/>
          <w:szCs w:val="32"/>
        </w:rPr>
        <w:t>《水行政许可实施办法》第三十二条第一项规定，决定准予行政许可。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方案编制所依据的法律法规、部委规章、规范性文件、标准规范、技术文件及采用的资料基本正确。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FF0000"/>
          <w:sz w:val="32"/>
          <w:szCs w:val="32"/>
        </w:rPr>
      </w:pPr>
      <w:r>
        <w:rPr>
          <w:rFonts w:hint="default" w:ascii="Times New Roman" w:hAnsi="Times New Roman" w:eastAsia="方正仿宋_GBK" w:cs="Times New Roman"/>
          <w:bCs/>
          <w:color w:val="auto"/>
          <w:sz w:val="32"/>
          <w:szCs w:val="32"/>
        </w:rPr>
        <w:t>（二）同意方案设计水平年为</w:t>
      </w:r>
      <w:r>
        <w:rPr>
          <w:rFonts w:hint="eastAsia" w:ascii="Times New Roman" w:hAnsi="Times New Roman" w:eastAsia="方正仿宋_GBK" w:cs="Times New Roman"/>
          <w:bCs/>
          <w:color w:val="auto"/>
          <w:sz w:val="32"/>
          <w:szCs w:val="32"/>
          <w:lang w:val="en-US" w:eastAsia="zh-CN"/>
        </w:rPr>
        <w:t>202</w:t>
      </w:r>
      <w:r>
        <w:rPr>
          <w:rFonts w:hint="eastAsia" w:eastAsia="方正仿宋_GBK" w:cs="Times New Roman"/>
          <w:bCs/>
          <w:color w:val="auto"/>
          <w:sz w:val="32"/>
          <w:szCs w:val="32"/>
          <w:lang w:val="en-US" w:eastAsia="zh-CN"/>
        </w:rPr>
        <w:t>4</w:t>
      </w:r>
      <w:r>
        <w:rPr>
          <w:rFonts w:hint="default" w:ascii="Times New Roman" w:hAnsi="Times New Roman" w:eastAsia="方正仿宋_GBK" w:cs="Times New Roman"/>
          <w:bCs/>
          <w:color w:val="auto"/>
          <w:sz w:val="32"/>
          <w:szCs w:val="32"/>
        </w:rPr>
        <w:t>年</w:t>
      </w:r>
      <w:r>
        <w:rPr>
          <w:rFonts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rPr>
        <w:t>三</w:t>
      </w:r>
      <w:r>
        <w:rPr>
          <w:rFonts w:ascii="Times New Roman" w:hAnsi="Times New Roman" w:eastAsia="方正仿宋_GBK"/>
          <w:bCs/>
          <w:color w:val="auto"/>
          <w:sz w:val="32"/>
          <w:szCs w:val="32"/>
        </w:rPr>
        <w:t>）</w:t>
      </w:r>
      <w:r>
        <w:rPr>
          <w:rFonts w:hint="default" w:ascii="Times New Roman" w:hAnsi="Times New Roman" w:eastAsia="方正仿宋_GBK" w:cs="Times New Roman"/>
          <w:bCs/>
          <w:color w:val="auto"/>
          <w:sz w:val="32"/>
          <w:szCs w:val="32"/>
        </w:rPr>
        <w:t>同意水土流失防治责任范围的界定，</w:t>
      </w:r>
      <w:r>
        <w:rPr>
          <w:rFonts w:hint="default" w:ascii="Times New Roman" w:hAnsi="Times New Roman" w:eastAsia="方正仿宋_GBK" w:cs="Times New Roman"/>
          <w:color w:val="auto"/>
          <w:sz w:val="32"/>
          <w:szCs w:val="32"/>
        </w:rPr>
        <w:t>水土流失防治责任范围面积为</w:t>
      </w:r>
      <w:r>
        <w:rPr>
          <w:rFonts w:hint="eastAsia" w:eastAsia="方正仿宋_GBK" w:cs="Times New Roman"/>
          <w:color w:val="auto"/>
          <w:sz w:val="32"/>
          <w:szCs w:val="32"/>
          <w:lang w:val="en-US" w:eastAsia="zh-CN"/>
        </w:rPr>
        <w:t>47.57</w:t>
      </w:r>
      <w:r>
        <w:rPr>
          <w:rFonts w:hint="default" w:ascii="Times New Roman" w:hAnsi="Times New Roman" w:eastAsia="方正仿宋_GBK" w:cs="Times New Roman"/>
          <w:color w:val="auto"/>
          <w:sz w:val="32"/>
          <w:szCs w:val="32"/>
        </w:rPr>
        <w:t>hm</w:t>
      </w:r>
      <w:r>
        <w:rPr>
          <w:rFonts w:hint="default"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（四）</w:t>
      </w:r>
      <w:r>
        <w:rPr>
          <w:rFonts w:hint="eastAsia" w:ascii="Times New Roman" w:hAnsi="Times New Roman" w:eastAsia="方正仿宋_GBK" w:cs="Times New Roman"/>
          <w:b w:val="0"/>
          <w:color w:val="auto"/>
          <w:sz w:val="32"/>
          <w:szCs w:val="32"/>
        </w:rPr>
        <w:t>同意项目水土流失防治标准等级执行西南紫色土区建设类项目一级标准</w:t>
      </w:r>
      <w:r>
        <w:rPr>
          <w:rFonts w:ascii="Times New Roman" w:hAnsi="Times New Roman" w:eastAsia="方正仿宋_GBK" w:cs="Times New Roman"/>
          <w:b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bCs/>
          <w:color w:val="auto"/>
          <w:sz w:val="32"/>
          <w:szCs w:val="32"/>
        </w:rPr>
        <w:t>（五）</w:t>
      </w:r>
      <w:r>
        <w:rPr>
          <w:rFonts w:hint="default" w:ascii="Times New Roman" w:hAnsi="Times New Roman" w:eastAsia="方正仿宋_GBK" w:cs="Times New Roman"/>
          <w:color w:val="auto"/>
          <w:sz w:val="32"/>
          <w:szCs w:val="32"/>
        </w:rPr>
        <w:t>同意水土流失防治目标。其中：水土流失治理度97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，土壤流失控制比1.0，渣土防护率9</w:t>
      </w:r>
      <w:r>
        <w:rPr>
          <w:rFonts w:hint="eastAsia"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，表土保护率92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，林草植被恢复率97</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，林草覆盖率2</w:t>
      </w:r>
      <w:r>
        <w:rPr>
          <w:rFonts w:hint="eastAsia"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lang w:eastAsia="zh-CN" w:bidi="ar"/>
        </w:rPr>
      </w:pPr>
      <w:r>
        <w:rPr>
          <w:rFonts w:hint="eastAsia" w:ascii="Times New Roman" w:hAnsi="Times New Roman" w:eastAsia="方正仿宋_GBK"/>
          <w:bCs/>
          <w:color w:val="auto"/>
          <w:sz w:val="32"/>
          <w:szCs w:val="32"/>
          <w:lang w:bidi="ar"/>
        </w:rPr>
        <w:t>水土保持方案工程静态总投资2069.23万元，其中：主体已列1269.70万元，方案新增799.53万元（其中：工程措施费153.59万元，植物措施费14.96万元，监测措施费30.34万元，临时措施费400.87万元，独立费用91.68万元，基本预备费41.49万元，水土保持补偿费66.60万元）</w:t>
      </w:r>
      <w:r>
        <w:rPr>
          <w:rFonts w:hint="eastAsia" w:ascii="Times New Roman" w:hAnsi="Times New Roman" w:eastAsia="方正仿宋_GBK"/>
          <w:bCs/>
          <w:color w:val="auto"/>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eastAsia="方正仿宋_GBK"/>
          <w:snapToGrid w:val="0"/>
          <w:color w:val="auto"/>
          <w:kern w:val="0"/>
          <w:sz w:val="32"/>
          <w:szCs w:val="32"/>
          <w:lang w:val="en-US" w:eastAsia="zh-CN"/>
        </w:rPr>
        <w:t>须</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1918" w:leftChars="228" w:right="0" w:hanging="1280" w:hangingChars="400"/>
        <w:jc w:val="both"/>
        <w:textAlignment w:val="auto"/>
        <w:rPr>
          <w:rFonts w:hint="eastAsia" w:ascii="Times New Roman" w:hAnsi="Times New Roman" w:eastAsia="方正仿宋_GBK" w:cs="方正仿宋_GBK"/>
          <w:bCs/>
          <w:color w:val="auto"/>
          <w:spacing w:val="-11"/>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华能重庆奉节金凤山风电扩建（望天坪）项目</w:t>
      </w:r>
      <w:r>
        <w:rPr>
          <w:rFonts w:hint="eastAsia" w:ascii="Times New Roman" w:hAnsi="Times New Roman" w:eastAsia="方正仿宋_GBK" w:cs="方正仿宋_GBK"/>
          <w:bCs/>
          <w:color w:val="auto"/>
          <w:spacing w:val="-11"/>
          <w:sz w:val="32"/>
          <w:szCs w:val="32"/>
        </w:rPr>
        <w:t>水土</w:t>
      </w:r>
    </w:p>
    <w:p>
      <w:pPr>
        <w:keepNext w:val="0"/>
        <w:keepLines w:val="0"/>
        <w:pageBreakBefore w:val="0"/>
        <w:widowControl w:val="0"/>
        <w:kinsoku/>
        <w:wordWrap/>
        <w:overflowPunct/>
        <w:topLinePunct w:val="0"/>
        <w:autoSpaceDE/>
        <w:autoSpaceDN/>
        <w:bidi w:val="0"/>
        <w:adjustRightInd w:val="0"/>
        <w:snapToGrid w:val="0"/>
        <w:spacing w:line="594" w:lineRule="exact"/>
        <w:ind w:left="2072" w:leftChars="740" w:right="0" w:firstLine="0" w:firstLineChars="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bCs/>
          <w:color w:val="auto"/>
          <w:spacing w:val="-11"/>
          <w:sz w:val="32"/>
          <w:szCs w:val="32"/>
        </w:rPr>
        <w:t>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val="0"/>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spacing w:val="-6"/>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华能重庆奉节金凤山风电扩建（望天坪）项目</w:t>
      </w:r>
      <w:r>
        <w:rPr>
          <w:rFonts w:hint="eastAsia" w:ascii="Times New Roman" w:hAnsi="Times New Roman" w:eastAsia="方正仿宋_GBK" w:cs="方正仿宋_GBK"/>
          <w:snapToGrid w:val="0"/>
          <w:color w:val="auto"/>
          <w:spacing w:val="-6"/>
          <w:kern w:val="0"/>
          <w:sz w:val="32"/>
          <w:szCs w:val="32"/>
        </w:rPr>
        <w:t>水土</w:t>
      </w:r>
    </w:p>
    <w:p>
      <w:pPr>
        <w:keepNext w:val="0"/>
        <w:keepLines w:val="0"/>
        <w:pageBreakBefore w:val="0"/>
        <w:widowControl w:val="0"/>
        <w:kinsoku/>
        <w:wordWrap/>
        <w:overflowPunct/>
        <w:topLinePunct w:val="0"/>
        <w:autoSpaceDE/>
        <w:autoSpaceDN/>
        <w:bidi w:val="0"/>
        <w:adjustRightInd w:val="0"/>
        <w:snapToGrid w:val="0"/>
        <w:spacing w:line="594" w:lineRule="exact"/>
        <w:ind w:left="2072" w:leftChars="740" w:right="0" w:firstLine="0" w:firstLineChars="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spacing w:val="-6"/>
          <w:kern w:val="0"/>
          <w:sz w:val="32"/>
          <w:szCs w:val="32"/>
        </w:rPr>
        <w:t>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8</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18</w:t>
      </w:r>
      <w:bookmarkStart w:id="0" w:name="_GoBack"/>
      <w:bookmarkEnd w:id="0"/>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r>
        <w:rPr>
          <w:rFonts w:hint="eastAsia" w:ascii="Times New Roman" w:hAnsi="Times New Roman" w:eastAsia="方正仿宋_GBK"/>
          <w:snapToGrid w:val="0"/>
          <w:color w:val="auto"/>
          <w:kern w:val="0"/>
          <w:sz w:val="32"/>
          <w:szCs w:val="32"/>
        </w:rPr>
        <w:t>（此件主动公开发布）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pPr>
      <w:r>
        <w:rPr>
          <w:rFonts w:hint="eastAsia" w:ascii="Times New Roman" w:hAnsi="Times New Roman" w:eastAsia="方正仿宋_GBK"/>
          <w:snapToGrid w:val="0"/>
          <w:color w:val="auto"/>
          <w:kern w:val="0"/>
          <w:sz w:val="32"/>
          <w:szCs w:val="32"/>
        </w:rPr>
        <w:t>（联系人：张春才；联系电话：023—88707091）</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Times New Roman" w:hAnsi="Times New Roman" w:eastAsia="方正小标宋_GBK" w:cs="方正小标宋_GBK"/>
          <w:bCs/>
          <w:color w:val="auto"/>
          <w:spacing w:val="0"/>
          <w:w w:val="1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r>
        <w:rPr>
          <w:rFonts w:hint="eastAsia" w:eastAsia="方正小标宋_GBK" w:cs="方正小标宋_GBK"/>
          <w:bCs/>
          <w:color w:val="auto"/>
          <w:spacing w:val="0"/>
          <w:w w:val="100"/>
          <w:sz w:val="36"/>
          <w:szCs w:val="36"/>
          <w:lang w:eastAsia="zh-CN"/>
        </w:rPr>
        <w:t>华能重庆奉节金凤山风电扩建（望天坪）项目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auto"/>
          <w:spacing w:val="-23"/>
          <w:w w:val="85"/>
          <w:kern w:val="0"/>
          <w:sz w:val="36"/>
          <w:szCs w:val="36"/>
        </w:rPr>
      </w:pP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9"/>
        <w:tblW w:w="93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5"/>
        <w:gridCol w:w="757"/>
        <w:gridCol w:w="600"/>
        <w:gridCol w:w="522"/>
        <w:gridCol w:w="475"/>
        <w:gridCol w:w="1870"/>
        <w:gridCol w:w="723"/>
        <w:gridCol w:w="383"/>
        <w:gridCol w:w="626"/>
        <w:gridCol w:w="379"/>
        <w:gridCol w:w="652"/>
        <w:gridCol w:w="574"/>
        <w:gridCol w:w="370"/>
        <w:gridCol w:w="8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382"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项目名称</w:t>
            </w:r>
          </w:p>
        </w:tc>
        <w:tc>
          <w:tcPr>
            <w:tcW w:w="3467"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华能重庆奉节金凤山风电扩建（望天坪）项目</w:t>
            </w:r>
          </w:p>
        </w:tc>
        <w:tc>
          <w:tcPr>
            <w:tcW w:w="2763" w:type="dxa"/>
            <w:gridSpan w:val="5"/>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流域管理机构</w:t>
            </w:r>
          </w:p>
        </w:tc>
        <w:tc>
          <w:tcPr>
            <w:tcW w:w="1770"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382"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涉及市</w:t>
            </w:r>
          </w:p>
        </w:tc>
        <w:tc>
          <w:tcPr>
            <w:tcW w:w="1122"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涉及地市或个数</w:t>
            </w:r>
          </w:p>
        </w:tc>
        <w:tc>
          <w:tcPr>
            <w:tcW w:w="1106"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w:t>
            </w:r>
          </w:p>
        </w:tc>
        <w:tc>
          <w:tcPr>
            <w:tcW w:w="165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涉及县或个数</w:t>
            </w:r>
          </w:p>
        </w:tc>
        <w:tc>
          <w:tcPr>
            <w:tcW w:w="1770"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firstLine="360" w:firstLineChars="20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奉节县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382"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项目规模</w:t>
            </w:r>
          </w:p>
        </w:tc>
        <w:tc>
          <w:tcPr>
            <w:tcW w:w="4190" w:type="dxa"/>
            <w:gridSpan w:val="5"/>
            <w:tcBorders>
              <w:right w:val="single" w:color="000000" w:sz="2" w:space="0"/>
            </w:tcBorders>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该项目拟安装12台风机，装机总规模60MW，其中12台单机容量为5.0MW风力发电机组。新建道路共13.201km，其中</w:t>
            </w:r>
            <w:r>
              <w:rPr>
                <w:rFonts w:hint="eastAsia" w:eastAsia="方正仿宋_GBK" w:cs="Times New Roman"/>
                <w:color w:val="auto"/>
                <w:sz w:val="18"/>
                <w:szCs w:val="18"/>
                <w:lang w:eastAsia="zh-CN"/>
              </w:rPr>
              <w:t>：</w:t>
            </w:r>
            <w:r>
              <w:rPr>
                <w:rFonts w:hint="default" w:ascii="Times New Roman" w:hAnsi="Times New Roman" w:eastAsia="方正仿宋_GBK" w:cs="Times New Roman"/>
                <w:color w:val="auto"/>
                <w:sz w:val="18"/>
                <w:szCs w:val="18"/>
              </w:rPr>
              <w:t>主路4.772km，支路7.868km，升压站进站道路0.561km。集电线路采用35kV电缆直埋敷设35.78km。新建110kv升压站一座</w:t>
            </w:r>
          </w:p>
        </w:tc>
        <w:tc>
          <w:tcPr>
            <w:tcW w:w="1009" w:type="dxa"/>
            <w:gridSpan w:val="2"/>
            <w:tcBorders>
              <w:top w:val="single" w:color="000000" w:sz="2" w:space="0"/>
              <w:left w:val="single" w:color="000000" w:sz="2" w:space="0"/>
              <w:bottom w:val="single" w:color="000000" w:sz="2" w:space="0"/>
              <w:right w:val="single" w:color="000000" w:sz="6"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总投资（万元）</w:t>
            </w:r>
          </w:p>
        </w:tc>
        <w:tc>
          <w:tcPr>
            <w:tcW w:w="1031" w:type="dxa"/>
            <w:gridSpan w:val="2"/>
            <w:tcBorders>
              <w:top w:val="single" w:color="000000" w:sz="2" w:space="0"/>
              <w:left w:val="single" w:color="000000" w:sz="2" w:space="0"/>
              <w:bottom w:val="single" w:color="000000" w:sz="2" w:space="0"/>
              <w:right w:val="single" w:color="000000" w:sz="2"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42184</w:t>
            </w:r>
          </w:p>
        </w:tc>
        <w:tc>
          <w:tcPr>
            <w:tcW w:w="944" w:type="dxa"/>
            <w:gridSpan w:val="2"/>
            <w:tcBorders>
              <w:left w:val="single" w:color="000000" w:sz="2"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土建投资（万元）</w:t>
            </w:r>
          </w:p>
        </w:tc>
        <w:tc>
          <w:tcPr>
            <w:tcW w:w="826"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7374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382"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动工时间</w:t>
            </w:r>
          </w:p>
        </w:tc>
        <w:tc>
          <w:tcPr>
            <w:tcW w:w="1122" w:type="dxa"/>
            <w:gridSpan w:val="2"/>
            <w:noWrap w:val="0"/>
            <w:vAlign w:val="center"/>
          </w:tcPr>
          <w:p>
            <w:pPr>
              <w:keepNext w:val="0"/>
              <w:keepLines w:val="0"/>
              <w:suppressLineNumbers w:val="0"/>
              <w:adjustRightInd w:val="0"/>
              <w:snapToGrid w:val="0"/>
              <w:spacing w:before="0" w:beforeAutospacing="0" w:after="0" w:afterAutospacing="0" w:line="240" w:lineRule="atLeast"/>
              <w:ind w:left="-140" w:leftChars="-50" w:right="-140" w:rightChars="-5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2023年8月</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完工时间</w:t>
            </w:r>
          </w:p>
        </w:tc>
        <w:tc>
          <w:tcPr>
            <w:tcW w:w="1106" w:type="dxa"/>
            <w:gridSpan w:val="2"/>
            <w:noWrap w:val="0"/>
            <w:vAlign w:val="center"/>
          </w:tcPr>
          <w:p>
            <w:pPr>
              <w:keepNext w:val="0"/>
              <w:keepLines w:val="0"/>
              <w:suppressLineNumbers w:val="0"/>
              <w:adjustRightInd w:val="0"/>
              <w:snapToGrid w:val="0"/>
              <w:spacing w:before="0" w:beforeAutospacing="0" w:after="0" w:afterAutospacing="0" w:line="240" w:lineRule="atLeast"/>
              <w:ind w:left="-140" w:leftChars="-50" w:right="-140" w:rightChars="-5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2024年4月</w:t>
            </w:r>
          </w:p>
        </w:tc>
        <w:tc>
          <w:tcPr>
            <w:tcW w:w="165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设计水平年</w:t>
            </w:r>
          </w:p>
        </w:tc>
        <w:tc>
          <w:tcPr>
            <w:tcW w:w="1770"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2024年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382"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工程占地（hm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w:t>
            </w:r>
          </w:p>
        </w:tc>
        <w:tc>
          <w:tcPr>
            <w:tcW w:w="1122"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47.57</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永久占地（hm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w:t>
            </w:r>
          </w:p>
        </w:tc>
        <w:tc>
          <w:tcPr>
            <w:tcW w:w="1106"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1.33</w:t>
            </w:r>
          </w:p>
        </w:tc>
        <w:tc>
          <w:tcPr>
            <w:tcW w:w="165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临时占地（hm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w:t>
            </w:r>
          </w:p>
        </w:tc>
        <w:tc>
          <w:tcPr>
            <w:tcW w:w="1770"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46.24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504" w:type="dxa"/>
            <w:gridSpan w:val="4"/>
            <w:vMerge w:val="restart"/>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土石方量（万m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挖方</w:t>
            </w:r>
          </w:p>
        </w:tc>
        <w:tc>
          <w:tcPr>
            <w:tcW w:w="1106"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填方</w:t>
            </w:r>
          </w:p>
        </w:tc>
        <w:tc>
          <w:tcPr>
            <w:tcW w:w="165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利用</w:t>
            </w:r>
          </w:p>
        </w:tc>
        <w:tc>
          <w:tcPr>
            <w:tcW w:w="1770"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2504" w:type="dxa"/>
            <w:gridSpan w:val="4"/>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56.85</w:t>
            </w:r>
          </w:p>
        </w:tc>
        <w:tc>
          <w:tcPr>
            <w:tcW w:w="1106"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27.32</w:t>
            </w:r>
          </w:p>
        </w:tc>
        <w:tc>
          <w:tcPr>
            <w:tcW w:w="165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5.80</w:t>
            </w:r>
          </w:p>
        </w:tc>
        <w:tc>
          <w:tcPr>
            <w:tcW w:w="1770"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23.73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504"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重点防治区名称</w:t>
            </w:r>
          </w:p>
        </w:tc>
        <w:tc>
          <w:tcPr>
            <w:tcW w:w="6878" w:type="dxa"/>
            <w:gridSpan w:val="10"/>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三峡库区国家级水土流失重点治理区、重庆市水土流失重点治理区、奉节县水土流失重点治理区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504"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地貌类型</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中山地貌</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水土保持区划</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504"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土壤侵蚀类型</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水力侵蚀</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土壤侵蚀强度</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微度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504"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防治责任范围面积（hm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47.57</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容许土壤流失量[t/km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·a]</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504"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土壤流失预测总量（t）</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2630</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新增土壤流失量（t）</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504"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水土流失防治标准执行等级</w:t>
            </w:r>
          </w:p>
        </w:tc>
        <w:tc>
          <w:tcPr>
            <w:tcW w:w="6878" w:type="dxa"/>
            <w:gridSpan w:val="10"/>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restart"/>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防治指标</w:t>
            </w:r>
          </w:p>
        </w:tc>
        <w:tc>
          <w:tcPr>
            <w:tcW w:w="1879"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水土流失治理度（%）</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97</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土壤流失控制比</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p>
        </w:tc>
        <w:tc>
          <w:tcPr>
            <w:tcW w:w="1879"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渣土防护率（%）</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90</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表土保护率（%）</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p>
        </w:tc>
        <w:tc>
          <w:tcPr>
            <w:tcW w:w="1879"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林草植被恢复率（%）</w:t>
            </w:r>
          </w:p>
        </w:tc>
        <w:tc>
          <w:tcPr>
            <w:tcW w:w="2345"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97</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林草覆盖率（%）</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restart"/>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防治措施及工程量</w:t>
            </w:r>
          </w:p>
        </w:tc>
        <w:tc>
          <w:tcPr>
            <w:tcW w:w="1357"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分区</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工程措施</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植物措施</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p>
        </w:tc>
        <w:tc>
          <w:tcPr>
            <w:tcW w:w="1357"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风机平台防治区</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主体设计：表土剥离0.76万m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，土地整治2.80hm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，表土回填1.15万m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，平台排水沟1113m，沉沙池13座</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主体设计：灌草结合27970m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，乔灌草结合25m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，挂网植爬藤1612m</w:t>
            </w:r>
            <w:r>
              <w:rPr>
                <w:rFonts w:hint="default" w:ascii="Times New Roman" w:hAnsi="Times New Roman" w:eastAsia="方正仿宋_GBK" w:cs="Times New Roman"/>
                <w:color w:val="auto"/>
                <w:sz w:val="18"/>
                <w:szCs w:val="18"/>
                <w:vertAlign w:val="superscript"/>
              </w:rPr>
              <w:t>2</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方案新增：防雨布覆盖3000m</w:t>
            </w:r>
            <w:r>
              <w:rPr>
                <w:rFonts w:hint="default" w:ascii="Times New Roman" w:hAnsi="Times New Roman" w:eastAsia="方正仿宋_GBK"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p>
        </w:tc>
        <w:tc>
          <w:tcPr>
            <w:tcW w:w="1357"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升压站防治区</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主体设计：表土剥离0.19万m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，土地整治0.10hm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，表土回填0.11万m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，截水沟250m，排水沟390m，格构护坡2420m</w:t>
            </w:r>
            <w:r>
              <w:rPr>
                <w:rFonts w:hint="default" w:ascii="Times New Roman" w:hAnsi="Times New Roman" w:eastAsia="方正仿宋_GBK" w:cs="Times New Roman"/>
                <w:color w:val="auto"/>
                <w:sz w:val="18"/>
                <w:szCs w:val="18"/>
                <w:vertAlign w:val="superscript"/>
              </w:rPr>
              <w:t>2</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主体设计：景观绿化1000m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，乔灌草结合800m</w:t>
            </w:r>
            <w:r>
              <w:rPr>
                <w:rFonts w:hint="default" w:ascii="Times New Roman" w:hAnsi="Times New Roman" w:eastAsia="方正仿宋_GBK" w:cs="Times New Roman"/>
                <w:color w:val="auto"/>
                <w:sz w:val="18"/>
                <w:szCs w:val="18"/>
                <w:vertAlign w:val="superscript"/>
              </w:rPr>
              <w:t>2</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Style w:val="35"/>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方案新增：防雨布覆盖3100m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，临时排水沟600m，临时沉沙池2座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p>
        </w:tc>
        <w:tc>
          <w:tcPr>
            <w:tcW w:w="1357"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施工检修道路防治区</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主体设计：表土剥离6.82万m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，表土回填5.74万m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，土地整治13.92hm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，道路边沟12855m</w:t>
            </w:r>
          </w:p>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方案新增：截水沟2794m</w:t>
            </w:r>
          </w:p>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主体设计：挂网喷草1.00hm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，挂网植爬藤3.26hm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，乔灌草结合19.70hm</w:t>
            </w:r>
            <w:r>
              <w:rPr>
                <w:rFonts w:hint="default" w:ascii="Times New Roman" w:hAnsi="Times New Roman" w:eastAsia="方正仿宋_GBK" w:cs="Times New Roman"/>
                <w:color w:val="auto"/>
                <w:sz w:val="18"/>
                <w:szCs w:val="18"/>
                <w:vertAlign w:val="superscript"/>
              </w:rPr>
              <w:t>2</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sz w:val="18"/>
                <w:szCs w:val="18"/>
              </w:rPr>
              <w:t>方案新增：防雨布覆盖129600m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，临时排水沟12855m，临时沉沙池22座、临时拦挡1340m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p>
        </w:tc>
        <w:tc>
          <w:tcPr>
            <w:tcW w:w="1357"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集电线路防治区</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主体设计：表土回填0.26万m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，土地整治0.88hm</w:t>
            </w:r>
            <w:r>
              <w:rPr>
                <w:rFonts w:hint="default" w:ascii="Times New Roman" w:hAnsi="Times New Roman" w:eastAsia="方正仿宋_GBK" w:cs="Times New Roman"/>
                <w:color w:val="auto"/>
                <w:sz w:val="18"/>
                <w:szCs w:val="18"/>
                <w:vertAlign w:val="superscript"/>
              </w:rPr>
              <w:t>2</w:t>
            </w:r>
          </w:p>
        </w:tc>
        <w:tc>
          <w:tcPr>
            <w:tcW w:w="2111" w:type="dxa"/>
            <w:gridSpan w:val="4"/>
            <w:noWrap w:val="0"/>
            <w:vAlign w:val="center"/>
          </w:tcPr>
          <w:p>
            <w:pPr>
              <w:keepNext w:val="0"/>
              <w:keepLines w:val="0"/>
              <w:widowControl w:val="0"/>
              <w:suppressLineNumbers w:val="0"/>
              <w:adjustRightInd w:val="0"/>
              <w:snapToGrid w:val="0"/>
              <w:spacing w:before="0" w:beforeAutospacing="0" w:after="0" w:afterLines="0" w:afterAutospacing="0" w:line="240" w:lineRule="atLeast"/>
              <w:ind w:left="0" w:right="0"/>
              <w:jc w:val="both"/>
              <w:rPr>
                <w:rFonts w:hint="default" w:ascii="Times New Roman" w:hAnsi="Times New Roman" w:eastAsia="方正仿宋_GBK" w:cs="Times New Roman"/>
                <w:color w:val="auto"/>
                <w:kern w:val="2"/>
                <w:sz w:val="18"/>
                <w:szCs w:val="18"/>
                <w:lang w:val="en-US" w:eastAsia="zh-CN" w:bidi="ar-SA"/>
              </w:rPr>
            </w:pPr>
            <w:r>
              <w:rPr>
                <w:rFonts w:hint="default" w:ascii="Times New Roman" w:hAnsi="Times New Roman" w:eastAsia="方正仿宋_GBK" w:cs="Times New Roman"/>
                <w:color w:val="auto"/>
                <w:kern w:val="2"/>
                <w:sz w:val="18"/>
                <w:szCs w:val="18"/>
                <w:lang w:val="en-US" w:eastAsia="zh-CN" w:bidi="ar-SA"/>
              </w:rPr>
              <w:t>方案新增：撒播草籽0.88hm</w:t>
            </w:r>
            <w:r>
              <w:rPr>
                <w:rFonts w:hint="default" w:ascii="Times New Roman" w:hAnsi="Times New Roman" w:eastAsia="方正仿宋_GBK" w:cs="Times New Roman"/>
                <w:color w:val="auto"/>
                <w:kern w:val="2"/>
                <w:sz w:val="18"/>
                <w:szCs w:val="18"/>
                <w:vertAlign w:val="superscript"/>
                <w:lang w:val="en-US" w:eastAsia="zh-CN" w:bidi="ar-SA"/>
              </w:rPr>
              <w:t>2</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Style w:val="35"/>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方案新增：临时拦挡1280m，防雨布覆盖17920m</w:t>
            </w:r>
            <w:r>
              <w:rPr>
                <w:rFonts w:hint="default" w:ascii="Times New Roman" w:hAnsi="Times New Roman" w:eastAsia="方正仿宋_GBK"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p>
        </w:tc>
        <w:tc>
          <w:tcPr>
            <w:tcW w:w="1357"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弃渣场防治区</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主体设计：表土剥离0.60万m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，土地整治2.41hm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，表土回填0.96万m</w:t>
            </w:r>
            <w:r>
              <w:rPr>
                <w:rFonts w:hint="default" w:ascii="Times New Roman" w:hAnsi="Times New Roman" w:eastAsia="方正仿宋_GBK" w:cs="Times New Roman"/>
                <w:color w:val="auto"/>
                <w:sz w:val="18"/>
                <w:szCs w:val="18"/>
                <w:vertAlign w:val="superscript"/>
              </w:rPr>
              <w:t>3</w:t>
            </w:r>
            <w:r>
              <w:rPr>
                <w:rFonts w:hint="default" w:ascii="Times New Roman" w:hAnsi="Times New Roman" w:eastAsia="方正仿宋_GBK" w:cs="Times New Roman"/>
                <w:color w:val="auto"/>
                <w:sz w:val="18"/>
                <w:szCs w:val="18"/>
              </w:rPr>
              <w:t>，截水沟764m，挡土墙217.1m，跌水沟635m，沉沙池14座、盲沟310m。</w:t>
            </w:r>
          </w:p>
        </w:tc>
        <w:tc>
          <w:tcPr>
            <w:tcW w:w="2111" w:type="dxa"/>
            <w:gridSpan w:val="4"/>
            <w:noWrap w:val="0"/>
            <w:vAlign w:val="center"/>
          </w:tcPr>
          <w:p>
            <w:pPr>
              <w:keepNext w:val="0"/>
              <w:keepLines w:val="0"/>
              <w:widowControl w:val="0"/>
              <w:suppressLineNumbers w:val="0"/>
              <w:adjustRightInd w:val="0"/>
              <w:snapToGrid w:val="0"/>
              <w:spacing w:before="0" w:beforeAutospacing="0" w:after="0" w:afterLines="0" w:afterAutospacing="0" w:line="240" w:lineRule="atLeast"/>
              <w:ind w:left="0" w:right="0"/>
              <w:jc w:val="both"/>
              <w:rPr>
                <w:rFonts w:hint="default" w:ascii="Times New Roman" w:hAnsi="Times New Roman" w:eastAsia="方正仿宋_GBK" w:cs="Times New Roman"/>
                <w:color w:val="auto"/>
                <w:kern w:val="2"/>
                <w:sz w:val="18"/>
                <w:szCs w:val="18"/>
                <w:lang w:val="en-US" w:eastAsia="zh-CN" w:bidi="ar-SA"/>
              </w:rPr>
            </w:pPr>
            <w:r>
              <w:rPr>
                <w:rFonts w:hint="default" w:ascii="Times New Roman" w:hAnsi="Times New Roman" w:eastAsia="方正仿宋_GBK" w:cs="Times New Roman"/>
                <w:color w:val="auto"/>
                <w:kern w:val="2"/>
                <w:sz w:val="18"/>
                <w:szCs w:val="18"/>
                <w:lang w:val="en-US" w:eastAsia="zh-CN" w:bidi="ar-SA"/>
              </w:rPr>
              <w:t>主体设计：乔灌草结合2.41hm</w:t>
            </w:r>
            <w:r>
              <w:rPr>
                <w:rFonts w:hint="default" w:ascii="Times New Roman" w:hAnsi="Times New Roman" w:eastAsia="方正仿宋_GBK" w:cs="Times New Roman"/>
                <w:color w:val="auto"/>
                <w:kern w:val="2"/>
                <w:sz w:val="18"/>
                <w:szCs w:val="18"/>
                <w:vertAlign w:val="superscript"/>
                <w:lang w:val="en-US" w:eastAsia="zh-CN" w:bidi="ar-SA"/>
              </w:rPr>
              <w:t>2</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Style w:val="35"/>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方案新增：防雨布覆盖15000m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，临时排水沟1751m，临时沉沙池8座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p>
        </w:tc>
        <w:tc>
          <w:tcPr>
            <w:tcW w:w="1357"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施工生产生活防治区</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主体设计：土地整治0.50hm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，表土回填0.15万m</w:t>
            </w:r>
            <w:r>
              <w:rPr>
                <w:rFonts w:hint="default" w:ascii="Times New Roman" w:hAnsi="Times New Roman" w:eastAsia="方正仿宋_GBK" w:cs="Times New Roman"/>
                <w:color w:val="auto"/>
                <w:sz w:val="18"/>
                <w:szCs w:val="18"/>
                <w:vertAlign w:val="superscript"/>
              </w:rPr>
              <w:t>3</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方案新增：撒播草籽0.50hm</w:t>
            </w:r>
            <w:r>
              <w:rPr>
                <w:rFonts w:hint="default" w:ascii="Times New Roman" w:hAnsi="Times New Roman" w:eastAsia="方正仿宋_GBK" w:cs="Times New Roman"/>
                <w:color w:val="auto"/>
                <w:sz w:val="18"/>
                <w:szCs w:val="18"/>
                <w:vertAlign w:val="superscript"/>
              </w:rPr>
              <w:t>2</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方案新增：临时排水沟150m，临时沉沙池1座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25" w:type="dxa"/>
            <w:vMerge w:val="continue"/>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p>
        </w:tc>
        <w:tc>
          <w:tcPr>
            <w:tcW w:w="1357"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表土堆放场防治区</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方案新增：土地整治3.60hm</w:t>
            </w:r>
            <w:r>
              <w:rPr>
                <w:rFonts w:hint="default" w:ascii="Times New Roman" w:hAnsi="Times New Roman" w:eastAsia="方正仿宋_GBK" w:cs="Times New Roman"/>
                <w:color w:val="auto"/>
                <w:sz w:val="18"/>
                <w:szCs w:val="18"/>
                <w:vertAlign w:val="superscript"/>
              </w:rPr>
              <w:t>2</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方案新增：乔灌草结合3.60hm</w:t>
            </w:r>
            <w:r>
              <w:rPr>
                <w:rFonts w:hint="default" w:ascii="Times New Roman" w:hAnsi="Times New Roman" w:eastAsia="方正仿宋_GBK" w:cs="Times New Roman"/>
                <w:color w:val="auto"/>
                <w:sz w:val="18"/>
                <w:szCs w:val="18"/>
                <w:vertAlign w:val="superscript"/>
              </w:rPr>
              <w:t>2</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方案新增：防雨布覆盖40000m</w:t>
            </w:r>
            <w:r>
              <w:rPr>
                <w:rFonts w:hint="default" w:ascii="Times New Roman" w:hAnsi="Times New Roman" w:eastAsia="方正仿宋_GBK" w:cs="Times New Roman"/>
                <w:color w:val="auto"/>
                <w:sz w:val="18"/>
                <w:szCs w:val="18"/>
                <w:vertAlign w:val="superscript"/>
              </w:rPr>
              <w:t>2</w:t>
            </w:r>
            <w:r>
              <w:rPr>
                <w:rFonts w:hint="default" w:ascii="Times New Roman" w:hAnsi="Times New Roman" w:eastAsia="方正仿宋_GBK" w:cs="Times New Roman"/>
                <w:color w:val="auto"/>
                <w:sz w:val="18"/>
                <w:szCs w:val="18"/>
              </w:rPr>
              <w:t>,临时拦挡2810m,临时排水沟2810m,临时沉沙池15座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投资（万元）</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1216.92（新增：153.59）</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221.33（新增：14.96）</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400.87（新增：400.87）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水土保持总投资</w:t>
            </w:r>
          </w:p>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（万元）</w:t>
            </w:r>
          </w:p>
        </w:tc>
        <w:tc>
          <w:tcPr>
            <w:tcW w:w="4978" w:type="dxa"/>
            <w:gridSpan w:val="7"/>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2069.23（新增：799.53）</w:t>
            </w:r>
          </w:p>
        </w:tc>
        <w:tc>
          <w:tcPr>
            <w:tcW w:w="1226"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独立费</w:t>
            </w:r>
          </w:p>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（万元）</w:t>
            </w:r>
          </w:p>
        </w:tc>
        <w:tc>
          <w:tcPr>
            <w:tcW w:w="1196"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91.68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监理费（万元）</w:t>
            </w:r>
          </w:p>
        </w:tc>
        <w:tc>
          <w:tcPr>
            <w:tcW w:w="997" w:type="dxa"/>
            <w:gridSpan w:val="2"/>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14.70</w:t>
            </w:r>
          </w:p>
        </w:tc>
        <w:tc>
          <w:tcPr>
            <w:tcW w:w="1870"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监测费（万元）</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30.34</w:t>
            </w:r>
          </w:p>
        </w:tc>
        <w:tc>
          <w:tcPr>
            <w:tcW w:w="1596"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补偿费（万元）</w:t>
            </w:r>
          </w:p>
        </w:tc>
        <w:tc>
          <w:tcPr>
            <w:tcW w:w="826"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66.60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方案编制单位</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深圳市源远水利设计有限公司</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建设单位</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华能重庆奉节风电有限责任公司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法定代表人</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李明水</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法定代表人</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邓盛奇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地址</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深圳市龙岗区坂田街道布龙路与坂雪岗大道交汇处德润荣君府 4 栋 A 单元 24 层 24K</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地址</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重庆市渝北区黄山大道中段55号双鱼座2号楼24层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邮编</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518109</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邮编</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401121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联系人及电话</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李明水 15</w:t>
            </w:r>
            <w:r>
              <w:rPr>
                <w:rFonts w:hint="eastAsia" w:eastAsia="方正仿宋_GBK" w:cs="Times New Roman"/>
                <w:color w:val="auto"/>
                <w:sz w:val="18"/>
                <w:szCs w:val="18"/>
                <w:lang w:val="en-US" w:eastAsia="zh-CN"/>
              </w:rPr>
              <w:t>*******</w:t>
            </w:r>
            <w:r>
              <w:rPr>
                <w:rFonts w:hint="default" w:ascii="Times New Roman" w:hAnsi="Times New Roman" w:eastAsia="方正仿宋_GBK" w:cs="Times New Roman"/>
                <w:color w:val="auto"/>
                <w:sz w:val="18"/>
                <w:szCs w:val="18"/>
              </w:rPr>
              <w:t>19</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联系人及电话</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毛凯旋 19</w:t>
            </w:r>
            <w:r>
              <w:rPr>
                <w:rFonts w:hint="eastAsia" w:eastAsia="方正仿宋_GBK" w:cs="Times New Roman"/>
                <w:color w:val="auto"/>
                <w:sz w:val="18"/>
                <w:szCs w:val="18"/>
                <w:lang w:val="en-US" w:eastAsia="zh-CN"/>
              </w:rPr>
              <w:t>********</w:t>
            </w:r>
            <w:r>
              <w:rPr>
                <w:rFonts w:hint="default" w:ascii="Times New Roman" w:hAnsi="Times New Roman" w:eastAsia="方正仿宋_GBK" w:cs="Times New Roman"/>
                <w:color w:val="auto"/>
                <w:sz w:val="18"/>
                <w:szCs w:val="18"/>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传真</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传真</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982"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电子信箱</w:t>
            </w:r>
          </w:p>
        </w:tc>
        <w:tc>
          <w:tcPr>
            <w:tcW w:w="2867" w:type="dxa"/>
            <w:gridSpan w:val="3"/>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2</w:t>
            </w:r>
            <w:r>
              <w:rPr>
                <w:rFonts w:hint="eastAsia" w:eastAsia="方正仿宋_GBK" w:cs="Times New Roman"/>
                <w:color w:val="auto"/>
                <w:sz w:val="18"/>
                <w:szCs w:val="18"/>
                <w:lang w:val="en-US" w:eastAsia="zh-CN"/>
              </w:rPr>
              <w:t>********</w:t>
            </w:r>
            <w:r>
              <w:rPr>
                <w:rFonts w:hint="default" w:ascii="Times New Roman" w:hAnsi="Times New Roman" w:eastAsia="方正仿宋_GBK" w:cs="Times New Roman"/>
                <w:color w:val="auto"/>
                <w:sz w:val="18"/>
                <w:szCs w:val="18"/>
              </w:rPr>
              <w:t>9@qq.com</w:t>
            </w:r>
          </w:p>
        </w:tc>
        <w:tc>
          <w:tcPr>
            <w:tcW w:w="2111"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电子信箱</w:t>
            </w:r>
          </w:p>
        </w:tc>
        <w:tc>
          <w:tcPr>
            <w:tcW w:w="2422" w:type="dxa"/>
            <w:gridSpan w:val="4"/>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w:t>
            </w:r>
          </w:p>
        </w:tc>
      </w:tr>
    </w:tbl>
    <w:p>
      <w:pPr>
        <w:keepNext w:val="0"/>
        <w:keepLines w:val="0"/>
        <w:pageBreakBefore w:val="0"/>
        <w:kinsoku/>
        <w:wordWrap/>
        <w:overflowPunct/>
        <w:topLinePunct w:val="0"/>
        <w:autoSpaceDE/>
        <w:autoSpaceDN/>
        <w:bidi w:val="0"/>
        <w:adjustRightInd/>
        <w:spacing w:line="240" w:lineRule="auto"/>
        <w:rPr>
          <w:rFonts w:hint="eastAsia" w:ascii="Times New Roman" w:hAnsi="Times New Roman" w:eastAsia="方正黑体_GBK" w:cs="方正黑体_GBK"/>
          <w:b w:val="0"/>
          <w:color w:val="FF0000"/>
          <w:sz w:val="32"/>
          <w:szCs w:val="32"/>
        </w:rPr>
      </w:pPr>
    </w:p>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adjustRightInd w:val="0"/>
        <w:snapToGrid w:val="0"/>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adjustRightInd w:val="0"/>
        <w:snapToGrid w:val="0"/>
        <w:spacing w:line="594" w:lineRule="exact"/>
        <w:jc w:val="center"/>
        <w:rPr>
          <w:rFonts w:hint="eastAsia" w:eastAsia="方正小标宋_GBK" w:cs="Times New Roman"/>
          <w:bCs/>
          <w:color w:val="auto"/>
          <w:sz w:val="44"/>
          <w:szCs w:val="44"/>
          <w:lang w:eastAsia="zh-CN"/>
        </w:rPr>
      </w:pPr>
    </w:p>
    <w:p>
      <w:pPr>
        <w:adjustRightInd w:val="0"/>
        <w:snapToGrid w:val="0"/>
        <w:spacing w:line="594" w:lineRule="exact"/>
        <w:jc w:val="center"/>
        <w:rPr>
          <w:rFonts w:hint="eastAsia" w:eastAsia="方正小标宋_GBK" w:cs="Times New Roman"/>
          <w:bCs/>
          <w:color w:val="auto"/>
          <w:sz w:val="44"/>
          <w:szCs w:val="44"/>
          <w:lang w:eastAsia="zh-CN"/>
        </w:rPr>
      </w:pPr>
      <w:r>
        <w:rPr>
          <w:rFonts w:hint="eastAsia" w:eastAsia="方正小标宋_GBK" w:cs="Times New Roman"/>
          <w:bCs/>
          <w:color w:val="auto"/>
          <w:sz w:val="44"/>
          <w:szCs w:val="44"/>
          <w:lang w:eastAsia="zh-CN"/>
        </w:rPr>
        <w:t>华能重庆奉节金凤山风电扩建（望天坪）项目</w:t>
      </w:r>
    </w:p>
    <w:p>
      <w:pPr>
        <w:adjustRightInd w:val="0"/>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水土保持方案报告书专家评审意见</w:t>
      </w:r>
    </w:p>
    <w:p>
      <w:pPr>
        <w:adjustRightInd w:val="0"/>
        <w:snapToGrid w:val="0"/>
        <w:spacing w:line="594" w:lineRule="exact"/>
        <w:jc w:val="center"/>
        <w:rPr>
          <w:rFonts w:ascii="Times New Roman" w:hAnsi="Times New Roman" w:eastAsia="方正小标宋_GBK" w:cs="Times New Roman"/>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auto"/>
          <w:sz w:val="32"/>
          <w:szCs w:val="32"/>
          <w:lang w:eastAsia="zh-CN"/>
        </w:rPr>
        <w:t>2023年7月3日，重庆市水利局组织召开了《华能重庆奉节金凤山风电扩建（望天坪）项目水土保持方案报告书》（以下简称《水保方案》）专家评审会。奉节县水利局、华能重庆奉节风电有限责任公司（以下简称项目法人）、深圳市源远水利设计有限公司（以下简称报告编制单位）的代表及特邀专家参加了会议。会议成立了专家组，专家组成员会前详细审阅了《水保方案》，与会人员会上认真听取了项目法人和报告编制单位的汇报，进行了深入讨论。根据“渝水〔2018〕267号”、“水保监〔2020〕63号”和“渝水规范〔2021〕2号”，专家组对《水保方案》进行了质量评分，质量评定等级合格。报告编制单位会后对《水保方案》进行了修改、补充和完善，项目法人于2023年8月1</w:t>
      </w:r>
      <w:r>
        <w:rPr>
          <w:rFonts w:hint="eastAsia"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lang w:eastAsia="zh-CN"/>
        </w:rPr>
        <w:t>日提交了修改完善后的《水保方案》。经专家组复核，形成专家评审意见如下：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lang w:eastAsia="zh-CN"/>
        </w:rPr>
      </w:pPr>
      <w:r>
        <w:rPr>
          <w:rFonts w:hint="eastAsia" w:ascii="Times New Roman" w:hAnsi="Times New Roman" w:eastAsia="方正黑体_GBK" w:cs="方正黑体_GBK"/>
          <w:bCs/>
          <w:color w:val="auto"/>
          <w:sz w:val="32"/>
          <w:szCs w:val="32"/>
        </w:rPr>
        <w:t>一、</w:t>
      </w:r>
      <w:r>
        <w:rPr>
          <w:rFonts w:hint="eastAsia" w:ascii="Times New Roman" w:hAnsi="Times New Roman" w:eastAsia="方正黑体_GBK" w:cs="方正黑体_GBK"/>
          <w:bCs/>
          <w:color w:val="auto"/>
          <w:sz w:val="32"/>
          <w:szCs w:val="32"/>
          <w:lang w:eastAsia="zh-CN"/>
        </w:rPr>
        <w:t>综合说明</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（二）同意方案设计水平年为2024年。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（三）同意水土流失防治责任范围界定，水土流失防治责任范围面积为47.57hm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（四）同意项目水土流失防治标准执行等级为西南紫色土区建设类项目一级标准。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auto"/>
          <w:sz w:val="32"/>
          <w:szCs w:val="32"/>
        </w:rPr>
        <w:t>（五）同意水土流失防治目标。其中：水土流失治理度97%，土壤流失控制比1.0，渣土防护率90%，表土保护率92%，林草植被恢复率97%，林草覆盖率25%。</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二、项目概况</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（一）项目概况阐述基本清楚。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eastAsia="方正仿宋_GBK" w:cs="方正仿宋_GBK"/>
          <w:color w:val="auto"/>
          <w:sz w:val="32"/>
          <w:szCs w:val="32"/>
          <w:lang w:eastAsia="zh-CN"/>
        </w:rPr>
        <w:t>华能重庆奉节金凤山风电扩建（望天坪）项目位于重庆市奉节县五马镇、冯坪乡和新民镇。项目建设内容包括安装12台单机容量为5.0MW风力发电机组，装机总规模60MW；新建1座110kV升压站；新建施工检修道路共计13.201km，其中：主路长4.772km，支路长7.868km，升压站进站道路长0.561km。道路标准参照四级公路，泥结碎石路面，路基宽6.0m。集电线路长35.78km。根据建设需要，项目布设弃渣场2.41hm</w:t>
      </w:r>
      <w:r>
        <w:rPr>
          <w:rFonts w:hint="eastAsia" w:eastAsia="方正仿宋_GBK" w:cs="方正仿宋_GBK"/>
          <w:color w:val="auto"/>
          <w:sz w:val="32"/>
          <w:szCs w:val="32"/>
          <w:vertAlign w:val="superscript"/>
          <w:lang w:eastAsia="zh-CN"/>
        </w:rPr>
        <w:t>2</w:t>
      </w:r>
      <w:r>
        <w:rPr>
          <w:rFonts w:hint="eastAsia" w:eastAsia="方正仿宋_GBK" w:cs="方正仿宋_GBK"/>
          <w:color w:val="auto"/>
          <w:sz w:val="32"/>
          <w:szCs w:val="32"/>
          <w:lang w:eastAsia="zh-CN"/>
        </w:rPr>
        <w:t>/4处，施工生产生活区0.50hm</w:t>
      </w:r>
      <w:r>
        <w:rPr>
          <w:rFonts w:hint="eastAsia" w:eastAsia="方正仿宋_GBK" w:cs="方正仿宋_GBK"/>
          <w:color w:val="auto"/>
          <w:sz w:val="32"/>
          <w:szCs w:val="32"/>
          <w:vertAlign w:val="superscript"/>
          <w:lang w:eastAsia="zh-CN"/>
        </w:rPr>
        <w:t>2</w:t>
      </w:r>
      <w:r>
        <w:rPr>
          <w:rFonts w:hint="eastAsia" w:eastAsia="方正仿宋_GBK" w:cs="方正仿宋_GBK"/>
          <w:color w:val="auto"/>
          <w:sz w:val="32"/>
          <w:szCs w:val="32"/>
          <w:lang w:eastAsia="zh-CN"/>
        </w:rPr>
        <w:t>/1处，表土堆放场3.60hm</w:t>
      </w:r>
      <w:r>
        <w:rPr>
          <w:rFonts w:hint="eastAsia" w:eastAsia="方正仿宋_GBK" w:cs="方正仿宋_GBK"/>
          <w:color w:val="auto"/>
          <w:sz w:val="32"/>
          <w:szCs w:val="32"/>
          <w:vertAlign w:val="superscript"/>
          <w:lang w:eastAsia="zh-CN"/>
        </w:rPr>
        <w:t>2</w:t>
      </w:r>
      <w:r>
        <w:rPr>
          <w:rFonts w:hint="eastAsia" w:eastAsia="方正仿宋_GBK" w:cs="方正仿宋_GBK"/>
          <w:color w:val="auto"/>
          <w:sz w:val="32"/>
          <w:szCs w:val="32"/>
          <w:lang w:eastAsia="zh-CN"/>
        </w:rPr>
        <w:t>/19处。项目占地47.57hm</w:t>
      </w:r>
      <w:r>
        <w:rPr>
          <w:rFonts w:hint="eastAsia" w:eastAsia="方正仿宋_GBK" w:cs="方正仿宋_GBK"/>
          <w:color w:val="auto"/>
          <w:sz w:val="32"/>
          <w:szCs w:val="32"/>
          <w:vertAlign w:val="superscript"/>
          <w:lang w:eastAsia="zh-CN"/>
        </w:rPr>
        <w:t>2</w:t>
      </w:r>
      <w:r>
        <w:rPr>
          <w:rFonts w:hint="eastAsia" w:eastAsia="方正仿宋_GBK" w:cs="方正仿宋_GBK"/>
          <w:color w:val="auto"/>
          <w:sz w:val="32"/>
          <w:szCs w:val="32"/>
          <w:lang w:eastAsia="zh-CN"/>
        </w:rPr>
        <w:t>，其中永久占地1.33hm</w:t>
      </w:r>
      <w:r>
        <w:rPr>
          <w:rFonts w:hint="eastAsia" w:eastAsia="方正仿宋_GBK" w:cs="方正仿宋_GBK"/>
          <w:color w:val="auto"/>
          <w:sz w:val="32"/>
          <w:szCs w:val="32"/>
          <w:vertAlign w:val="superscript"/>
          <w:lang w:eastAsia="zh-CN"/>
        </w:rPr>
        <w:t>2</w:t>
      </w:r>
      <w:r>
        <w:rPr>
          <w:rFonts w:hint="eastAsia" w:eastAsia="方正仿宋_GBK" w:cs="方正仿宋_GBK"/>
          <w:color w:val="auto"/>
          <w:sz w:val="32"/>
          <w:szCs w:val="32"/>
          <w:lang w:eastAsia="zh-CN"/>
        </w:rPr>
        <w:t>，临时占地46.24hm</w:t>
      </w:r>
      <w:r>
        <w:rPr>
          <w:rFonts w:hint="eastAsia" w:eastAsia="方正仿宋_GBK" w:cs="方正仿宋_GBK"/>
          <w:color w:val="auto"/>
          <w:sz w:val="32"/>
          <w:szCs w:val="32"/>
          <w:vertAlign w:val="superscript"/>
          <w:lang w:eastAsia="zh-CN"/>
        </w:rPr>
        <w:t>2</w:t>
      </w:r>
      <w:r>
        <w:rPr>
          <w:rFonts w:hint="eastAsia" w:eastAsia="方正仿宋_GBK" w:cs="方正仿宋_GBK"/>
          <w:color w:val="auto"/>
          <w:sz w:val="32"/>
          <w:szCs w:val="32"/>
          <w:lang w:eastAsia="zh-CN"/>
        </w:rPr>
        <w:t>。项目挖方56.85万m</w:t>
      </w:r>
      <w:r>
        <w:rPr>
          <w:rFonts w:hint="eastAsia" w:eastAsia="方正仿宋_GBK" w:cs="方正仿宋_GBK"/>
          <w:color w:val="auto"/>
          <w:sz w:val="32"/>
          <w:szCs w:val="32"/>
          <w:vertAlign w:val="superscript"/>
          <w:lang w:eastAsia="zh-CN"/>
        </w:rPr>
        <w:t>3</w:t>
      </w:r>
      <w:r>
        <w:rPr>
          <w:rFonts w:hint="eastAsia" w:eastAsia="方正仿宋_GBK" w:cs="方正仿宋_GBK"/>
          <w:color w:val="auto"/>
          <w:sz w:val="32"/>
          <w:szCs w:val="32"/>
          <w:lang w:eastAsia="zh-CN"/>
        </w:rPr>
        <w:t>，填方27.32万m</w:t>
      </w:r>
      <w:r>
        <w:rPr>
          <w:rFonts w:hint="eastAsia" w:eastAsia="方正仿宋_GBK" w:cs="方正仿宋_GBK"/>
          <w:color w:val="auto"/>
          <w:sz w:val="32"/>
          <w:szCs w:val="32"/>
          <w:vertAlign w:val="superscript"/>
          <w:lang w:eastAsia="zh-CN"/>
        </w:rPr>
        <w:t>3</w:t>
      </w:r>
      <w:r>
        <w:rPr>
          <w:rFonts w:hint="eastAsia" w:eastAsia="方正仿宋_GBK" w:cs="方正仿宋_GBK"/>
          <w:color w:val="auto"/>
          <w:sz w:val="32"/>
          <w:szCs w:val="32"/>
          <w:lang w:eastAsia="zh-CN"/>
        </w:rPr>
        <w:t>，骨料利用5.80万m</w:t>
      </w:r>
      <w:r>
        <w:rPr>
          <w:rFonts w:hint="eastAsia" w:eastAsia="方正仿宋_GBK" w:cs="方正仿宋_GBK"/>
          <w:color w:val="auto"/>
          <w:sz w:val="32"/>
          <w:szCs w:val="32"/>
          <w:vertAlign w:val="superscript"/>
          <w:lang w:val="en-US" w:eastAsia="zh-CN"/>
        </w:rPr>
        <w:t>3</w:t>
      </w:r>
      <w:r>
        <w:rPr>
          <w:rFonts w:hint="eastAsia" w:eastAsia="方正仿宋_GBK" w:cs="方正仿宋_GBK"/>
          <w:color w:val="auto"/>
          <w:sz w:val="32"/>
          <w:szCs w:val="32"/>
          <w:lang w:eastAsia="zh-CN"/>
        </w:rPr>
        <w:t>，余方23.73万m</w:t>
      </w:r>
      <w:r>
        <w:rPr>
          <w:rFonts w:hint="eastAsia" w:eastAsia="方正仿宋_GBK" w:cs="方正仿宋_GBK"/>
          <w:color w:val="auto"/>
          <w:sz w:val="32"/>
          <w:szCs w:val="32"/>
          <w:vertAlign w:val="superscript"/>
          <w:lang w:val="en-US" w:eastAsia="zh-CN"/>
        </w:rPr>
        <w:t>3</w:t>
      </w:r>
      <w:r>
        <w:rPr>
          <w:rFonts w:hint="eastAsia" w:eastAsia="方正仿宋_GBK" w:cs="方正仿宋_GBK"/>
          <w:color w:val="auto"/>
          <w:sz w:val="32"/>
          <w:szCs w:val="32"/>
          <w:lang w:eastAsia="zh-CN"/>
        </w:rPr>
        <w:t>，无借方。项目余方全部运至规划弃渣场集中堆放。建设单位为华能重庆奉节风电有限责任公司。项目计划于2023年8月开工，2024年4月完工，工期9个月。项目总投资42184万元，其中土建投资7374万元</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color w:val="auto"/>
          <w:sz w:val="32"/>
          <w:szCs w:val="32"/>
        </w:rPr>
        <w:t>（二）项目区自然概况阐述较为清楚</w:t>
      </w:r>
      <w:r>
        <w:rPr>
          <w:rFonts w:hint="eastAsia" w:ascii="Times New Roman" w:hAnsi="Times New Roman" w:eastAsia="方正仿宋_GBK" w:cs="方正仿宋_GBK"/>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三、项目水土保持评价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（一）基本同意主体工程选址（线）的水土保持评价。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（二）基本同意建设方案与布局水土保持评价。</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auto"/>
          <w:sz w:val="32"/>
          <w:szCs w:val="32"/>
        </w:rPr>
        <w:t>（三）同意主体工程设计中水土保持措施界定。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四、水土流失分析与预测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（一）基本同意对项目水土流失现状及影响分析。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（二）基本同意工程扰动地表面积为47.57hm</w:t>
      </w:r>
      <w:r>
        <w:rPr>
          <w:rFonts w:hint="eastAsia" w:ascii="Times New Roman" w:hAnsi="Times New Roman" w:eastAsia="方正仿宋_GBK" w:cs="方正仿宋_GBK"/>
          <w:color w:val="auto"/>
          <w:sz w:val="32"/>
          <w:szCs w:val="32"/>
          <w:vertAlign w:val="superscript"/>
        </w:rPr>
        <w:t>2</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（三）基本同意工程建设可能造成的水土流失总量为2630t。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color w:val="auto"/>
          <w:sz w:val="32"/>
          <w:szCs w:val="32"/>
        </w:rPr>
        <w:t>（四）基本同意水土流失的危害性分析。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五、水土保持措施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（一）基本同意项目划分为风机平台、升压站、施工检修道路、集电线路、弃渣场、施工生产生活区、表土堆放场等7个水土流失防治区。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（二）基本同意由主体工程设计的水土保持措施和方案新增的水土保持措施所组成的水土流失防治措施体系。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（三）基本同意各防治区防治措施布局及水土保持措施典型设计。</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1.风机平台防治区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施工前，对该区施工扰动范围内的表土资源进行剥离，剥离表土集中堆放于规划的表土堆放场。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中，该区裸露边坡、临时堆土等区域布设防雨布临时覆盖；平台平场后在其四周布设排水沟，排水沟末端布设沉沙池，并顺接下游水系；平台边坡成形后，对挖方边坡采取挂网植爬藤防护，填方边坡采取乔灌草护坡。</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施工末期，该区可绿化区域采取土地整治及植被恢复措施。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2.升压站防治区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施工前，对该区施工扰动范围内的表土资源进行剥离，剥离表土集中堆放于规划的表土堆放场。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中，升压站挖方边坡坡顶布设截水沟；场地平场后，在其四周布设排水沟，排水沟末端布设沉沙池，并顺接下游水系；该区裸露边坡、临时堆土等区域布设防雨布临时覆盖；场地边坡成形后，对挖方边坡采取格构植草护坡，填方边坡采取乔灌草护坡。</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施工末期，该区可绿化区域采取土地整治及景观绿化。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3.施工检修道路防治区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施工前，对该区施工扰动范围内的表土资源进行剥离，剥离表土集中堆放于规划的表土堆放场。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中，路基挖方边坡坡顶布设截水沟；填方边坡坡脚布设编织土袋临时挡拦；该区裸露边坡、临时堆土等区域布设防雨布临时覆盖。路基边坡成形后，对挖方边坡采取格构植草护坡，填方边坡采取挡土墙+乔灌草护坡。路基成形后，实施路基两侧永久排水沟。</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施工末期，对道路边角用地采取土地整治及植被恢复措施。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4.集电线路防治区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施工中，管沟开挖临时堆土采取编织土袋临时拦挡；该区裸露地表、临时堆土等区域布设防雨布临时覆盖。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施工末期，该区可绿化区域采取土地整治及植被恢复措施。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5.弃渣场防治区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堆渣前，对该区施工扰动范围内的表土资源进行剥离，剥离表土集中堆放于规划的表土堆放场。弃渣场堆渣坡脚布设浆砌石挡渣墙，沟底布设排水盲沟。</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堆渣中，落实</w:t>
      </w:r>
      <w:r>
        <w:rPr>
          <w:rFonts w:hint="eastAsia"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先下后上、分级堆放、分层碾压、控制坡比</w:t>
      </w:r>
      <w:r>
        <w:rPr>
          <w:rFonts w:hint="eastAsia" w:eastAsia="方正仿宋_GBK" w:cs="方正仿宋_GBK"/>
          <w:bCs/>
          <w:color w:val="auto"/>
          <w:sz w:val="32"/>
          <w:szCs w:val="32"/>
          <w:lang w:eastAsia="zh-CN"/>
        </w:rPr>
        <w:t>”</w:t>
      </w:r>
      <w:r>
        <w:rPr>
          <w:rFonts w:hint="eastAsia" w:ascii="Times New Roman" w:hAnsi="Times New Roman" w:eastAsia="方正仿宋_GBK" w:cs="方正仿宋_GBK"/>
          <w:bCs/>
          <w:color w:val="auto"/>
          <w:sz w:val="32"/>
          <w:szCs w:val="32"/>
        </w:rPr>
        <w:t>堆置方案，对堆渣裸露边坡采用防雨布临时覆盖，汛期做好弃渣场临时排水措施。弃渣场四周布设永久截排水沟，排水沟末端布设沉沙池，并顺接下游水系。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堆渣结束后，立即实施该区采取土地整治及植被恢复措施。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6.施工生产生活防治区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施工中，施工场地四周布设临时排水沟，临时排水沟末端布设临时沉沙池，并顺接下游水系。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施工结束后，该区采取土地整治及植被恢复措施。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7.表土堆放场防治区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表土堆放前，表土堆放场坡脚布设编织土袋临时拦挡，四周布设临时排水沟，临时排水沟末端布设临时沉沙池，并顺接下游水系。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表土堆放完毕后，在其表面布设防雨布临时覆盖。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仿宋_GBK" w:cs="方正仿宋_GBK"/>
          <w:bCs/>
          <w:color w:val="auto"/>
          <w:sz w:val="32"/>
          <w:szCs w:val="32"/>
        </w:rPr>
        <w:t>表土使用完毕后，该区采取植被恢复措施。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bCs/>
          <w:color w:val="auto"/>
          <w:sz w:val="32"/>
          <w:szCs w:val="32"/>
        </w:rPr>
        <w:t>（四）水土保持施工组织设计基本可行</w:t>
      </w:r>
      <w:r>
        <w:rPr>
          <w:rFonts w:hint="eastAsia" w:ascii="Times New Roman" w:hAnsi="Times New Roman"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六、水土保持监测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基本同意水土保持监测方案。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七、水土保持投资估算及效益分析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（一）投资估算编制依据正确，费用及定额选择基本合理，编制深度基本满足规范要求。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经审核，水土保持方案工程静态总投资2069.23万元，其中：主体已列1269.70万元，方案新增799.53万元（其中：工程措施费153.59万元，植物措施费14.96万元，监测措施费30.34万元，临时措施费400.87万元，独立费用91.68万元，基本预备费41.49万元，水土保持补偿费66.60万元），详见附件。</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auto"/>
          <w:sz w:val="32"/>
          <w:szCs w:val="32"/>
        </w:rPr>
        <w:t>（三）效益分析方法基本正确，分析结果基本合理。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八、水土保持管理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基本同意组织管理、后续设计、水土保持监测、水土保持监理、水土保持施工、水土保持设施验收等保障措施和要求。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bCs/>
          <w:color w:val="auto"/>
          <w:sz w:val="32"/>
          <w:szCs w:val="32"/>
        </w:rPr>
      </w:pPr>
      <w:r>
        <w:rPr>
          <w:rFonts w:hint="eastAsia" w:ascii="Times New Roman" w:hAnsi="Times New Roman" w:eastAsia="方正黑体_GBK" w:cs="方正黑体_GBK"/>
          <w:bCs/>
          <w:color w:val="auto"/>
          <w:sz w:val="32"/>
          <w:szCs w:val="32"/>
        </w:rPr>
        <w:t>九、其他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项目法人应加强施工组织，优化施工工艺，减少土石方开挖填筑、地表扰动及植被破坏，严禁乱挖乱堆乱放，严禁向河道弃渣，弃渣必须运至指定地点集中堆放，严格控制工程建设中水土流失。</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附件：</w:t>
      </w:r>
      <w:r>
        <w:rPr>
          <w:rFonts w:hint="eastAsia" w:eastAsia="方正仿宋_GBK" w:cs="方正仿宋_GBK"/>
          <w:color w:val="auto"/>
          <w:sz w:val="32"/>
          <w:szCs w:val="32"/>
          <w:lang w:eastAsia="zh-CN"/>
        </w:rPr>
        <w:t>华能重庆奉节金凤山风电扩建（望天坪）项目水土保</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1600" w:firstLineChars="500"/>
        <w:jc w:val="both"/>
        <w:textAlignment w:val="auto"/>
        <w:rPr>
          <w:rFonts w:hint="eastAsia" w:ascii="Times New Roman" w:hAnsi="Times New Roman" w:eastAsia="方正仿宋_GBK" w:cs="Times New Roman"/>
          <w:color w:val="auto"/>
          <w:sz w:val="32"/>
          <w:szCs w:val="32"/>
          <w:lang w:val="en-US" w:eastAsia="zh-CN"/>
        </w:rPr>
      </w:pPr>
      <w:r>
        <w:rPr>
          <w:rFonts w:hint="eastAsia" w:eastAsia="方正仿宋_GBK" w:cs="方正仿宋_GBK"/>
          <w:color w:val="auto"/>
          <w:sz w:val="32"/>
          <w:szCs w:val="32"/>
          <w:lang w:eastAsia="zh-CN"/>
        </w:rPr>
        <w:t>持方案投资估算审核表</w:t>
      </w:r>
    </w:p>
    <w:p>
      <w:pPr>
        <w:adjustRightInd w:val="0"/>
        <w:snapToGrid w:val="0"/>
        <w:spacing w:line="594" w:lineRule="exact"/>
        <w:ind w:firstLine="640" w:firstLineChars="200"/>
        <w:jc w:val="left"/>
        <w:rPr>
          <w:rFonts w:hint="eastAsia" w:ascii="Times New Roman" w:hAnsi="Times New Roman" w:eastAsia="方正仿宋_GBK" w:cs="Times New Roman"/>
          <w:color w:val="auto"/>
          <w:sz w:val="32"/>
          <w:szCs w:val="32"/>
          <w:lang w:val="en-US" w:eastAsia="zh-CN"/>
        </w:rPr>
      </w:pPr>
    </w:p>
    <w:p>
      <w:pPr>
        <w:adjustRightInd w:val="0"/>
        <w:snapToGrid w:val="0"/>
        <w:spacing w:line="594" w:lineRule="exact"/>
        <w:ind w:firstLine="640" w:firstLineChars="200"/>
        <w:jc w:val="left"/>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方正仿宋_GBK"/>
          <w:sz w:val="32"/>
          <w:szCs w:val="32"/>
          <w:lang w:bidi="ar"/>
        </w:rPr>
        <w:drawing>
          <wp:anchor distT="0" distB="0" distL="114300" distR="114300" simplePos="0" relativeHeight="251659264" behindDoc="1" locked="0" layoutInCell="1" allowOverlap="1">
            <wp:simplePos x="0" y="0"/>
            <wp:positionH relativeFrom="column">
              <wp:posOffset>4212590</wp:posOffset>
            </wp:positionH>
            <wp:positionV relativeFrom="paragraph">
              <wp:posOffset>22225</wp:posOffset>
            </wp:positionV>
            <wp:extent cx="831850" cy="403225"/>
            <wp:effectExtent l="0" t="0" r="6350" b="15875"/>
            <wp:wrapThrough wrapText="bothSides">
              <wp:wrapPolygon>
                <wp:start x="0" y="0"/>
                <wp:lineTo x="0" y="20409"/>
                <wp:lineTo x="21270" y="20409"/>
                <wp:lineTo x="21270" y="0"/>
                <wp:lineTo x="0" y="0"/>
              </wp:wrapPolygon>
            </wp:wrapThrough>
            <wp:docPr id="1" name="图片 1" descr="冷光义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冷光义电子签名"/>
                    <pic:cNvPicPr>
                      <a:picLocks noChangeAspect="1"/>
                    </pic:cNvPicPr>
                  </pic:nvPicPr>
                  <pic:blipFill>
                    <a:blip r:embed="rId6"/>
                    <a:stretch>
                      <a:fillRect/>
                    </a:stretch>
                  </pic:blipFill>
                  <pic:spPr>
                    <a:xfrm>
                      <a:off x="0" y="0"/>
                      <a:ext cx="831850" cy="403225"/>
                    </a:xfrm>
                    <a:prstGeom prst="rect">
                      <a:avLst/>
                    </a:prstGeom>
                    <a:noFill/>
                    <a:ln>
                      <a:noFill/>
                    </a:ln>
                  </pic:spPr>
                </pic:pic>
              </a:graphicData>
            </a:graphic>
          </wp:anchor>
        </w:drawing>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专家组组长：</w:t>
      </w:r>
    </w:p>
    <w:p>
      <w:pPr>
        <w:adjustRightInd w:val="0"/>
        <w:snapToGrid w:val="0"/>
        <w:spacing w:line="594" w:lineRule="exact"/>
        <w:ind w:firstLine="5120" w:firstLineChars="1600"/>
        <w:jc w:val="both"/>
        <w:rPr>
          <w:rFonts w:ascii="Times New Roman" w:hAnsi="Times New Roman" w:eastAsia="方正仿宋_GBK" w:cs="Times New Roman"/>
          <w:color w:val="auto"/>
          <w:sz w:val="32"/>
          <w:szCs w:val="32"/>
        </w:rPr>
        <w:sectPr>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linePitch="381" w:charSpace="0"/>
        </w:sectPr>
      </w:pPr>
      <w:r>
        <w:rPr>
          <w:rFonts w:ascii="Times New Roman" w:hAnsi="Times New Roman" w:eastAsia="方正仿宋_GBK" w:cs="Times New Roman"/>
          <w:color w:val="auto"/>
          <w:sz w:val="32"/>
          <w:szCs w:val="32"/>
        </w:rPr>
        <w:t>2023年</w:t>
      </w:r>
      <w:r>
        <w:rPr>
          <w:rFonts w:hint="eastAsia"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15</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hint="eastAsia" w:ascii="Times New Roman" w:hAnsi="Times New Roman" w:eastAsia="方正黑体_GBK" w:cs="方正黑体_GBK"/>
          <w:b w:val="0"/>
          <w:bCs w:val="0"/>
          <w:color w:val="auto"/>
          <w:w w:val="100"/>
          <w:sz w:val="32"/>
          <w:szCs w:val="32"/>
          <w:lang w:val="en-US" w:eastAsia="zh-CN"/>
        </w:rPr>
        <w:t>附件</w:t>
      </w:r>
    </w:p>
    <w:p>
      <w:pPr>
        <w:spacing w:line="594" w:lineRule="exact"/>
        <w:jc w:val="center"/>
        <w:rPr>
          <w:rFonts w:hint="eastAsia" w:eastAsia="方正小标宋_GBK" w:cs="方正小标宋_GBK"/>
          <w:b w:val="0"/>
          <w:bCs w:val="0"/>
          <w:color w:val="auto"/>
          <w:spacing w:val="0"/>
          <w:w w:val="100"/>
          <w:sz w:val="44"/>
          <w:szCs w:val="44"/>
          <w:lang w:eastAsia="zh-CN"/>
        </w:rPr>
      </w:pPr>
      <w:r>
        <w:rPr>
          <w:rFonts w:hint="eastAsia" w:eastAsia="方正小标宋_GBK" w:cs="方正小标宋_GBK"/>
          <w:b w:val="0"/>
          <w:bCs w:val="0"/>
          <w:color w:val="auto"/>
          <w:spacing w:val="0"/>
          <w:w w:val="100"/>
          <w:sz w:val="44"/>
          <w:szCs w:val="44"/>
          <w:lang w:eastAsia="zh-CN"/>
        </w:rPr>
        <w:t>华能重庆奉节金凤山风电扩建（望天坪）项目</w:t>
      </w:r>
    </w:p>
    <w:p>
      <w:pPr>
        <w:spacing w:line="594" w:lineRule="exact"/>
        <w:jc w:val="center"/>
        <w:rPr>
          <w:rFonts w:hint="eastAsia" w:ascii="Times New Roman" w:hAnsi="Times New Roman" w:eastAsia="方正小标宋_GBK" w:cs="方正小标宋_GBK"/>
          <w:b w:val="0"/>
          <w:bCs w:val="0"/>
          <w:color w:val="auto"/>
          <w:spacing w:val="0"/>
          <w:w w:val="100"/>
          <w:sz w:val="44"/>
          <w:szCs w:val="44"/>
          <w:lang w:eastAsia="zh-CN"/>
        </w:rPr>
      </w:pPr>
      <w:r>
        <w:rPr>
          <w:rFonts w:hint="eastAsia" w:ascii="Times New Roman" w:hAnsi="Times New Roman" w:eastAsia="方正小标宋_GBK" w:cs="方正小标宋_GBK"/>
          <w:b w:val="0"/>
          <w:bCs w:val="0"/>
          <w:color w:val="auto"/>
          <w:spacing w:val="0"/>
          <w:w w:val="100"/>
          <w:sz w:val="44"/>
          <w:szCs w:val="44"/>
          <w:lang w:eastAsia="zh-CN"/>
        </w:rPr>
        <w:t>水土保持方案投资估算审核表</w:t>
      </w:r>
    </w:p>
    <w:p>
      <w:pPr>
        <w:keepNext w:val="0"/>
        <w:keepLines w:val="0"/>
        <w:widowControl/>
        <w:suppressLineNumbers w:val="0"/>
        <w:jc w:val="righ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单位：万元</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0"/>
        <w:gridCol w:w="2251"/>
        <w:gridCol w:w="894"/>
        <w:gridCol w:w="934"/>
        <w:gridCol w:w="934"/>
        <w:gridCol w:w="934"/>
        <w:gridCol w:w="896"/>
        <w:gridCol w:w="933"/>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blHeader/>
        </w:trPr>
        <w:tc>
          <w:tcPr>
            <w:tcW w:w="537" w:type="dxa"/>
            <w:vMerge w:val="restart"/>
            <w:tcBorders>
              <w:top w:val="single" w:color="000000" w:sz="4" w:space="0"/>
              <w:left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auto"/>
                <w:sz w:val="16"/>
                <w:szCs w:val="16"/>
                <w:u w:val="none"/>
              </w:rPr>
            </w:pPr>
            <w:r>
              <w:rPr>
                <w:rFonts w:hint="eastAsia" w:ascii="Times New Roman" w:hAnsi="Times New Roman" w:eastAsia="宋体" w:cs="宋体"/>
                <w:i w:val="0"/>
                <w:color w:val="auto"/>
                <w:kern w:val="0"/>
                <w:sz w:val="16"/>
                <w:szCs w:val="16"/>
                <w:u w:val="none"/>
                <w:lang w:val="en-US" w:eastAsia="zh-CN" w:bidi="ar"/>
              </w:rPr>
              <w:t>序号</w:t>
            </w:r>
          </w:p>
        </w:tc>
        <w:tc>
          <w:tcPr>
            <w:tcW w:w="3126" w:type="dxa"/>
            <w:vMerge w:val="restart"/>
            <w:tcBorders>
              <w:top w:val="single" w:color="000000" w:sz="4" w:space="0"/>
              <w:left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auto"/>
                <w:sz w:val="16"/>
                <w:szCs w:val="16"/>
                <w:u w:val="none"/>
              </w:rPr>
            </w:pPr>
            <w:r>
              <w:rPr>
                <w:rFonts w:hint="eastAsia" w:ascii="Times New Roman" w:hAnsi="Times New Roman" w:eastAsia="宋体" w:cs="宋体"/>
                <w:i w:val="0"/>
                <w:color w:val="auto"/>
                <w:kern w:val="0"/>
                <w:sz w:val="16"/>
                <w:szCs w:val="16"/>
                <w:u w:val="none"/>
                <w:lang w:val="en-US" w:eastAsia="zh-CN" w:bidi="ar"/>
              </w:rPr>
              <w:t>工程或费用名称</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auto"/>
                <w:sz w:val="16"/>
                <w:szCs w:val="16"/>
                <w:u w:val="none"/>
              </w:rPr>
            </w:pPr>
            <w:r>
              <w:rPr>
                <w:rFonts w:hint="eastAsia" w:ascii="Times New Roman" w:hAnsi="Times New Roman" w:eastAsia="宋体" w:cs="宋体"/>
                <w:i w:val="0"/>
                <w:color w:val="auto"/>
                <w:kern w:val="0"/>
                <w:sz w:val="16"/>
                <w:szCs w:val="16"/>
                <w:u w:val="none"/>
                <w:lang w:val="en-US" w:eastAsia="zh-CN" w:bidi="ar"/>
              </w:rPr>
              <w:t>方案投资</w:t>
            </w:r>
          </w:p>
        </w:tc>
        <w:tc>
          <w:tcPr>
            <w:tcW w:w="3825"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auto"/>
                <w:sz w:val="16"/>
                <w:szCs w:val="16"/>
                <w:u w:val="none"/>
              </w:rPr>
            </w:pPr>
            <w:r>
              <w:rPr>
                <w:rFonts w:hint="eastAsia" w:ascii="Times New Roman" w:hAnsi="Times New Roman" w:eastAsia="宋体" w:cs="宋体"/>
                <w:i w:val="0"/>
                <w:color w:val="auto"/>
                <w:kern w:val="0"/>
                <w:sz w:val="16"/>
                <w:szCs w:val="16"/>
                <w:u w:val="none"/>
                <w:lang w:val="en-US" w:eastAsia="zh-CN" w:bidi="ar"/>
              </w:rPr>
              <w:t>审核投资</w:t>
            </w:r>
          </w:p>
        </w:tc>
        <w:tc>
          <w:tcPr>
            <w:tcW w:w="1187"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auto"/>
                <w:sz w:val="16"/>
                <w:szCs w:val="16"/>
                <w:u w:val="none"/>
              </w:rPr>
            </w:pPr>
            <w:r>
              <w:rPr>
                <w:rFonts w:hint="eastAsia" w:ascii="Times New Roman" w:hAnsi="Times New Roman" w:eastAsia="宋体" w:cs="宋体"/>
                <w:i w:val="0"/>
                <w:color w:val="auto"/>
                <w:kern w:val="0"/>
                <w:sz w:val="16"/>
                <w:szCs w:val="16"/>
                <w:u w:val="none"/>
                <w:lang w:val="en-US" w:eastAsia="zh-CN" w:bidi="ar"/>
              </w:rPr>
              <w:t>核增、减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blHeader/>
        </w:trPr>
        <w:tc>
          <w:tcPr>
            <w:tcW w:w="537" w:type="dxa"/>
            <w:vMerge w:val="continue"/>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6"/>
                <w:szCs w:val="16"/>
                <w:u w:val="none"/>
              </w:rPr>
            </w:pPr>
          </w:p>
        </w:tc>
        <w:tc>
          <w:tcPr>
            <w:tcW w:w="3126" w:type="dxa"/>
            <w:vMerge w:val="continue"/>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6"/>
                <w:szCs w:val="16"/>
                <w:u w:val="none"/>
              </w:rPr>
            </w:pP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6"/>
                <w:szCs w:val="16"/>
                <w:u w:val="none"/>
              </w:rPr>
            </w:pPr>
            <w:r>
              <w:rPr>
                <w:rFonts w:hint="eastAsia" w:ascii="Times New Roman" w:hAnsi="Times New Roman" w:eastAsia="宋体" w:cs="宋体"/>
                <w:i w:val="0"/>
                <w:color w:val="000000"/>
                <w:kern w:val="0"/>
                <w:sz w:val="16"/>
                <w:szCs w:val="16"/>
                <w:u w:val="none"/>
                <w:lang w:val="en-US" w:eastAsia="zh-CN" w:bidi="ar"/>
              </w:rPr>
              <w:t>方案新增</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6"/>
                <w:szCs w:val="16"/>
                <w:u w:val="none"/>
              </w:rPr>
            </w:pPr>
            <w:r>
              <w:rPr>
                <w:rFonts w:hint="eastAsia" w:ascii="Times New Roman" w:hAnsi="Times New Roman" w:eastAsia="宋体" w:cs="宋体"/>
                <w:i w:val="0"/>
                <w:color w:val="000000"/>
                <w:kern w:val="0"/>
                <w:sz w:val="16"/>
                <w:szCs w:val="16"/>
                <w:u w:val="none"/>
                <w:lang w:val="en-US" w:eastAsia="zh-CN" w:bidi="ar"/>
              </w:rPr>
              <w:t>主体已列</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6"/>
                <w:szCs w:val="16"/>
                <w:u w:val="none"/>
              </w:rPr>
            </w:pPr>
            <w:r>
              <w:rPr>
                <w:rFonts w:hint="eastAsia" w:ascii="Times New Roman" w:hAnsi="Times New Roman" w:eastAsia="宋体" w:cs="宋体"/>
                <w:i w:val="0"/>
                <w:color w:val="000000"/>
                <w:kern w:val="0"/>
                <w:sz w:val="16"/>
                <w:szCs w:val="16"/>
                <w:u w:val="none"/>
                <w:lang w:val="en-US" w:eastAsia="zh-CN" w:bidi="ar"/>
              </w:rPr>
              <w:t>合计</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6"/>
                <w:szCs w:val="16"/>
                <w:u w:val="none"/>
              </w:rPr>
            </w:pPr>
            <w:r>
              <w:rPr>
                <w:rFonts w:hint="eastAsia" w:ascii="Times New Roman" w:hAnsi="Times New Roman" w:eastAsia="宋体" w:cs="宋体"/>
                <w:i w:val="0"/>
                <w:color w:val="000000"/>
                <w:kern w:val="0"/>
                <w:sz w:val="16"/>
                <w:szCs w:val="16"/>
                <w:u w:val="none"/>
                <w:lang w:val="en-US" w:eastAsia="zh-CN" w:bidi="ar"/>
              </w:rPr>
              <w:t>方案新增</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6"/>
                <w:szCs w:val="16"/>
                <w:u w:val="none"/>
              </w:rPr>
            </w:pPr>
            <w:r>
              <w:rPr>
                <w:rFonts w:hint="eastAsia" w:ascii="Times New Roman" w:hAnsi="Times New Roman" w:eastAsia="宋体" w:cs="宋体"/>
                <w:i w:val="0"/>
                <w:color w:val="000000"/>
                <w:kern w:val="0"/>
                <w:sz w:val="16"/>
                <w:szCs w:val="16"/>
                <w:u w:val="none"/>
                <w:lang w:val="en-US" w:eastAsia="zh-CN" w:bidi="ar"/>
              </w:rPr>
              <w:t>主体已列</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6"/>
                <w:szCs w:val="16"/>
                <w:u w:val="none"/>
              </w:rPr>
            </w:pPr>
            <w:r>
              <w:rPr>
                <w:rFonts w:hint="eastAsia" w:ascii="Times New Roman" w:hAnsi="Times New Roman" w:eastAsia="宋体" w:cs="宋体"/>
                <w:i w:val="0"/>
                <w:color w:val="000000"/>
                <w:kern w:val="0"/>
                <w:sz w:val="16"/>
                <w:szCs w:val="16"/>
                <w:u w:val="none"/>
                <w:lang w:val="en-US" w:eastAsia="zh-CN" w:bidi="ar"/>
              </w:rPr>
              <w:t>合计</w:t>
            </w:r>
          </w:p>
        </w:tc>
        <w:tc>
          <w:tcPr>
            <w:tcW w:w="1187"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第一部分：工程措施</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153.59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1063.33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1216.92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153.59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1063.33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1216.92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风机平台防治区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103.97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103.97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103.97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103.97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升压站防治区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31.68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31.68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31.68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31.68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施工检修道路防治区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153.59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746.65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900.24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153.59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746.65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900.24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集电线路防治区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10.43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10.43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10.43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10.43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弃渣场防治区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164.59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164.59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164.59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164.59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施工生产生活防治区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6.01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6.01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6.01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6.01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表土堆放场区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第二部分：植物措施</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14.96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206.37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221.33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14.96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206.37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221.33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风机平台防治区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26.34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26.34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26.34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26.34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升压站防治区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6.67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6.67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6.67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6.67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施工检修道路防治区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154.47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154.47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154.47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154.47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集电线路防治区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0.77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0.77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0.77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0.77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弃渣场防治区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18.89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18.89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18.89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18.89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施工生产生活防治区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0.44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0.44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0.44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0.44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表土堆放场区</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13.75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13.75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13.75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13.75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第三部分：监测措施</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30.34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30.34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30.34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30.34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土建设施</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设备及安装工程</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2.92</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2.92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2.92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2.92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观测运行费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27.42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27.42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27.42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27.42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第四部分：施工临时措施</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400.87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400.87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400.87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400.87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仿宋_GB2312" w:cs="仿宋_GB2312"/>
                <w:i w:val="0"/>
                <w:color w:val="000000"/>
                <w:sz w:val="20"/>
                <w:szCs w:val="20"/>
                <w:u w:val="none"/>
              </w:rPr>
            </w:pPr>
            <w:r>
              <w:rPr>
                <w:rFonts w:hint="default" w:ascii="Times New Roman" w:hAnsi="Times New Roman" w:eastAsia="仿宋_GB2312" w:cs="仿宋_GB2312"/>
                <w:i w:val="0"/>
                <w:color w:val="000000"/>
                <w:kern w:val="0"/>
                <w:sz w:val="20"/>
                <w:szCs w:val="20"/>
                <w:u w:val="none"/>
                <w:lang w:val="en-US" w:eastAsia="zh-CN" w:bidi="ar"/>
              </w:rPr>
              <w:t>一</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仿宋_GB2312"/>
                <w:i w:val="0"/>
                <w:color w:val="000000"/>
                <w:sz w:val="20"/>
                <w:szCs w:val="20"/>
                <w:u w:val="none"/>
              </w:rPr>
            </w:pPr>
            <w:r>
              <w:rPr>
                <w:rFonts w:hint="default" w:ascii="Times New Roman" w:hAnsi="Times New Roman" w:eastAsia="仿宋_GB2312" w:cs="仿宋_GB2312"/>
                <w:i w:val="0"/>
                <w:color w:val="000000"/>
                <w:kern w:val="0"/>
                <w:sz w:val="20"/>
                <w:szCs w:val="20"/>
                <w:u w:val="none"/>
                <w:lang w:val="en-US" w:eastAsia="zh-CN" w:bidi="ar"/>
              </w:rPr>
              <w:t>临时防护工程</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397.50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397.50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397.50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397.50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风机平台防治区</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2.03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2.03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2.03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2.03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升压站防治区</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2.68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2.68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2.68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2.68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施工检修道路防治区</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100.03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100.03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100.03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100.03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集电线路防治区</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40.62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40.62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40.62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40.62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弃渣场防治区</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11.88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11.88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11.88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11.88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施工生产生活防治区</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1.99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1.99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1.99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1.99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表土堆放场区</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238.27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238.27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238.27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238.27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仿宋_GB2312"/>
                <w:i w:val="0"/>
                <w:color w:val="000000"/>
                <w:sz w:val="20"/>
                <w:szCs w:val="20"/>
                <w:u w:val="none"/>
              </w:rPr>
            </w:pPr>
            <w:r>
              <w:rPr>
                <w:rFonts w:hint="default" w:ascii="Times New Roman" w:hAnsi="Times New Roman" w:eastAsia="仿宋_GB2312" w:cs="仿宋_GB2312"/>
                <w:i w:val="0"/>
                <w:color w:val="000000"/>
                <w:kern w:val="0"/>
                <w:sz w:val="20"/>
                <w:szCs w:val="20"/>
                <w:u w:val="none"/>
                <w:lang w:val="en-US" w:eastAsia="zh-CN" w:bidi="ar"/>
              </w:rPr>
              <w:t>二</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仿宋_GB2312"/>
                <w:i w:val="0"/>
                <w:color w:val="000000"/>
                <w:sz w:val="20"/>
                <w:szCs w:val="20"/>
                <w:u w:val="none"/>
              </w:rPr>
            </w:pPr>
            <w:r>
              <w:rPr>
                <w:rFonts w:hint="default" w:ascii="Times New Roman" w:hAnsi="Times New Roman" w:eastAsia="仿宋_GB2312" w:cs="仿宋_GB2312"/>
                <w:i w:val="0"/>
                <w:color w:val="000000"/>
                <w:kern w:val="0"/>
                <w:sz w:val="20"/>
                <w:szCs w:val="20"/>
                <w:u w:val="none"/>
                <w:lang w:val="en-US" w:eastAsia="zh-CN" w:bidi="ar"/>
              </w:rPr>
              <w:t>其他临时工程</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3.37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3.37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3.37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3.37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第五部分：独立费用</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91.68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91.68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91.68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91.68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一</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技术咨询费 </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60.64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60.64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60.64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60.64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水土保持方案编制费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18.28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18.28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18.28 </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18.28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科研勘测设计费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18.14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18.14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18.14 </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18.14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水土保持设施竣工验收技术评估费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24.22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24.22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24.22 </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24.22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二</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工程管理费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31.04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31.04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31.04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31.04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1</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建设管理费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12.00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12.00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12.00 </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12.00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2</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工程建设监理费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14.70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14.70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14.70 </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14.70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3</w:t>
            </w:r>
          </w:p>
        </w:tc>
        <w:tc>
          <w:tcPr>
            <w:tcW w:w="3126"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招标代理服务费</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4.35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4.35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4.35 </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4.35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一至五部分合计</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691.44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1269.70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1961.14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691.44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1269.70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1961.14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基本预备费</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41.49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41.49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41.49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41.49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水土保持补偿费</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66.60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66.60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66.60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i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66.60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53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b/>
                <w:i w:val="0"/>
                <w:color w:val="000000"/>
                <w:sz w:val="18"/>
                <w:szCs w:val="18"/>
                <w:u w:val="none"/>
              </w:rPr>
            </w:pPr>
          </w:p>
        </w:tc>
        <w:tc>
          <w:tcPr>
            <w:tcW w:w="312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水土保持方案静态总投资</w:t>
            </w:r>
          </w:p>
        </w:tc>
        <w:tc>
          <w:tcPr>
            <w:tcW w:w="12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799.53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1269.70 </w:t>
            </w:r>
          </w:p>
        </w:tc>
        <w:tc>
          <w:tcPr>
            <w:tcW w:w="129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2069.23 </w:t>
            </w:r>
          </w:p>
        </w:tc>
        <w:tc>
          <w:tcPr>
            <w:tcW w:w="129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799.53 </w:t>
            </w:r>
          </w:p>
        </w:tc>
        <w:tc>
          <w:tcPr>
            <w:tcW w:w="12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1269.70 </w:t>
            </w:r>
          </w:p>
        </w:tc>
        <w:tc>
          <w:tcPr>
            <w:tcW w:w="129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2069.23 </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i w:val="0"/>
                <w:color w:val="000000"/>
                <w:sz w:val="18"/>
                <w:szCs w:val="18"/>
                <w:u w:val="none"/>
              </w:rPr>
            </w:pPr>
            <w:r>
              <w:rPr>
                <w:rFonts w:hint="eastAsia" w:ascii="Times New Roman" w:hAnsi="Times New Roman" w:eastAsia="宋体" w:cs="宋体"/>
                <w:b/>
                <w:i w:val="0"/>
                <w:color w:val="000000"/>
                <w:kern w:val="0"/>
                <w:sz w:val="18"/>
                <w:szCs w:val="18"/>
                <w:u w:val="none"/>
                <w:lang w:val="en-US" w:eastAsia="zh-CN" w:bidi="ar"/>
              </w:rPr>
              <w:t xml:space="preserve">0.00 </w:t>
            </w:r>
          </w:p>
        </w:tc>
      </w:tr>
    </w:tbl>
    <w:p>
      <w:pPr>
        <w:keepNext w:val="0"/>
        <w:keepLines w:val="0"/>
        <w:pageBreakBefore w:val="0"/>
        <w:widowControl w:val="0"/>
        <w:kinsoku/>
        <w:wordWrap/>
        <w:overflowPunct/>
        <w:topLinePunct w:val="0"/>
        <w:autoSpaceDE/>
        <w:autoSpaceDN/>
        <w:bidi w:val="0"/>
        <w:snapToGrid w:val="0"/>
        <w:spacing w:line="594" w:lineRule="exact"/>
        <w:textAlignment w:val="auto"/>
        <w:rPr>
          <w:rFonts w:hint="eastAsia" w:ascii="Times New Roman" w:hAnsi="Times New Roman" w:eastAsia="方正仿宋_GBK" w:cs="方正仿宋_GBK"/>
          <w:color w:val="FF0000"/>
          <w:kern w:val="0"/>
          <w:sz w:val="32"/>
          <w:szCs w:val="32"/>
        </w:rPr>
      </w:pPr>
    </w:p>
    <w:p>
      <w:pPr>
        <w:pStyle w:val="2"/>
        <w:keepNext w:val="0"/>
        <w:keepLines w:val="0"/>
        <w:pageBreakBefore w:val="0"/>
        <w:widowControl w:val="0"/>
        <w:kinsoku/>
        <w:wordWrap/>
        <w:overflowPunct/>
        <w:topLinePunct w:val="0"/>
        <w:autoSpaceDE/>
        <w:autoSpaceDN/>
        <w:bidi w:val="0"/>
        <w:snapToGrid w:val="0"/>
        <w:spacing w:before="0" w:beforeLines="0" w:after="0" w:afterLines="0" w:line="594" w:lineRule="exact"/>
        <w:textAlignment w:val="auto"/>
        <w:rPr>
          <w:rFonts w:hint="eastAsia" w:ascii="Times New Roman" w:hAnsi="Times New Roman" w:eastAsia="方正仿宋_GBK" w:cs="方正仿宋_GBK"/>
          <w:color w:val="FF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textAlignment w:val="auto"/>
        <w:rPr>
          <w:rFonts w:hint="eastAsia" w:ascii="Times New Roman" w:hAnsi="Times New Roman" w:eastAsia="方正仿宋_GBK" w:cs="方正仿宋_GBK"/>
          <w:color w:val="FF0000"/>
          <w:kern w:val="0"/>
          <w:sz w:val="32"/>
          <w:szCs w:val="32"/>
        </w:rPr>
      </w:pPr>
    </w:p>
    <w:p>
      <w:pPr>
        <w:pStyle w:val="2"/>
        <w:keepNext w:val="0"/>
        <w:keepLines w:val="0"/>
        <w:pageBreakBefore w:val="0"/>
        <w:widowControl w:val="0"/>
        <w:kinsoku/>
        <w:wordWrap/>
        <w:overflowPunct/>
        <w:topLinePunct w:val="0"/>
        <w:autoSpaceDE/>
        <w:autoSpaceDN/>
        <w:bidi w:val="0"/>
        <w:snapToGrid w:val="0"/>
        <w:spacing w:before="0" w:beforeLines="0" w:after="0" w:afterLines="0" w:line="594" w:lineRule="exact"/>
        <w:textAlignment w:val="auto"/>
        <w:rPr>
          <w:rFonts w:hint="eastAsia" w:ascii="Times New Roman" w:hAnsi="Times New Roman" w:eastAsia="方正仿宋_GBK" w:cs="方正仿宋_GBK"/>
          <w:color w:val="FF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textAlignment w:val="auto"/>
        <w:rPr>
          <w:rFonts w:hint="eastAsia" w:ascii="Times New Roman" w:hAnsi="Times New Roman" w:eastAsia="方正仿宋_GBK" w:cs="方正仿宋_GBK"/>
          <w:color w:val="FF0000"/>
          <w:kern w:val="0"/>
          <w:sz w:val="32"/>
          <w:szCs w:val="32"/>
        </w:rPr>
      </w:pPr>
    </w:p>
    <w:p>
      <w:pPr>
        <w:pStyle w:val="2"/>
        <w:keepNext w:val="0"/>
        <w:keepLines w:val="0"/>
        <w:pageBreakBefore w:val="0"/>
        <w:widowControl w:val="0"/>
        <w:kinsoku/>
        <w:wordWrap/>
        <w:overflowPunct/>
        <w:topLinePunct w:val="0"/>
        <w:autoSpaceDE/>
        <w:autoSpaceDN/>
        <w:bidi w:val="0"/>
        <w:snapToGrid w:val="0"/>
        <w:spacing w:before="0" w:beforeLines="0" w:after="0" w:afterLines="0" w:line="594" w:lineRule="exact"/>
        <w:textAlignment w:val="auto"/>
        <w:rPr>
          <w:rFonts w:hint="eastAsia" w:ascii="Times New Roman" w:hAnsi="Times New Roman"/>
          <w:color w:val="FF0000"/>
        </w:rPr>
      </w:pPr>
    </w:p>
    <w:p>
      <w:pPr>
        <w:rPr>
          <w:rFonts w:hint="eastAsia" w:ascii="Times New Roman" w:hAnsi="Times New Roman"/>
          <w:color w:val="FF0000"/>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wis721 BT">
    <w:altName w:val="Segoe Script"/>
    <w:panose1 w:val="020B05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文本框 6"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Ay4z+m9AQAAXAMAAA4AAAAAAAAAAQAgAAAA&#10;OAEAAGRycy9lMm9Eb2MueG1sUEsFBgAAAAAGAAYAWQEAAGcFAAAAAA==&#10;">
          <v:path/>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21"/>
                              <w:rFonts w:hint="eastAsia" w:asciiTheme="minorEastAsia" w:hAnsiTheme="minorEastAsia" w:eastAsiaTheme="minorEastAsia" w:cstheme="minorEastAsia"/>
                              <w:sz w:val="28"/>
                              <w:szCs w:val="28"/>
                            </w:rPr>
                          </w:pPr>
                          <w:r>
                            <w:rPr>
                              <w:rStyle w:val="21"/>
                              <w:rFonts w:hint="eastAsia" w:asciiTheme="minorEastAsia" w:hAnsiTheme="minorEastAsia" w:eastAsiaTheme="minorEastAsia" w:cstheme="minorEastAsia"/>
                              <w:sz w:val="28"/>
                              <w:szCs w:val="28"/>
                            </w:rPr>
                            <w:t xml:space="preserve">— </w:t>
                          </w:r>
                          <w:r>
                            <w:rPr>
                              <w:rStyle w:val="21"/>
                              <w:rFonts w:hint="eastAsia" w:asciiTheme="minorEastAsia" w:hAnsiTheme="minorEastAsia" w:eastAsiaTheme="minorEastAsia" w:cstheme="minorEastAsia"/>
                              <w:sz w:val="28"/>
                              <w:szCs w:val="28"/>
                            </w:rPr>
                            <w:fldChar w:fldCharType="begin"/>
                          </w:r>
                          <w:r>
                            <w:rPr>
                              <w:rStyle w:val="21"/>
                              <w:rFonts w:hint="eastAsia" w:asciiTheme="minorEastAsia" w:hAnsiTheme="minorEastAsia" w:eastAsiaTheme="minorEastAsia" w:cstheme="minorEastAsia"/>
                              <w:sz w:val="28"/>
                              <w:szCs w:val="28"/>
                            </w:rPr>
                            <w:instrText xml:space="preserve"> PAGE  \* MERGEFORMAT </w:instrText>
                          </w:r>
                          <w:r>
                            <w:rPr>
                              <w:rStyle w:val="21"/>
                              <w:rFonts w:hint="eastAsia" w:asciiTheme="minorEastAsia" w:hAnsiTheme="minorEastAsia" w:eastAsiaTheme="minorEastAsia" w:cstheme="minorEastAsia"/>
                              <w:sz w:val="28"/>
                              <w:szCs w:val="28"/>
                            </w:rPr>
                            <w:fldChar w:fldCharType="separate"/>
                          </w:r>
                          <w:r>
                            <w:rPr>
                              <w:rStyle w:val="21"/>
                              <w:rFonts w:hint="eastAsia" w:asciiTheme="minorEastAsia" w:hAnsiTheme="minorEastAsia" w:eastAsiaTheme="minorEastAsia" w:cstheme="minorEastAsia"/>
                              <w:sz w:val="28"/>
                              <w:szCs w:val="28"/>
                            </w:rPr>
                            <w:t>18</w:t>
                          </w:r>
                          <w:r>
                            <w:rPr>
                              <w:rStyle w:val="21"/>
                              <w:rFonts w:hint="eastAsia" w:asciiTheme="minorEastAsia" w:hAnsiTheme="minorEastAsia" w:eastAsiaTheme="minorEastAsia" w:cstheme="minorEastAsia"/>
                              <w:sz w:val="28"/>
                              <w:szCs w:val="28"/>
                            </w:rPr>
                            <w:fldChar w:fldCharType="end"/>
                          </w:r>
                          <w:r>
                            <w:rPr>
                              <w:rStyle w:val="21"/>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21"/>
                        <w:rFonts w:hint="eastAsia" w:asciiTheme="minorEastAsia" w:hAnsiTheme="minorEastAsia" w:eastAsiaTheme="minorEastAsia" w:cstheme="minorEastAsia"/>
                        <w:sz w:val="28"/>
                        <w:szCs w:val="28"/>
                      </w:rPr>
                    </w:pPr>
                    <w:r>
                      <w:rPr>
                        <w:rStyle w:val="21"/>
                        <w:rFonts w:hint="eastAsia" w:asciiTheme="minorEastAsia" w:hAnsiTheme="minorEastAsia" w:eastAsiaTheme="minorEastAsia" w:cstheme="minorEastAsia"/>
                        <w:sz w:val="28"/>
                        <w:szCs w:val="28"/>
                      </w:rPr>
                      <w:t xml:space="preserve">— </w:t>
                    </w:r>
                    <w:r>
                      <w:rPr>
                        <w:rStyle w:val="21"/>
                        <w:rFonts w:hint="eastAsia" w:asciiTheme="minorEastAsia" w:hAnsiTheme="minorEastAsia" w:eastAsiaTheme="minorEastAsia" w:cstheme="minorEastAsia"/>
                        <w:sz w:val="28"/>
                        <w:szCs w:val="28"/>
                      </w:rPr>
                      <w:fldChar w:fldCharType="begin"/>
                    </w:r>
                    <w:r>
                      <w:rPr>
                        <w:rStyle w:val="21"/>
                        <w:rFonts w:hint="eastAsia" w:asciiTheme="minorEastAsia" w:hAnsiTheme="minorEastAsia" w:eastAsiaTheme="minorEastAsia" w:cstheme="minorEastAsia"/>
                        <w:sz w:val="28"/>
                        <w:szCs w:val="28"/>
                      </w:rPr>
                      <w:instrText xml:space="preserve"> PAGE  \* MERGEFORMAT </w:instrText>
                    </w:r>
                    <w:r>
                      <w:rPr>
                        <w:rStyle w:val="21"/>
                        <w:rFonts w:hint="eastAsia" w:asciiTheme="minorEastAsia" w:hAnsiTheme="minorEastAsia" w:eastAsiaTheme="minorEastAsia" w:cstheme="minorEastAsia"/>
                        <w:sz w:val="28"/>
                        <w:szCs w:val="28"/>
                      </w:rPr>
                      <w:fldChar w:fldCharType="separate"/>
                    </w:r>
                    <w:r>
                      <w:rPr>
                        <w:rStyle w:val="21"/>
                        <w:rFonts w:hint="eastAsia" w:asciiTheme="minorEastAsia" w:hAnsiTheme="minorEastAsia" w:eastAsiaTheme="minorEastAsia" w:cstheme="minorEastAsia"/>
                        <w:sz w:val="28"/>
                        <w:szCs w:val="28"/>
                      </w:rPr>
                      <w:t>18</w:t>
                    </w:r>
                    <w:r>
                      <w:rPr>
                        <w:rStyle w:val="21"/>
                        <w:rFonts w:hint="eastAsia" w:asciiTheme="minorEastAsia" w:hAnsiTheme="minorEastAsia" w:eastAsiaTheme="minorEastAsia" w:cstheme="minorEastAsia"/>
                        <w:sz w:val="28"/>
                        <w:szCs w:val="28"/>
                      </w:rPr>
                      <w:fldChar w:fldCharType="end"/>
                    </w:r>
                    <w:r>
                      <w:rPr>
                        <w:rStyle w:val="21"/>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9BB0088"/>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496E93"/>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AC050A"/>
    <w:rsid w:val="25C83420"/>
    <w:rsid w:val="275C69CE"/>
    <w:rsid w:val="290A7315"/>
    <w:rsid w:val="29C10E64"/>
    <w:rsid w:val="2A341411"/>
    <w:rsid w:val="2B1706DC"/>
    <w:rsid w:val="2B17EBFE"/>
    <w:rsid w:val="2CBE2431"/>
    <w:rsid w:val="2ECB239C"/>
    <w:rsid w:val="2FEB4B9F"/>
    <w:rsid w:val="2FEB6799"/>
    <w:rsid w:val="30914434"/>
    <w:rsid w:val="31D921A4"/>
    <w:rsid w:val="32BF7018"/>
    <w:rsid w:val="32C86BDF"/>
    <w:rsid w:val="33AFCDDC"/>
    <w:rsid w:val="34581908"/>
    <w:rsid w:val="35020712"/>
    <w:rsid w:val="35065A3A"/>
    <w:rsid w:val="35D5328C"/>
    <w:rsid w:val="370D16B3"/>
    <w:rsid w:val="37C51145"/>
    <w:rsid w:val="37D34713"/>
    <w:rsid w:val="37FFA73D"/>
    <w:rsid w:val="386510FC"/>
    <w:rsid w:val="39BA7744"/>
    <w:rsid w:val="3AB853C8"/>
    <w:rsid w:val="3B9F2014"/>
    <w:rsid w:val="3BA26649"/>
    <w:rsid w:val="3BA57BAD"/>
    <w:rsid w:val="3BEB2DD8"/>
    <w:rsid w:val="3BEFAF9D"/>
    <w:rsid w:val="3C9A35A3"/>
    <w:rsid w:val="3CD6A656"/>
    <w:rsid w:val="3D7F5882"/>
    <w:rsid w:val="3DBB3E02"/>
    <w:rsid w:val="3DD030B8"/>
    <w:rsid w:val="3DDE5100"/>
    <w:rsid w:val="3E63500C"/>
    <w:rsid w:val="3E81138A"/>
    <w:rsid w:val="3EBBA049"/>
    <w:rsid w:val="3EFE8C2A"/>
    <w:rsid w:val="3F7F5A6A"/>
    <w:rsid w:val="3F7F6E9A"/>
    <w:rsid w:val="3FA43F19"/>
    <w:rsid w:val="3FBA995F"/>
    <w:rsid w:val="3FDF6E79"/>
    <w:rsid w:val="41285076"/>
    <w:rsid w:val="42AD5BED"/>
    <w:rsid w:val="43396CC2"/>
    <w:rsid w:val="43723646"/>
    <w:rsid w:val="438D0C2D"/>
    <w:rsid w:val="439D17F4"/>
    <w:rsid w:val="46BF18E1"/>
    <w:rsid w:val="46E66BFD"/>
    <w:rsid w:val="473E4D14"/>
    <w:rsid w:val="489A0AE6"/>
    <w:rsid w:val="4A9317A2"/>
    <w:rsid w:val="4B4D65A7"/>
    <w:rsid w:val="4D2370E7"/>
    <w:rsid w:val="4DECC0FF"/>
    <w:rsid w:val="4E7647D3"/>
    <w:rsid w:val="4E8C447A"/>
    <w:rsid w:val="4EFD4001"/>
    <w:rsid w:val="4F502494"/>
    <w:rsid w:val="4FBEF9B5"/>
    <w:rsid w:val="4FC55E23"/>
    <w:rsid w:val="509A7964"/>
    <w:rsid w:val="50C07FF1"/>
    <w:rsid w:val="53D72F5A"/>
    <w:rsid w:val="53FDACB5"/>
    <w:rsid w:val="54510FE5"/>
    <w:rsid w:val="55ED299D"/>
    <w:rsid w:val="56020BB4"/>
    <w:rsid w:val="571E02A3"/>
    <w:rsid w:val="57BBD6C0"/>
    <w:rsid w:val="57FD7E1B"/>
    <w:rsid w:val="584843AC"/>
    <w:rsid w:val="58F55E61"/>
    <w:rsid w:val="5A7E2231"/>
    <w:rsid w:val="5ADF6823"/>
    <w:rsid w:val="5B175D16"/>
    <w:rsid w:val="5B1A0782"/>
    <w:rsid w:val="5C624A97"/>
    <w:rsid w:val="5DDA3951"/>
    <w:rsid w:val="5E5AF9EE"/>
    <w:rsid w:val="5FA95F49"/>
    <w:rsid w:val="5FBF8763"/>
    <w:rsid w:val="5FEF0E87"/>
    <w:rsid w:val="5FF7C6BC"/>
    <w:rsid w:val="604D2B37"/>
    <w:rsid w:val="61CB412D"/>
    <w:rsid w:val="61E274FB"/>
    <w:rsid w:val="620D0054"/>
    <w:rsid w:val="62516CC2"/>
    <w:rsid w:val="63270190"/>
    <w:rsid w:val="63C07097"/>
    <w:rsid w:val="63F6BC28"/>
    <w:rsid w:val="654340E7"/>
    <w:rsid w:val="664F3B20"/>
    <w:rsid w:val="67454B8E"/>
    <w:rsid w:val="675B5FBD"/>
    <w:rsid w:val="6788382C"/>
    <w:rsid w:val="679C0740"/>
    <w:rsid w:val="6826391B"/>
    <w:rsid w:val="6867608D"/>
    <w:rsid w:val="68EF42C4"/>
    <w:rsid w:val="69762E49"/>
    <w:rsid w:val="6A7FB000"/>
    <w:rsid w:val="6A956400"/>
    <w:rsid w:val="6ABF5399"/>
    <w:rsid w:val="6B2B19D4"/>
    <w:rsid w:val="6B6E072A"/>
    <w:rsid w:val="6BBB6541"/>
    <w:rsid w:val="6C67536A"/>
    <w:rsid w:val="6D4D31CC"/>
    <w:rsid w:val="6E504A7B"/>
    <w:rsid w:val="6E9C156B"/>
    <w:rsid w:val="6EFE9375"/>
    <w:rsid w:val="6EFF0922"/>
    <w:rsid w:val="6F5A0D30"/>
    <w:rsid w:val="6F5A677D"/>
    <w:rsid w:val="6F9F2C42"/>
    <w:rsid w:val="6FDB23B1"/>
    <w:rsid w:val="6FE6DE43"/>
    <w:rsid w:val="6FFF2707"/>
    <w:rsid w:val="700A63FA"/>
    <w:rsid w:val="71180D83"/>
    <w:rsid w:val="71F95C1E"/>
    <w:rsid w:val="72836946"/>
    <w:rsid w:val="728B5B6F"/>
    <w:rsid w:val="72C3149E"/>
    <w:rsid w:val="72C79070"/>
    <w:rsid w:val="73661CF5"/>
    <w:rsid w:val="73AC6CAF"/>
    <w:rsid w:val="73DC4B44"/>
    <w:rsid w:val="743E4BED"/>
    <w:rsid w:val="744A0831"/>
    <w:rsid w:val="746DE58C"/>
    <w:rsid w:val="75DFB322"/>
    <w:rsid w:val="75FF1D72"/>
    <w:rsid w:val="76862FBE"/>
    <w:rsid w:val="76AE5741"/>
    <w:rsid w:val="76F61301"/>
    <w:rsid w:val="77052688"/>
    <w:rsid w:val="774E327C"/>
    <w:rsid w:val="779FFD24"/>
    <w:rsid w:val="77BAB301"/>
    <w:rsid w:val="77BE3158"/>
    <w:rsid w:val="77D116E6"/>
    <w:rsid w:val="77DC7CBE"/>
    <w:rsid w:val="77F6D61D"/>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CF748DF"/>
    <w:rsid w:val="7D27D9A9"/>
    <w:rsid w:val="7D7563CA"/>
    <w:rsid w:val="7EBCA161"/>
    <w:rsid w:val="7EF6430C"/>
    <w:rsid w:val="7EF7C809"/>
    <w:rsid w:val="7EFB34CC"/>
    <w:rsid w:val="7EFDE791"/>
    <w:rsid w:val="7F73BF94"/>
    <w:rsid w:val="7F7583FE"/>
    <w:rsid w:val="7FBB89BF"/>
    <w:rsid w:val="7FBF3A79"/>
    <w:rsid w:val="7FEEDE92"/>
    <w:rsid w:val="7FEFABF9"/>
    <w:rsid w:val="7FF2B72A"/>
    <w:rsid w:val="7FF878E2"/>
    <w:rsid w:val="7FFB35A7"/>
    <w:rsid w:val="7FFD9F55"/>
    <w:rsid w:val="7FFF96D4"/>
    <w:rsid w:val="87F48432"/>
    <w:rsid w:val="9633B346"/>
    <w:rsid w:val="9D5E0256"/>
    <w:rsid w:val="9DFF8143"/>
    <w:rsid w:val="9EDFA34A"/>
    <w:rsid w:val="A4A9E009"/>
    <w:rsid w:val="AEDCFD40"/>
    <w:rsid w:val="B5C121B5"/>
    <w:rsid w:val="B5DE0672"/>
    <w:rsid w:val="B5EE9E49"/>
    <w:rsid w:val="B5F7B175"/>
    <w:rsid w:val="B7C8E869"/>
    <w:rsid w:val="B97F7191"/>
    <w:rsid w:val="BBFF5877"/>
    <w:rsid w:val="BBFF66F1"/>
    <w:rsid w:val="BD5F4F42"/>
    <w:rsid w:val="BD7CAE0B"/>
    <w:rsid w:val="BDFBD4BA"/>
    <w:rsid w:val="BDFF872F"/>
    <w:rsid w:val="BEBB3247"/>
    <w:rsid w:val="BF6E9522"/>
    <w:rsid w:val="BF77BE47"/>
    <w:rsid w:val="BFDF0CA2"/>
    <w:rsid w:val="BFF597B2"/>
    <w:rsid w:val="BFF7D093"/>
    <w:rsid w:val="BFFC9C24"/>
    <w:rsid w:val="BFFD2A76"/>
    <w:rsid w:val="BFFE1C57"/>
    <w:rsid w:val="BFFF742D"/>
    <w:rsid w:val="CAFBFEC7"/>
    <w:rsid w:val="CFDEA72F"/>
    <w:rsid w:val="D6F795FC"/>
    <w:rsid w:val="D6FD671B"/>
    <w:rsid w:val="D7D7DDCC"/>
    <w:rsid w:val="D8DCEDE1"/>
    <w:rsid w:val="DAFBCEB0"/>
    <w:rsid w:val="DB726C3A"/>
    <w:rsid w:val="DBF76714"/>
    <w:rsid w:val="DDA208C1"/>
    <w:rsid w:val="DF6A0073"/>
    <w:rsid w:val="DF780174"/>
    <w:rsid w:val="DF7B8E22"/>
    <w:rsid w:val="DFCBC77F"/>
    <w:rsid w:val="DFD77326"/>
    <w:rsid w:val="DFDD30F9"/>
    <w:rsid w:val="DFF5A64B"/>
    <w:rsid w:val="DFFFB97E"/>
    <w:rsid w:val="E3DFABFC"/>
    <w:rsid w:val="E5CD590F"/>
    <w:rsid w:val="E7E2616F"/>
    <w:rsid w:val="E7FF481B"/>
    <w:rsid w:val="E93F8D5A"/>
    <w:rsid w:val="EABFCD06"/>
    <w:rsid w:val="EAFB0206"/>
    <w:rsid w:val="ECB549B9"/>
    <w:rsid w:val="ED7CB6BF"/>
    <w:rsid w:val="EE369E02"/>
    <w:rsid w:val="EEB84B12"/>
    <w:rsid w:val="EF6C4197"/>
    <w:rsid w:val="EF779F32"/>
    <w:rsid w:val="EF9EF7A3"/>
    <w:rsid w:val="EFBBA1E8"/>
    <w:rsid w:val="EFEFCEF3"/>
    <w:rsid w:val="EFF54670"/>
    <w:rsid w:val="EFFD85C2"/>
    <w:rsid w:val="EFFE7920"/>
    <w:rsid w:val="EFFF2025"/>
    <w:rsid w:val="EFFF494D"/>
    <w:rsid w:val="F277D181"/>
    <w:rsid w:val="F3D369B8"/>
    <w:rsid w:val="F4C9127B"/>
    <w:rsid w:val="F67188B8"/>
    <w:rsid w:val="F6FC2EBA"/>
    <w:rsid w:val="F6FD84FB"/>
    <w:rsid w:val="F71C4126"/>
    <w:rsid w:val="F72F39FB"/>
    <w:rsid w:val="F73DF6FB"/>
    <w:rsid w:val="F7DB77ED"/>
    <w:rsid w:val="F7FF3781"/>
    <w:rsid w:val="F9631D36"/>
    <w:rsid w:val="F9AFB6F0"/>
    <w:rsid w:val="F9F9C2D3"/>
    <w:rsid w:val="FA576F15"/>
    <w:rsid w:val="FADC04E4"/>
    <w:rsid w:val="FB6E0296"/>
    <w:rsid w:val="FBAD5CE8"/>
    <w:rsid w:val="FBBD53BA"/>
    <w:rsid w:val="FBDF2122"/>
    <w:rsid w:val="FBEE1844"/>
    <w:rsid w:val="FBEF2C87"/>
    <w:rsid w:val="FBF76626"/>
    <w:rsid w:val="FBFF379E"/>
    <w:rsid w:val="FCDB6888"/>
    <w:rsid w:val="FDBFFB3F"/>
    <w:rsid w:val="FDEC5BF8"/>
    <w:rsid w:val="FDEDFE4B"/>
    <w:rsid w:val="FDF51AF1"/>
    <w:rsid w:val="FDF531D4"/>
    <w:rsid w:val="FF5EF1C1"/>
    <w:rsid w:val="FF7DB9F7"/>
    <w:rsid w:val="FF9AC68A"/>
    <w:rsid w:val="FF9D390B"/>
    <w:rsid w:val="FFAA0A05"/>
    <w:rsid w:val="FFCF68DB"/>
    <w:rsid w:val="FFDB89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4"/>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20">
    <w:name w:val="Default Paragraph Font"/>
    <w:qFormat/>
    <w:uiPriority w:val="0"/>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5"/>
    <w:qFormat/>
    <w:uiPriority w:val="0"/>
    <w:pPr>
      <w:ind w:firstLine="420"/>
    </w:pPr>
    <w:rPr>
      <w:rFonts w:ascii="宋体"/>
      <w:szCs w:val="20"/>
    </w:rPr>
  </w:style>
  <w:style w:type="paragraph" w:styleId="7">
    <w:name w:val="Document Map"/>
    <w:basedOn w:val="1"/>
    <w:link w:val="26"/>
    <w:qFormat/>
    <w:uiPriority w:val="0"/>
    <w:pPr>
      <w:shd w:val="clear" w:color="auto" w:fill="000080"/>
    </w:pPr>
  </w:style>
  <w:style w:type="paragraph" w:styleId="8">
    <w:name w:val="annotation text"/>
    <w:basedOn w:val="1"/>
    <w:link w:val="27"/>
    <w:qFormat/>
    <w:uiPriority w:val="0"/>
    <w:pPr>
      <w:widowControl/>
      <w:jc w:val="left"/>
    </w:pPr>
    <w:rPr>
      <w:rFonts w:ascii="宋体" w:hAnsi="宋体" w:cs="宋体"/>
      <w:kern w:val="0"/>
      <w:sz w:val="24"/>
    </w:rPr>
  </w:style>
  <w:style w:type="paragraph" w:styleId="9">
    <w:name w:val="Body Text"/>
    <w:basedOn w:val="1"/>
    <w:next w:val="10"/>
    <w:link w:val="28"/>
    <w:qFormat/>
    <w:uiPriority w:val="0"/>
    <w:pPr>
      <w:spacing w:after="120" w:afterLines="0"/>
    </w:pPr>
    <w:rPr>
      <w:sz w:val="21"/>
    </w:rPr>
  </w:style>
  <w:style w:type="paragraph" w:styleId="10">
    <w:name w:val="Title"/>
    <w:next w:val="1"/>
    <w:qFormat/>
    <w:uiPriority w:val="0"/>
    <w:pPr>
      <w:widowControl w:val="0"/>
      <w:spacing w:before="240" w:after="60"/>
      <w:jc w:val="center"/>
      <w:outlineLvl w:val="0"/>
    </w:pPr>
    <w:rPr>
      <w:rFonts w:ascii="Cambria Math" w:hAnsi="Cambria Math" w:eastAsia="仿宋_GB2312" w:cs="Times New Roman"/>
      <w:b/>
      <w:bCs/>
      <w:color w:val="000000"/>
      <w:kern w:val="2"/>
      <w:sz w:val="32"/>
      <w:szCs w:val="32"/>
      <w:lang w:val="en-US" w:eastAsia="zh-CN" w:bidi="ar-SA"/>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semiHidden/>
    <w:qFormat/>
    <w:uiPriority w:val="0"/>
    <w:pPr>
      <w:widowControl w:val="0"/>
    </w:pPr>
    <w:rPr>
      <w:rFonts w:ascii="Times New Roman" w:hAnsi="Times New Roman" w:cs="Times New Roman"/>
      <w:b/>
      <w:bCs/>
      <w:kern w:val="2"/>
      <w:sz w:val="28"/>
    </w:rPr>
  </w:style>
  <w:style w:type="paragraph" w:styleId="18">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21">
    <w:name w:val="page number"/>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3 字符"/>
    <w:link w:val="2"/>
    <w:qFormat/>
    <w:uiPriority w:val="0"/>
    <w:rPr>
      <w:rFonts w:ascii="宋体" w:hAnsi="宋体" w:eastAsia="宋体"/>
      <w:b/>
      <w:kern w:val="2"/>
      <w:sz w:val="24"/>
      <w:lang w:val="en-US" w:eastAsia="zh-CN" w:bidi="ar-SA"/>
    </w:rPr>
  </w:style>
  <w:style w:type="character" w:customStyle="1" w:styleId="25">
    <w:name w:val="正文缩进 字符"/>
    <w:link w:val="6"/>
    <w:qFormat/>
    <w:uiPriority w:val="0"/>
    <w:rPr>
      <w:rFonts w:ascii="宋体" w:eastAsia="宋体"/>
      <w:kern w:val="2"/>
      <w:sz w:val="28"/>
      <w:lang w:val="en-US" w:eastAsia="zh-CN" w:bidi="ar-SA"/>
    </w:rPr>
  </w:style>
  <w:style w:type="character" w:customStyle="1" w:styleId="26">
    <w:name w:val="文档结构图 字符"/>
    <w:link w:val="7"/>
    <w:qFormat/>
    <w:uiPriority w:val="0"/>
    <w:rPr>
      <w:rFonts w:eastAsia="宋体"/>
      <w:kern w:val="2"/>
      <w:sz w:val="28"/>
      <w:szCs w:val="24"/>
      <w:lang w:val="en-US" w:eastAsia="zh-CN" w:bidi="ar-SA"/>
    </w:rPr>
  </w:style>
  <w:style w:type="character" w:customStyle="1" w:styleId="27">
    <w:name w:val="批注文字 字符"/>
    <w:link w:val="8"/>
    <w:qFormat/>
    <w:uiPriority w:val="0"/>
    <w:rPr>
      <w:rFonts w:ascii="宋体" w:hAnsi="宋体" w:eastAsia="宋体" w:cs="宋体"/>
      <w:sz w:val="24"/>
      <w:szCs w:val="24"/>
      <w:lang w:val="en-US" w:eastAsia="zh-CN" w:bidi="ar-SA"/>
    </w:rPr>
  </w:style>
  <w:style w:type="character" w:customStyle="1" w:styleId="28">
    <w:name w:val="正文文本 字符"/>
    <w:link w:val="9"/>
    <w:qFormat/>
    <w:uiPriority w:val="0"/>
    <w:rPr>
      <w:rFonts w:eastAsia="宋体"/>
      <w:kern w:val="2"/>
      <w:sz w:val="21"/>
      <w:szCs w:val="24"/>
      <w:lang w:val="en-US" w:eastAsia="zh-CN" w:bidi="ar-SA"/>
    </w:rPr>
  </w:style>
  <w:style w:type="character" w:customStyle="1" w:styleId="29">
    <w:name w:val="报告文本 Char"/>
    <w:link w:val="30"/>
    <w:qFormat/>
    <w:uiPriority w:val="0"/>
    <w:rPr>
      <w:kern w:val="24"/>
      <w:sz w:val="24"/>
      <w:szCs w:val="22"/>
    </w:rPr>
  </w:style>
  <w:style w:type="paragraph" w:customStyle="1" w:styleId="30">
    <w:name w:val="报告文本"/>
    <w:basedOn w:val="1"/>
    <w:link w:val="29"/>
    <w:qFormat/>
    <w:uiPriority w:val="0"/>
    <w:pPr>
      <w:spacing w:line="500" w:lineRule="exact"/>
      <w:ind w:firstLine="200" w:firstLineChars="200"/>
    </w:pPr>
    <w:rPr>
      <w:kern w:val="24"/>
      <w:sz w:val="24"/>
      <w:szCs w:val="22"/>
    </w:rPr>
  </w:style>
  <w:style w:type="character" w:customStyle="1" w:styleId="31">
    <w:name w:val="样式12 Char Char"/>
    <w:link w:val="32"/>
    <w:qFormat/>
    <w:uiPriority w:val="0"/>
    <w:rPr>
      <w:rFonts w:ascii="Swis721 BT" w:hAnsi="Swis721 BT" w:eastAsia="黑体"/>
      <w:color w:val="000000"/>
      <w:kern w:val="2"/>
      <w:sz w:val="28"/>
      <w:szCs w:val="28"/>
      <w:lang w:val="en-US" w:eastAsia="zh-CN" w:bidi="ar-SA"/>
    </w:rPr>
  </w:style>
  <w:style w:type="paragraph" w:customStyle="1" w:styleId="32">
    <w:name w:val="样式12"/>
    <w:basedOn w:val="1"/>
    <w:link w:val="31"/>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3">
    <w:name w:val="样式25 Char Char"/>
    <w:link w:val="34"/>
    <w:qFormat/>
    <w:uiPriority w:val="0"/>
    <w:rPr>
      <w:kern w:val="2"/>
      <w:sz w:val="26"/>
      <w:szCs w:val="22"/>
    </w:rPr>
  </w:style>
  <w:style w:type="paragraph" w:customStyle="1" w:styleId="34">
    <w:name w:val="样式25"/>
    <w:basedOn w:val="1"/>
    <w:link w:val="33"/>
    <w:qFormat/>
    <w:uiPriority w:val="0"/>
    <w:pPr>
      <w:spacing w:line="480" w:lineRule="exact"/>
      <w:ind w:firstLine="520" w:firstLineChars="200"/>
    </w:pPr>
    <w:rPr>
      <w:sz w:val="26"/>
      <w:szCs w:val="22"/>
    </w:rPr>
  </w:style>
  <w:style w:type="character" w:customStyle="1" w:styleId="35">
    <w:name w:val="都福路文本"/>
    <w:qFormat/>
    <w:uiPriority w:val="0"/>
    <w:rPr>
      <w:rFonts w:ascii="宋体" w:hAnsi="宋体" w:eastAsia="宋体"/>
      <w:color w:val="0000FF"/>
      <w:kern w:val="0"/>
      <w:sz w:val="24"/>
      <w:lang w:val="en-US" w:eastAsia="zh-CN"/>
    </w:rPr>
  </w:style>
  <w:style w:type="character" w:customStyle="1" w:styleId="36">
    <w:name w:val=" Char Char25"/>
    <w:qFormat/>
    <w:uiPriority w:val="0"/>
    <w:rPr>
      <w:rFonts w:eastAsia="宋体"/>
      <w:kern w:val="2"/>
      <w:sz w:val="21"/>
      <w:szCs w:val="24"/>
      <w:lang w:val="en-US" w:eastAsia="zh-CN" w:bidi="ar-SA"/>
    </w:rPr>
  </w:style>
  <w:style w:type="character" w:customStyle="1" w:styleId="37">
    <w:name w:val="font91"/>
    <w:qFormat/>
    <w:uiPriority w:val="0"/>
    <w:rPr>
      <w:rFonts w:hint="eastAsia" w:ascii="宋体" w:hAnsi="宋体" w:eastAsia="宋体" w:cs="宋体"/>
      <w:color w:val="000000"/>
      <w:sz w:val="20"/>
      <w:szCs w:val="20"/>
      <w:u w:val="none"/>
    </w:rPr>
  </w:style>
  <w:style w:type="character" w:customStyle="1" w:styleId="38">
    <w:name w:val="正文2"/>
    <w:qFormat/>
    <w:uiPriority w:val="0"/>
    <w:rPr>
      <w:rFonts w:eastAsia="宋体"/>
      <w:color w:val="0000FF"/>
    </w:rPr>
  </w:style>
  <w:style w:type="character" w:customStyle="1" w:styleId="39">
    <w:name w:val="font101"/>
    <w:qFormat/>
    <w:uiPriority w:val="0"/>
    <w:rPr>
      <w:rFonts w:hint="eastAsia" w:ascii="宋体" w:hAnsi="宋体" w:eastAsia="宋体" w:cs="宋体"/>
      <w:color w:val="000000"/>
      <w:sz w:val="20"/>
      <w:szCs w:val="20"/>
      <w:u w:val="none"/>
    </w:rPr>
  </w:style>
  <w:style w:type="character" w:customStyle="1" w:styleId="40">
    <w:name w:val="font51"/>
    <w:basedOn w:val="20"/>
    <w:qFormat/>
    <w:uiPriority w:val="0"/>
    <w:rPr>
      <w:rFonts w:hint="default" w:ascii="Times New Roman" w:hAnsi="Times New Roman" w:cs="Times New Roman"/>
      <w:b/>
      <w:bCs/>
      <w:color w:val="000000"/>
      <w:sz w:val="18"/>
      <w:szCs w:val="18"/>
      <w:u w:val="none"/>
    </w:rPr>
  </w:style>
  <w:style w:type="character" w:customStyle="1" w:styleId="41">
    <w:name w:val="文本条款 Char"/>
    <w:qFormat/>
    <w:uiPriority w:val="0"/>
    <w:rPr>
      <w:kern w:val="2"/>
      <w:sz w:val="21"/>
    </w:rPr>
  </w:style>
  <w:style w:type="character" w:customStyle="1" w:styleId="42">
    <w:name w:val="font81"/>
    <w:qFormat/>
    <w:uiPriority w:val="0"/>
    <w:rPr>
      <w:rFonts w:hint="default" w:ascii="Times New Roman" w:hAnsi="Times New Roman" w:cs="Times New Roman"/>
      <w:color w:val="000000"/>
      <w:sz w:val="20"/>
      <w:szCs w:val="20"/>
      <w:u w:val="none"/>
    </w:rPr>
  </w:style>
  <w:style w:type="character" w:customStyle="1" w:styleId="43">
    <w:name w:val="font71"/>
    <w:basedOn w:val="20"/>
    <w:qFormat/>
    <w:uiPriority w:val="0"/>
    <w:rPr>
      <w:rFonts w:hint="default" w:ascii="Times New Roman" w:hAnsi="Times New Roman" w:cs="Times New Roman"/>
      <w:color w:val="000000"/>
      <w:sz w:val="20"/>
      <w:szCs w:val="20"/>
      <w:u w:val="none"/>
    </w:rPr>
  </w:style>
  <w:style w:type="character" w:customStyle="1" w:styleId="44">
    <w:name w:val="样式4 Char Char"/>
    <w:link w:val="45"/>
    <w:qFormat/>
    <w:uiPriority w:val="0"/>
    <w:rPr>
      <w:rFonts w:ascii="宋体" w:hAnsi="宋体" w:eastAsia="仿宋_GB2312"/>
      <w:kern w:val="2"/>
      <w:sz w:val="28"/>
      <w:szCs w:val="28"/>
      <w:lang w:val="en-US" w:eastAsia="zh-CN" w:bidi="ar-SA"/>
    </w:rPr>
  </w:style>
  <w:style w:type="paragraph" w:customStyle="1" w:styleId="45">
    <w:name w:val="样式4"/>
    <w:basedOn w:val="1"/>
    <w:link w:val="44"/>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6">
    <w:name w:val="样式1 Char Char"/>
    <w:link w:val="47"/>
    <w:qFormat/>
    <w:uiPriority w:val="0"/>
    <w:rPr>
      <w:rFonts w:eastAsia="宋体"/>
      <w:color w:val="000000"/>
      <w:sz w:val="21"/>
      <w:szCs w:val="21"/>
      <w:lang w:val="en-US" w:eastAsia="zh-CN" w:bidi="ar-SA"/>
    </w:rPr>
  </w:style>
  <w:style w:type="paragraph" w:customStyle="1" w:styleId="47">
    <w:name w:val="样式1"/>
    <w:basedOn w:val="1"/>
    <w:link w:val="46"/>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8">
    <w:name w:val="font31"/>
    <w:qFormat/>
    <w:uiPriority w:val="0"/>
    <w:rPr>
      <w:rFonts w:hint="default" w:ascii="Times New Roman" w:hAnsi="Times New Roman" w:cs="Times New Roman"/>
      <w:color w:val="000000"/>
      <w:sz w:val="16"/>
      <w:szCs w:val="16"/>
      <w:u w:val="none"/>
    </w:rPr>
  </w:style>
  <w:style w:type="character" w:customStyle="1" w:styleId="49">
    <w:name w:val="样式 样式 样式 正文首行缩进 + 首行缩进:  1 字符 + 宋体 + 自动设置 Char Char"/>
    <w:link w:val="50"/>
    <w:qFormat/>
    <w:uiPriority w:val="0"/>
    <w:rPr>
      <w:rFonts w:ascii="宋体" w:hAnsi="宋体" w:eastAsia="宋体"/>
      <w:kern w:val="2"/>
      <w:sz w:val="24"/>
      <w:lang w:val="en-US" w:eastAsia="zh-CN" w:bidi="ar-SA"/>
    </w:rPr>
  </w:style>
  <w:style w:type="paragraph" w:customStyle="1" w:styleId="50">
    <w:name w:val="样式 样式 样式 正文首行缩进 + 首行缩进:  1 字符 + 宋体 + 自动设置"/>
    <w:basedOn w:val="1"/>
    <w:link w:val="49"/>
    <w:qFormat/>
    <w:uiPriority w:val="0"/>
    <w:pPr>
      <w:spacing w:line="460" w:lineRule="exact"/>
      <w:ind w:firstLine="480" w:firstLineChars="200"/>
      <w:jc w:val="left"/>
    </w:pPr>
    <w:rPr>
      <w:rFonts w:ascii="宋体" w:hAnsi="宋体"/>
      <w:sz w:val="24"/>
      <w:szCs w:val="20"/>
    </w:rPr>
  </w:style>
  <w:style w:type="character" w:customStyle="1" w:styleId="51">
    <w:name w:val="font11"/>
    <w:basedOn w:val="20"/>
    <w:qFormat/>
    <w:uiPriority w:val="0"/>
    <w:rPr>
      <w:rFonts w:hint="default" w:ascii="楷体_GB2312" w:eastAsia="楷体_GB2312" w:cs="楷体_GB2312"/>
      <w:b/>
      <w:bCs/>
      <w:color w:val="000000"/>
      <w:sz w:val="18"/>
      <w:szCs w:val="18"/>
      <w:u w:val="none"/>
    </w:rPr>
  </w:style>
  <w:style w:type="character" w:customStyle="1" w:styleId="52">
    <w:name w:val="font61"/>
    <w:qFormat/>
    <w:uiPriority w:val="0"/>
    <w:rPr>
      <w:rFonts w:ascii="黑体" w:hAnsi="宋体" w:eastAsia="黑体" w:cs="黑体"/>
      <w:color w:val="000000"/>
      <w:sz w:val="28"/>
      <w:szCs w:val="28"/>
      <w:u w:val="none"/>
    </w:rPr>
  </w:style>
  <w:style w:type="character" w:customStyle="1" w:styleId="53">
    <w:name w:val="A正文 Char Char"/>
    <w:link w:val="54"/>
    <w:qFormat/>
    <w:uiPriority w:val="0"/>
    <w:rPr>
      <w:rFonts w:eastAsia="宋体"/>
      <w:kern w:val="2"/>
      <w:sz w:val="24"/>
      <w:szCs w:val="24"/>
      <w:lang w:val="en-US" w:eastAsia="zh-CN" w:bidi="ar-SA"/>
    </w:rPr>
  </w:style>
  <w:style w:type="paragraph" w:customStyle="1" w:styleId="54">
    <w:name w:val="A正文"/>
    <w:basedOn w:val="1"/>
    <w:link w:val="53"/>
    <w:qFormat/>
    <w:uiPriority w:val="0"/>
    <w:pPr>
      <w:widowControl/>
      <w:spacing w:line="360" w:lineRule="auto"/>
      <w:ind w:firstLine="200" w:firstLineChars="200"/>
      <w:jc w:val="left"/>
    </w:pPr>
    <w:rPr>
      <w:sz w:val="24"/>
    </w:rPr>
  </w:style>
  <w:style w:type="paragraph" w:customStyle="1" w:styleId="55">
    <w:name w:val=" Char2 Char Char Char Char Char Char Char Char"/>
    <w:basedOn w:val="1"/>
    <w:qFormat/>
    <w:uiPriority w:val="0"/>
    <w:rPr>
      <w:sz w:val="21"/>
      <w:szCs w:val="20"/>
    </w:rPr>
  </w:style>
  <w:style w:type="paragraph" w:customStyle="1" w:styleId="56">
    <w:name w:val="xc----正文"/>
    <w:basedOn w:val="57"/>
    <w:qFormat/>
    <w:uiPriority w:val="0"/>
    <w:rPr>
      <w:rFonts w:ascii="仿宋_GB2312"/>
      <w:spacing w:val="-4"/>
    </w:rPr>
  </w:style>
  <w:style w:type="paragraph" w:customStyle="1" w:styleId="57">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8">
    <w:name w:val="p0"/>
    <w:basedOn w:val="1"/>
    <w:qFormat/>
    <w:uiPriority w:val="0"/>
    <w:pPr>
      <w:widowControl/>
    </w:pPr>
    <w:rPr>
      <w:kern w:val="0"/>
      <w:sz w:val="21"/>
      <w:szCs w:val="20"/>
    </w:rPr>
  </w:style>
  <w:style w:type="paragraph" w:customStyle="1" w:styleId="59">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60">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61">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2">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3">
    <w:name w:val="样式 xc----正文 + 首行缩进:  2 字符"/>
    <w:basedOn w:val="56"/>
    <w:qFormat/>
    <w:uiPriority w:val="0"/>
    <w:pPr>
      <w:ind w:firstLine="464"/>
    </w:pPr>
    <w:rPr>
      <w:spacing w:val="0"/>
    </w:rPr>
  </w:style>
  <w:style w:type="paragraph" w:customStyle="1" w:styleId="64">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5">
    <w:name w:val="xc----括号"/>
    <w:basedOn w:val="56"/>
    <w:qFormat/>
    <w:uiPriority w:val="0"/>
    <w:pPr>
      <w:outlineLvl w:val="5"/>
    </w:pPr>
    <w:rPr>
      <w:rFonts w:ascii="楷体_GB2312" w:eastAsia="楷体_GB2312" w:cs="Times New Roman"/>
    </w:rPr>
  </w:style>
  <w:style w:type="paragraph" w:customStyle="1" w:styleId="66">
    <w:name w:val="默认段落字体 Para Char Char Char Char Char Char Char Char Char Char"/>
    <w:basedOn w:val="1"/>
    <w:qFormat/>
    <w:uiPriority w:val="0"/>
    <w:rPr>
      <w:sz w:val="21"/>
      <w:szCs w:val="20"/>
    </w:rPr>
  </w:style>
  <w:style w:type="paragraph" w:customStyle="1" w:styleId="67">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8">
    <w:name w:val="Char Char Char Char Char Char Char Char Char1 Char"/>
    <w:next w:val="69"/>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9">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70">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71">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2">
    <w:name w:val=" Char Char Char Char Char Char Char Char Char Char"/>
    <w:basedOn w:val="1"/>
    <w:qFormat/>
    <w:uiPriority w:val="0"/>
    <w:rPr>
      <w:sz w:val="21"/>
    </w:rPr>
  </w:style>
  <w:style w:type="paragraph" w:customStyle="1" w:styleId="73">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4">
    <w:name w:val=" Char Char Char Char Char Char Char"/>
    <w:basedOn w:val="1"/>
    <w:qFormat/>
    <w:uiPriority w:val="0"/>
    <w:pPr>
      <w:widowControl/>
      <w:spacing w:after="160" w:afterLines="0" w:line="240" w:lineRule="exact"/>
      <w:jc w:val="left"/>
    </w:pPr>
    <w:rPr>
      <w:sz w:val="21"/>
      <w:szCs w:val="20"/>
    </w:rPr>
  </w:style>
  <w:style w:type="paragraph" w:customStyle="1" w:styleId="75">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6">
    <w:name w:val=" Char"/>
    <w:basedOn w:val="1"/>
    <w:qFormat/>
    <w:uiPriority w:val="0"/>
    <w:rPr>
      <w:sz w:val="21"/>
    </w:rPr>
  </w:style>
  <w:style w:type="paragraph" w:customStyle="1" w:styleId="77">
    <w:name w:val="表格内文字"/>
    <w:basedOn w:val="1"/>
    <w:qFormat/>
    <w:uiPriority w:val="0"/>
    <w:pPr>
      <w:spacing w:line="240" w:lineRule="auto"/>
      <w:ind w:firstLine="0" w:firstLineChars="0"/>
      <w:jc w:val="center"/>
    </w:pPr>
    <w:rPr>
      <w:rFonts w:cs="宋体"/>
      <w:sz w:val="1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9">
    <w:name w:val="font41"/>
    <w:basedOn w:val="20"/>
    <w:qFormat/>
    <w:uiPriority w:val="0"/>
    <w:rPr>
      <w:rFonts w:hint="eastAsia" w:ascii="仿宋" w:hAnsi="仿宋" w:eastAsia="仿宋" w:cs="仿宋"/>
      <w:color w:val="000000"/>
      <w:sz w:val="18"/>
      <w:szCs w:val="18"/>
      <w:u w:val="none"/>
    </w:rPr>
  </w:style>
  <w:style w:type="paragraph" w:customStyle="1" w:styleId="80">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81">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2">
    <w:name w:val="font21"/>
    <w:qFormat/>
    <w:uiPriority w:val="0"/>
    <w:rPr>
      <w:rFonts w:hint="default" w:ascii="仿宋_GB2312" w:eastAsia="仿宋_GB2312" w:cs="仿宋_GB2312"/>
      <w:b/>
      <w:bCs/>
      <w:color w:val="000000"/>
      <w:sz w:val="18"/>
      <w:szCs w:val="18"/>
      <w:u w:val="none"/>
    </w:rPr>
  </w:style>
  <w:style w:type="paragraph" w:customStyle="1" w:styleId="83">
    <w:name w:val="表格"/>
    <w:qFormat/>
    <w:uiPriority w:val="0"/>
    <w:pPr>
      <w:keepLines/>
      <w:widowControl/>
      <w:adjustRightInd w:val="0"/>
      <w:snapToGrid w:val="0"/>
      <w:spacing w:line="240" w:lineRule="auto"/>
      <w:ind w:firstLine="0" w:firstLineChars="0"/>
      <w:jc w:val="center"/>
    </w:pPr>
    <w:rPr>
      <w:rFonts w:ascii="Times New Roman" w:hAnsi="Times New Roman" w:eastAsia="仿宋" w:cs="Times New Roman"/>
      <w:bCs/>
      <w:color w:val="auto"/>
      <w:kern w:val="0"/>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11</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2021-07-21T19:38:00Z</dcterms:created>
  <dc:creator>张艺馨</dc:creator>
  <cp:lastModifiedBy>zyj</cp:lastModifiedBy>
  <cp:lastPrinted>2022-11-10T11:20:00Z</cp:lastPrinted>
  <dcterms:modified xsi:type="dcterms:W3CDTF">2023-08-22T08:45:56Z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