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六纵线（六横线至三环高速段）</w:t>
      </w:r>
      <w:r>
        <w:rPr>
          <w:rFonts w:hint="eastAsia" w:ascii="Times New Roman" w:hAnsi="Times New Roman" w:eastAsia="方正小标宋_GBK" w:cs="方正小标宋_GBK"/>
          <w:b w:val="0"/>
          <w:color w:val="00000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重庆城投基础设施建设有限公司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你单位提交的</w:t>
      </w:r>
      <w:r>
        <w:rPr>
          <w:rFonts w:hint="eastAsia" w:ascii="Times New Roman" w:hAnsi="Times New Roman" w:eastAsia="方正仿宋_GBK" w:cs="Times New Roman"/>
          <w:color w:val="auto"/>
          <w:sz w:val="32"/>
          <w:szCs w:val="32"/>
          <w:lang w:eastAsia="zh-CN"/>
        </w:rPr>
        <w:t>六纵线（六横线至三环高速段）水土保持方案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2020</w:t>
      </w:r>
      <w:r>
        <w:rPr>
          <w:rFonts w:hint="eastAsia" w:ascii="Times New Roman" w:hAnsi="Times New Roman" w:eastAsia="方正仿宋_GBK"/>
          <w:b w:val="0"/>
          <w:color w:val="000000" w:themeColor="text1"/>
          <w:spacing w:val="0"/>
          <w:w w:val="10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500112</w:t>
      </w:r>
      <w:r>
        <w:rPr>
          <w:rFonts w:hint="eastAsia" w:ascii="Times New Roman" w:hAnsi="Times New Roman" w:eastAsia="方正仿宋_GBK"/>
          <w:b w:val="0"/>
          <w:color w:val="000000" w:themeColor="text1"/>
          <w:spacing w:val="0"/>
          <w:w w:val="10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48</w:t>
      </w:r>
      <w:r>
        <w:rPr>
          <w:rFonts w:hint="eastAsia" w:ascii="Times New Roman" w:hAnsi="Times New Roman" w:eastAsia="方正仿宋_GBK"/>
          <w:b w:val="0"/>
          <w:color w:val="000000" w:themeColor="text1"/>
          <w:spacing w:val="0"/>
          <w:w w:val="10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01</w:t>
      </w:r>
      <w:r>
        <w:rPr>
          <w:rFonts w:hint="eastAsia" w:ascii="Times New Roman" w:hAnsi="Times New Roman" w:eastAsia="方正仿宋_GBK"/>
          <w:b w:val="0"/>
          <w:color w:val="000000" w:themeColor="text1"/>
          <w:spacing w:val="0"/>
          <w:w w:val="10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151552</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六纵线（六横线至三环高速段）水土保持方案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方案编制所依据的法律法规、部委规章、规范性文件、标准规范、技术文件及采用的资料基本正确。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default" w:ascii="Times New Roman" w:hAnsi="Times New Roman" w:eastAsia="方正仿宋_GBK" w:cs="Times New Roman"/>
          <w:bCs/>
          <w:color w:val="auto"/>
          <w:sz w:val="32"/>
          <w:szCs w:val="32"/>
        </w:rPr>
        <w:t>（二）同意方案设计水平年为</w:t>
      </w:r>
      <w:r>
        <w:rPr>
          <w:rFonts w:hint="eastAsia" w:ascii="Times New Roman" w:hAnsi="Times New Roman" w:eastAsia="方正仿宋_GBK" w:cs="Times New Roman"/>
          <w:bCs/>
          <w:color w:val="auto"/>
          <w:sz w:val="32"/>
          <w:szCs w:val="32"/>
          <w:lang w:val="en-US" w:eastAsia="zh-CN"/>
        </w:rPr>
        <w:t>202</w:t>
      </w:r>
      <w:r>
        <w:rPr>
          <w:rFonts w:hint="eastAsia" w:eastAsia="方正仿宋_GBK" w:cs="Times New Roman"/>
          <w:bCs/>
          <w:color w:val="auto"/>
          <w:sz w:val="32"/>
          <w:szCs w:val="32"/>
          <w:lang w:val="en-US" w:eastAsia="zh-CN"/>
        </w:rPr>
        <w:t>5</w:t>
      </w:r>
      <w:r>
        <w:rPr>
          <w:rFonts w:hint="default" w:ascii="Times New Roman" w:hAnsi="Times New Roman" w:eastAsia="方正仿宋_GBK" w:cs="Times New Roman"/>
          <w:bCs/>
          <w:color w:val="auto"/>
          <w:sz w:val="32"/>
          <w:szCs w:val="32"/>
        </w:rPr>
        <w:t>年</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三</w:t>
      </w:r>
      <w:r>
        <w:rPr>
          <w:rFonts w:ascii="Times New Roman" w:hAnsi="Times New Roman" w:eastAsia="方正仿宋_GBK"/>
          <w:bCs/>
          <w:color w:val="auto"/>
          <w:sz w:val="32"/>
          <w:szCs w:val="32"/>
        </w:rPr>
        <w:t>）</w:t>
      </w:r>
      <w:r>
        <w:rPr>
          <w:rFonts w:hint="default" w:ascii="Times New Roman" w:hAnsi="Times New Roman" w:eastAsia="方正仿宋_GBK" w:cs="Times New Roman"/>
          <w:bCs/>
          <w:color w:val="auto"/>
          <w:sz w:val="32"/>
          <w:szCs w:val="32"/>
        </w:rPr>
        <w:t>同意水土流失防治责任范围的界定，</w:t>
      </w:r>
      <w:r>
        <w:rPr>
          <w:rFonts w:hint="default" w:ascii="Times New Roman" w:hAnsi="Times New Roman" w:eastAsia="方正仿宋_GBK" w:cs="Times New Roman"/>
          <w:color w:val="auto"/>
          <w:sz w:val="32"/>
          <w:szCs w:val="32"/>
        </w:rPr>
        <w:t>水土流失防治责任范围面积为</w:t>
      </w:r>
      <w:r>
        <w:rPr>
          <w:rFonts w:hint="eastAsia" w:eastAsia="方正仿宋_GBK" w:cs="Times New Roman"/>
          <w:color w:val="auto"/>
          <w:sz w:val="32"/>
          <w:szCs w:val="32"/>
          <w:lang w:val="en-US" w:eastAsia="zh-CN"/>
        </w:rPr>
        <w:t>49.59</w:t>
      </w:r>
      <w:r>
        <w:rPr>
          <w:rFonts w:hint="default" w:ascii="Times New Roman" w:hAnsi="Times New Roman" w:eastAsia="方正仿宋_GBK" w:cs="Times New Roman"/>
          <w:color w:val="auto"/>
          <w:sz w:val="32"/>
          <w:szCs w:val="32"/>
        </w:rPr>
        <w:t>hm</w:t>
      </w:r>
      <w:r>
        <w:rPr>
          <w:rFonts w:hint="default"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（四）</w:t>
      </w:r>
      <w:r>
        <w:rPr>
          <w:rFonts w:hint="eastAsia" w:ascii="Times New Roman" w:hAnsi="Times New Roman" w:eastAsia="方正仿宋_GBK" w:cs="Times New Roman"/>
          <w:b w:val="0"/>
          <w:color w:val="auto"/>
          <w:sz w:val="32"/>
          <w:szCs w:val="32"/>
        </w:rPr>
        <w:t>同意项目水土流失防治标准等级执行西南紫色土区建设类项目一级标准</w:t>
      </w:r>
      <w:r>
        <w:rPr>
          <w:rFonts w:ascii="Times New Roman" w:hAnsi="Times New Roman" w:eastAsia="方正仿宋_GBK" w:cs="Times New Roman"/>
          <w:b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（五）</w:t>
      </w:r>
      <w:r>
        <w:rPr>
          <w:rFonts w:hint="default" w:ascii="Times New Roman" w:hAnsi="Times New Roman" w:eastAsia="方正仿宋_GBK" w:cs="Times New Roman"/>
          <w:color w:val="auto"/>
          <w:sz w:val="32"/>
          <w:szCs w:val="32"/>
        </w:rPr>
        <w:t>同意水土流失防治目标。其中：水土流失治理度97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，土壤流失控制比1.0，渣土防护率9</w:t>
      </w:r>
      <w:r>
        <w:rPr>
          <w:rFonts w:hint="eastAsia"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，表土保护率92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，林草植被恢复率97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，林草覆盖率2</w:t>
      </w:r>
      <w:r>
        <w:rPr>
          <w:rFonts w:hint="eastAsia"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ascii="Times New Roman" w:hAnsi="Times New Roman" w:eastAsia="方正仿宋_GBK"/>
          <w:bCs/>
          <w:color w:val="auto"/>
          <w:sz w:val="32"/>
          <w:szCs w:val="32"/>
          <w:lang w:bidi="ar"/>
        </w:rPr>
        <w:t>水土保持方案工程静态总投资5872.88万元，其中：主体已列</w:t>
      </w:r>
      <w:r>
        <w:rPr>
          <w:rFonts w:hint="eastAsia" w:ascii="Times New Roman" w:hAnsi="Times New Roman" w:eastAsia="方正仿宋_GBK"/>
          <w:b w:val="0"/>
          <w:bCs/>
          <w:color w:val="000000" w:themeColor="text1"/>
          <w:spacing w:val="0"/>
          <w:w w:val="100"/>
          <w:kern w:val="0"/>
          <w:sz w:val="32"/>
          <w:szCs w:val="32"/>
          <w:lang w:bidi="ar"/>
          <w14:textFill>
            <w14:solidFill>
              <w14:schemeClr w14:val="tx1"/>
            </w14:solidFill>
          </w14:textFill>
        </w:rPr>
        <w:t>投资</w:t>
      </w:r>
      <w:r>
        <w:rPr>
          <w:rFonts w:hint="eastAsia" w:ascii="Times New Roman" w:hAnsi="Times New Roman" w:eastAsia="方正仿宋_GBK"/>
          <w:bCs/>
          <w:color w:val="auto"/>
          <w:sz w:val="32"/>
          <w:szCs w:val="32"/>
          <w:lang w:bidi="ar"/>
        </w:rPr>
        <w:t>5321.01万元，方案新增</w:t>
      </w:r>
      <w:r>
        <w:rPr>
          <w:rFonts w:hint="eastAsia" w:ascii="Times New Roman" w:hAnsi="Times New Roman" w:eastAsia="方正仿宋_GBK"/>
          <w:b w:val="0"/>
          <w:bCs/>
          <w:color w:val="000000" w:themeColor="text1"/>
          <w:spacing w:val="0"/>
          <w:w w:val="100"/>
          <w:kern w:val="0"/>
          <w:sz w:val="32"/>
          <w:szCs w:val="32"/>
          <w:lang w:bidi="ar"/>
          <w14:textFill>
            <w14:solidFill>
              <w14:schemeClr w14:val="tx1"/>
            </w14:solidFill>
          </w14:textFill>
        </w:rPr>
        <w:t>投资</w:t>
      </w:r>
      <w:r>
        <w:rPr>
          <w:rFonts w:hint="eastAsia" w:ascii="Times New Roman" w:hAnsi="Times New Roman" w:eastAsia="方正仿宋_GBK"/>
          <w:bCs/>
          <w:color w:val="auto"/>
          <w:sz w:val="32"/>
          <w:szCs w:val="32"/>
          <w:lang w:bidi="ar"/>
        </w:rPr>
        <w:t>551.87万元（其中：工程措施费160.95万元，植物措施费4.50万元，监测措施费51.14万元，施工临时措施费150.84万元，独立费用87.70万元，基本预备费27.31万元，水土保持补偿费69.43万元）</w:t>
      </w:r>
      <w:r>
        <w:rPr>
          <w:rFonts w:hint="eastAsia" w:ascii="Times New Roman" w:hAnsi="Times New Roman" w:eastAsia="方正仿宋_GBK"/>
          <w:bCs/>
          <w:color w:val="auto"/>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六纵线（六横线至三环高速段）</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六纵线（六横线至三环高速段）</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7</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 xml:space="preserve">   </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b w:val="0"/>
          <w:snapToGrid w:val="0"/>
          <w:color w:val="000000"/>
          <w:spacing w:val="0"/>
          <w:w w:val="1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b w:val="0"/>
          <w:snapToGrid w:val="0"/>
          <w:color w:val="000000"/>
          <w:spacing w:val="0"/>
          <w:w w:val="100"/>
          <w:kern w:val="0"/>
          <w:sz w:val="32"/>
          <w:szCs w:val="32"/>
        </w:rPr>
      </w:pPr>
      <w:r>
        <w:rPr>
          <w:rFonts w:ascii="Times New Roman" w:hAnsi="Times New Roman" w:eastAsia="方正仿宋_GBK"/>
          <w:b w:val="0"/>
          <w:snapToGrid w:val="0"/>
          <w:color w:val="000000"/>
          <w:spacing w:val="0"/>
          <w:w w:val="100"/>
          <w:kern w:val="0"/>
          <w:sz w:val="32"/>
          <w:szCs w:val="32"/>
        </w:rPr>
        <w:t>（此件</w:t>
      </w:r>
      <w:r>
        <w:rPr>
          <w:rFonts w:hint="eastAsia" w:ascii="Times New Roman" w:hAnsi="Times New Roman" w:eastAsia="方正仿宋_GBK"/>
          <w:b w:val="0"/>
          <w:snapToGrid w:val="0"/>
          <w:color w:val="000000"/>
          <w:spacing w:val="0"/>
          <w:w w:val="100"/>
          <w:kern w:val="0"/>
          <w:sz w:val="32"/>
          <w:szCs w:val="32"/>
          <w:lang w:eastAsia="zh-CN"/>
        </w:rPr>
        <w:t>主动</w:t>
      </w:r>
      <w:r>
        <w:rPr>
          <w:rFonts w:ascii="Times New Roman" w:hAnsi="Times New Roman" w:eastAsia="方正仿宋_GBK"/>
          <w:b w:val="0"/>
          <w:snapToGrid w:val="0"/>
          <w:color w:val="000000"/>
          <w:spacing w:val="0"/>
          <w:w w:val="10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方正仿宋"/>
          <w:b w:val="0"/>
          <w:bCs/>
          <w:color w:val="000000"/>
          <w:spacing w:val="0"/>
          <w:w w:val="100"/>
          <w:kern w:val="0"/>
          <w:sz w:val="32"/>
          <w:szCs w:val="32"/>
        </w:rPr>
      </w:pPr>
      <w:r>
        <w:rPr>
          <w:rFonts w:ascii="Times New Roman" w:hAnsi="Times New Roman" w:eastAsia="方正仿宋_GBK"/>
          <w:b w:val="0"/>
          <w:snapToGrid w:val="0"/>
          <w:color w:val="000000"/>
          <w:spacing w:val="0"/>
          <w:w w:val="100"/>
          <w:kern w:val="0"/>
          <w:sz w:val="32"/>
          <w:szCs w:val="32"/>
        </w:rPr>
        <w:t>（联系人：</w:t>
      </w:r>
      <w:r>
        <w:rPr>
          <w:rFonts w:hint="eastAsia" w:ascii="Times New Roman" w:hAnsi="Times New Roman" w:eastAsia="方正仿宋_GBK"/>
          <w:b w:val="0"/>
          <w:snapToGrid w:val="0"/>
          <w:color w:val="000000"/>
          <w:spacing w:val="0"/>
          <w:w w:val="100"/>
          <w:kern w:val="0"/>
          <w:sz w:val="32"/>
          <w:szCs w:val="32"/>
          <w:lang w:eastAsia="zh-CN"/>
        </w:rPr>
        <w:t>张春才</w:t>
      </w:r>
      <w:r>
        <w:rPr>
          <w:rFonts w:ascii="Times New Roman" w:hAnsi="Times New Roman" w:eastAsia="方正仿宋_GBK"/>
          <w:b w:val="0"/>
          <w:snapToGrid w:val="0"/>
          <w:color w:val="000000"/>
          <w:spacing w:val="0"/>
          <w:w w:val="100"/>
          <w:kern w:val="0"/>
          <w:sz w:val="32"/>
          <w:szCs w:val="32"/>
        </w:rPr>
        <w:t>；联系电话：023</w:t>
      </w:r>
      <w:r>
        <w:rPr>
          <w:rFonts w:hint="eastAsia" w:ascii="Times New Roman" w:hAnsi="Times New Roman" w:eastAsia="方正仿宋_GBK"/>
          <w:b w:val="0"/>
          <w:snapToGrid w:val="0"/>
          <w:color w:val="000000"/>
          <w:spacing w:val="0"/>
          <w:w w:val="100"/>
          <w:kern w:val="0"/>
          <w:sz w:val="32"/>
          <w:szCs w:val="32"/>
          <w:lang w:eastAsia="zh-CN"/>
        </w:rPr>
        <w:t>—</w:t>
      </w:r>
      <w:r>
        <w:rPr>
          <w:rFonts w:hint="eastAsia" w:ascii="Times New Roman" w:hAnsi="Times New Roman" w:eastAsia="方正仿宋_GBK"/>
          <w:b w:val="0"/>
          <w:snapToGrid w:val="0"/>
          <w:color w:val="000000"/>
          <w:spacing w:val="0"/>
          <w:w w:val="100"/>
          <w:kern w:val="0"/>
          <w:sz w:val="32"/>
          <w:szCs w:val="32"/>
          <w:lang w:val="en-US" w:eastAsia="zh-CN"/>
        </w:rPr>
        <w:t>88707091</w:t>
      </w:r>
      <w:r>
        <w:rPr>
          <w:rFonts w:ascii="Times New Roman" w:hAnsi="Times New Roman" w:eastAsia="方正仿宋_GBK"/>
          <w:b w:val="0"/>
          <w:snapToGrid w:val="0"/>
          <w:color w:val="000000"/>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default"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default" w:ascii="Times New Roman" w:hAnsi="Times New Roman" w:eastAsia="方正黑体_GBK" w:cs="Times New Roman"/>
          <w:b w:val="0"/>
          <w:color w:val="auto"/>
          <w:sz w:val="32"/>
          <w:szCs w:val="32"/>
        </w:rPr>
        <w:t>附件</w:t>
      </w:r>
      <w:r>
        <w:rPr>
          <w:rFonts w:hint="default" w:ascii="Times New Roman" w:hAnsi="Times New Roman" w:eastAsia="方正黑体_GBK" w:cs="Times New Roman"/>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方正小标宋_GBK" w:hAnsi="方正小标宋_GBK" w:eastAsia="方正小标宋_GBK" w:cs="方正小标宋_GBK"/>
          <w:bCs/>
          <w:snapToGrid w:val="0"/>
          <w:color w:val="auto"/>
          <w:spacing w:val="-23"/>
          <w:w w:val="85"/>
          <w:kern w:val="0"/>
          <w:sz w:val="36"/>
          <w:szCs w:val="36"/>
        </w:rPr>
      </w:pPr>
      <w:r>
        <w:rPr>
          <w:rFonts w:hint="eastAsia" w:ascii="方正小标宋_GBK" w:hAnsi="方正小标宋_GBK" w:eastAsia="方正小标宋_GBK" w:cs="方正小标宋_GBK"/>
          <w:bCs/>
          <w:color w:val="auto"/>
          <w:spacing w:val="0"/>
          <w:w w:val="100"/>
          <w:sz w:val="36"/>
          <w:szCs w:val="36"/>
          <w:lang w:eastAsia="zh-CN"/>
        </w:rPr>
        <w:t>六纵线（六横线至三环高速段）</w:t>
      </w:r>
      <w:r>
        <w:rPr>
          <w:rFonts w:hint="eastAsia" w:ascii="方正小标宋_GBK" w:hAnsi="方正小标宋_GBK" w:eastAsia="方正小标宋_GBK" w:cs="方正小标宋_GBK"/>
          <w:bCs/>
          <w:color w:val="auto"/>
          <w:spacing w:val="0"/>
          <w:w w:val="100"/>
          <w:sz w:val="36"/>
          <w:szCs w:val="36"/>
        </w:rPr>
        <w:t>水土保持方案</w:t>
      </w:r>
      <w:r>
        <w:rPr>
          <w:rFonts w:hint="eastAsia" w:ascii="方正小标宋_GBK" w:hAnsi="方正小标宋_GBK" w:eastAsia="方正小标宋_GBK" w:cs="方正小标宋_GBK"/>
          <w:bCs/>
          <w:snapToGrid w:val="0"/>
          <w:color w:val="auto"/>
          <w:spacing w:val="0"/>
          <w:w w:val="100"/>
          <w:kern w:val="0"/>
          <w:sz w:val="36"/>
          <w:szCs w:val="36"/>
        </w:rPr>
        <w:t>特性表</w:t>
      </w:r>
    </w:p>
    <w:tbl>
      <w:tblPr>
        <w:tblStyle w:val="17"/>
        <w:tblW w:w="5062"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99"/>
        <w:gridCol w:w="522"/>
        <w:gridCol w:w="10"/>
        <w:gridCol w:w="1002"/>
        <w:gridCol w:w="1315"/>
        <w:gridCol w:w="1170"/>
        <w:gridCol w:w="1315"/>
        <w:gridCol w:w="1316"/>
        <w:gridCol w:w="1171"/>
        <w:gridCol w:w="10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990" w:type="dxa"/>
            <w:gridSpan w:val="2"/>
            <w:shd w:val="clear" w:color="auto" w:fill="auto"/>
            <w:noWrap/>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rPr>
                <w:rFonts w:ascii="Times New Roman" w:hAnsi="Times New Roman" w:eastAsia="仿宋" w:cs="Times New Roman"/>
                <w:color w:val="000000" w:themeColor="text1"/>
                <w:kern w:val="0"/>
                <w:sz w:val="14"/>
                <w:szCs w:val="14"/>
                <w14:textFill>
                  <w14:solidFill>
                    <w14:schemeClr w14:val="tx1"/>
                  </w14:solidFill>
                </w14:textFill>
              </w:rPr>
            </w:pPr>
            <w:r>
              <w:rPr>
                <w:rFonts w:hint="eastAsia" w:ascii="Times New Roman" w:hAnsi="Times New Roman" w:eastAsia="方正黑体_GBK" w:cs="方正黑体_GBK"/>
                <w:b w:val="0"/>
                <w:color w:val="FF0000"/>
                <w:sz w:val="32"/>
                <w:szCs w:val="32"/>
              </w:rPr>
              <w:br w:type="page"/>
            </w:r>
            <w:r>
              <w:rPr>
                <w:rFonts w:ascii="Times New Roman" w:hAnsi="Times New Roman" w:eastAsia="仿宋" w:cs="Times New Roman"/>
                <w:color w:val="000000" w:themeColor="text1"/>
                <w:kern w:val="0"/>
                <w:sz w:val="14"/>
                <w:szCs w:val="14"/>
                <w14:textFill>
                  <w14:solidFill>
                    <w14:schemeClr w14:val="tx1"/>
                  </w14:solidFill>
                </w14:textFill>
              </w:rPr>
              <w:t>项目名称</w:t>
            </w:r>
          </w:p>
        </w:tc>
        <w:tc>
          <w:tcPr>
            <w:tcW w:w="3390"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六纵线（六横线至三环高速段）</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流域管理机构</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990"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涉及省（市、区）</w:t>
            </w:r>
          </w:p>
        </w:tc>
        <w:tc>
          <w:tcPr>
            <w:tcW w:w="98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重庆市</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涉及地市或个数</w:t>
            </w:r>
          </w:p>
        </w:tc>
        <w:tc>
          <w:tcPr>
            <w:tcW w:w="1275"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hint="eastAsia" w:ascii="Times New Roman" w:hAnsi="Times New Roman" w:eastAsia="仿宋" w:cs="Times New Roman"/>
                <w:color w:val="000000" w:themeColor="text1"/>
                <w:kern w:val="0"/>
                <w:sz w:val="14"/>
                <w:szCs w:val="14"/>
                <w14:textFill>
                  <w14:solidFill>
                    <w14:schemeClr w14:val="tx1"/>
                  </w14:solidFill>
                </w14:textFill>
              </w:rPr>
              <w:t>/</w:t>
            </w:r>
          </w:p>
        </w:tc>
        <w:tc>
          <w:tcPr>
            <w:tcW w:w="1276"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涉及县或个数</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两江新区、渝北区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990"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项目规模</w:t>
            </w:r>
          </w:p>
        </w:tc>
        <w:tc>
          <w:tcPr>
            <w:tcW w:w="98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4.80km</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总投资(万元)</w:t>
            </w:r>
          </w:p>
        </w:tc>
        <w:tc>
          <w:tcPr>
            <w:tcW w:w="1275"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135987</w:t>
            </w:r>
          </w:p>
        </w:tc>
        <w:tc>
          <w:tcPr>
            <w:tcW w:w="1276"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土建投资(万元)</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57662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990"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动工时间</w:t>
            </w:r>
          </w:p>
        </w:tc>
        <w:tc>
          <w:tcPr>
            <w:tcW w:w="98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2023.09</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完工时间</w:t>
            </w:r>
          </w:p>
        </w:tc>
        <w:tc>
          <w:tcPr>
            <w:tcW w:w="1275"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2025.08</w:t>
            </w:r>
          </w:p>
        </w:tc>
        <w:tc>
          <w:tcPr>
            <w:tcW w:w="1276"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设计水平年</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2025年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990"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工程占地（hm²）</w:t>
            </w:r>
          </w:p>
        </w:tc>
        <w:tc>
          <w:tcPr>
            <w:tcW w:w="98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49.59</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永久占地（hm²）</w:t>
            </w:r>
          </w:p>
        </w:tc>
        <w:tc>
          <w:tcPr>
            <w:tcW w:w="1275"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46.26</w:t>
            </w:r>
          </w:p>
        </w:tc>
        <w:tc>
          <w:tcPr>
            <w:tcW w:w="1276"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临时占地（hm²）</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vMerge w:val="restart"/>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土石方量（万m³）</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挖方</w:t>
            </w:r>
          </w:p>
        </w:tc>
        <w:tc>
          <w:tcPr>
            <w:tcW w:w="1275"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填方</w:t>
            </w:r>
          </w:p>
        </w:tc>
        <w:tc>
          <w:tcPr>
            <w:tcW w:w="1276"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借方</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133.77</w:t>
            </w:r>
          </w:p>
        </w:tc>
        <w:tc>
          <w:tcPr>
            <w:tcW w:w="1275"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196.01</w:t>
            </w:r>
          </w:p>
        </w:tc>
        <w:tc>
          <w:tcPr>
            <w:tcW w:w="1276"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97.56</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35.32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重点防治区名称</w:t>
            </w:r>
          </w:p>
        </w:tc>
        <w:tc>
          <w:tcPr>
            <w:tcW w:w="7086" w:type="dxa"/>
            <w:gridSpan w:val="6"/>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国家级、重庆市和渝北区水土流失重点治理区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地貌类型</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构造剥蚀浅丘地貌</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水土保持区划</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土壤侵蚀类型</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水力侵蚀</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土壤侵蚀强度</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防治责任范围面积(hm²)</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49.59</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容许土壤流失量t/(km²·a)</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土壤流失预测总量(t)</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8143.81</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新增土壤流失量(t)</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7173.53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水土流失防治标准执行等级</w:t>
            </w:r>
          </w:p>
        </w:tc>
        <w:tc>
          <w:tcPr>
            <w:tcW w:w="7086" w:type="dxa"/>
            <w:gridSpan w:val="6"/>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restart"/>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防治目标</w:t>
            </w:r>
          </w:p>
        </w:tc>
        <w:tc>
          <w:tcPr>
            <w:tcW w:w="1487" w:type="dxa"/>
            <w:gridSpan w:val="3"/>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水土流失治理度(%)</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97</w:t>
            </w:r>
          </w:p>
        </w:tc>
        <w:tc>
          <w:tcPr>
            <w:tcW w:w="2551"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土壤流失控制比</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1487" w:type="dxa"/>
            <w:gridSpan w:val="3"/>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渣土挡护率(%)</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94</w:t>
            </w:r>
          </w:p>
        </w:tc>
        <w:tc>
          <w:tcPr>
            <w:tcW w:w="2551"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表土保护率(%)</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1487" w:type="dxa"/>
            <w:gridSpan w:val="3"/>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林草植被恢复率(%)</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97</w:t>
            </w:r>
          </w:p>
        </w:tc>
        <w:tc>
          <w:tcPr>
            <w:tcW w:w="2551"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林草覆盖率(%)</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防治措施及工程量</w:t>
            </w:r>
          </w:p>
        </w:tc>
        <w:tc>
          <w:tcPr>
            <w:tcW w:w="1487" w:type="dxa"/>
            <w:gridSpan w:val="3"/>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防治分区</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工程措施</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植物措施</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516" w:type="dxa"/>
            <w:gridSpan w:val="2"/>
            <w:vMerge w:val="restart"/>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路基工程防治区</w:t>
            </w:r>
          </w:p>
        </w:tc>
        <w:tc>
          <w:tcPr>
            <w:tcW w:w="971"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主线道路防治亚区</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主体设计：截排水沟5660m、</w:t>
            </w:r>
            <w:r>
              <w:rPr>
                <w:rFonts w:ascii="Times New Roman" w:hAnsi="Times New Roman" w:eastAsia="仿宋" w:cs="Times New Roman"/>
                <w:color w:val="000000" w:themeColor="text1"/>
                <w:sz w:val="14"/>
                <w:szCs w:val="14"/>
                <w14:textFill>
                  <w14:solidFill>
                    <w14:schemeClr w14:val="tx1"/>
                  </w14:solidFill>
                </w14:textFill>
              </w:rPr>
              <w:t>马道</w:t>
            </w:r>
            <w:r>
              <w:rPr>
                <w:rFonts w:ascii="Times New Roman" w:hAnsi="Times New Roman" w:eastAsia="仿宋" w:cs="Times New Roman"/>
                <w:color w:val="000000" w:themeColor="text1"/>
                <w:kern w:val="0"/>
                <w:sz w:val="14"/>
                <w:szCs w:val="14"/>
                <w14:textFill>
                  <w14:solidFill>
                    <w14:schemeClr w14:val="tx1"/>
                  </w14:solidFill>
                </w14:textFill>
              </w:rPr>
              <w:t>排水沟4443m、雨水边沟4930m、沉沙池10座、陡坡跌落管62m、急流槽54m、排水明渠1813m</w:t>
            </w:r>
          </w:p>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hint="eastAsia" w:ascii="Times New Roman" w:hAnsi="Times New Roman" w:eastAsia="仿宋" w:cs="Times New Roman"/>
                <w:color w:val="000000" w:themeColor="text1"/>
                <w:kern w:val="0"/>
                <w:sz w:val="14"/>
                <w:szCs w:val="14"/>
                <w14:textFill>
                  <w14:solidFill>
                    <w14:schemeClr w14:val="tx1"/>
                  </w14:solidFill>
                </w14:textFill>
              </w:rPr>
              <w:t>方案新增：</w:t>
            </w:r>
            <w:r>
              <w:rPr>
                <w:rFonts w:ascii="Times New Roman" w:hAnsi="Times New Roman" w:eastAsia="仿宋" w:cs="Times New Roman"/>
                <w:color w:val="000000" w:themeColor="text1"/>
                <w:kern w:val="0"/>
                <w:sz w:val="14"/>
                <w:szCs w:val="14"/>
                <w14:textFill>
                  <w14:solidFill>
                    <w14:schemeClr w14:val="tx1"/>
                  </w14:solidFill>
                </w14:textFill>
              </w:rPr>
              <w:t>表土剥离8.13万m³</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主体设计：填方边坡挂网喷播植草2.96hm²、填方边坡网格植草护坡8.47 hm²、挖方边坡土工格室护坡4.60hm²、挖方边坡锚杆格构护坡0.28hm²、坡脚种植池0.31hm²、景观绿化1.83hm²（乔木1510株、灌木1.57hm²、草坪1.83hm²）、明渠填方边坡喷播植草防护0.22 hm²、明渠挖方边坡喷播有机基材防护0.27hm²、缓坡绿化0.54hm²</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方案新增：临时沉沙池19座、</w:t>
            </w:r>
            <w:r>
              <w:rPr>
                <w:rFonts w:hint="eastAsia" w:ascii="宋体" w:hAnsi="宋体" w:cs="宋体"/>
                <w:color w:val="000000" w:themeColor="text1"/>
                <w:kern w:val="0"/>
                <w:sz w:val="14"/>
                <w:szCs w:val="14"/>
                <w14:textFill>
                  <w14:solidFill>
                    <w14:schemeClr w14:val="tx1"/>
                  </w14:solidFill>
                </w14:textFill>
              </w:rPr>
              <w:t>Ⅰ</w:t>
            </w:r>
            <w:r>
              <w:rPr>
                <w:rFonts w:ascii="Times New Roman" w:hAnsi="Times New Roman" w:eastAsia="仿宋" w:cs="Times New Roman"/>
                <w:color w:val="000000" w:themeColor="text1"/>
                <w:kern w:val="0"/>
                <w:sz w:val="14"/>
                <w:szCs w:val="14"/>
                <w14:textFill>
                  <w14:solidFill>
                    <w14:schemeClr w14:val="tx1"/>
                  </w14:solidFill>
                </w14:textFill>
              </w:rPr>
              <w:t>型编织袋挡墙2390</w:t>
            </w:r>
            <w:r>
              <w:rPr>
                <w:rFonts w:ascii="Times New Roman" w:hAnsi="Times New Roman" w:eastAsia="仿宋" w:cs="Times New Roman"/>
                <w:color w:val="000000" w:themeColor="text1"/>
                <w:sz w:val="14"/>
                <w:szCs w:val="14"/>
                <w14:textFill>
                  <w14:solidFill>
                    <w14:schemeClr w14:val="tx1"/>
                  </w14:solidFill>
                </w14:textFill>
              </w:rPr>
              <w:t>m、</w:t>
            </w:r>
            <w:r>
              <w:rPr>
                <w:rFonts w:ascii="Times New Roman" w:hAnsi="Times New Roman" w:eastAsia="仿宋" w:cs="Times New Roman"/>
                <w:color w:val="000000" w:themeColor="text1"/>
                <w:kern w:val="0"/>
                <w:sz w:val="14"/>
                <w:szCs w:val="14"/>
                <w14:textFill>
                  <w14:solidFill>
                    <w14:schemeClr w14:val="tx1"/>
                  </w14:solidFill>
                </w14:textFill>
              </w:rPr>
              <w:t>防雨布20000m²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516" w:type="dxa"/>
            <w:gridSpan w:val="2"/>
            <w:vMerge w:val="continue"/>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p>
        </w:tc>
        <w:tc>
          <w:tcPr>
            <w:tcW w:w="971"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还建道路防治亚区</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hint="eastAsia" w:ascii="Times New Roman" w:hAnsi="Times New Roman" w:eastAsia="仿宋" w:cs="Times New Roman"/>
                <w:color w:val="000000" w:themeColor="text1"/>
                <w:kern w:val="0"/>
                <w:sz w:val="14"/>
                <w:szCs w:val="14"/>
                <w14:textFill>
                  <w14:solidFill>
                    <w14:schemeClr w14:val="tx1"/>
                  </w14:solidFill>
                </w14:textFill>
              </w:rPr>
              <w:t>方案新增</w:t>
            </w:r>
            <w:r>
              <w:rPr>
                <w:rFonts w:ascii="Times New Roman" w:hAnsi="Times New Roman" w:eastAsia="仿宋" w:cs="Times New Roman"/>
                <w:color w:val="000000" w:themeColor="text1"/>
                <w:kern w:val="0"/>
                <w:sz w:val="14"/>
                <w:szCs w:val="14"/>
                <w14:textFill>
                  <w14:solidFill>
                    <w14:schemeClr w14:val="tx1"/>
                  </w14:solidFill>
                </w14:textFill>
              </w:rPr>
              <w:t>：表土剥离0.29万m³</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主体设计：填方边坡挂网喷播植草0.60hm²、挖方边坡土工格室护坡0.11hm²、挖方边坡锚杆格构护坡0.01hm²</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方案新增：临时排水沟80m、临时沉沙池1座、防雨布1000m²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1487" w:type="dxa"/>
            <w:gridSpan w:val="3"/>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桥梁工程防治区</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方案新增：表土剥离0.59万m³</w:t>
            </w:r>
            <w:r>
              <w:rPr>
                <w:rFonts w:hint="eastAsia" w:ascii="Times New Roman" w:hAnsi="Times New Roman" w:eastAsia="仿宋" w:cs="Times New Roman"/>
                <w:color w:val="000000" w:themeColor="text1"/>
                <w:kern w:val="0"/>
                <w:sz w:val="14"/>
                <w:szCs w:val="14"/>
                <w14:textFill>
                  <w14:solidFill>
                    <w14:schemeClr w14:val="tx1"/>
                  </w14:solidFill>
                </w14:textFill>
              </w:rPr>
              <w:t>、</w:t>
            </w:r>
            <w:r>
              <w:rPr>
                <w:rFonts w:ascii="Times New Roman" w:hAnsi="Times New Roman" w:eastAsia="仿宋" w:cs="Times New Roman"/>
                <w:color w:val="000000" w:themeColor="text1"/>
                <w:kern w:val="0"/>
                <w:sz w:val="14"/>
                <w:szCs w:val="14"/>
                <w14:textFill>
                  <w14:solidFill>
                    <w14:schemeClr w14:val="tx1"/>
                  </w14:solidFill>
                </w14:textFill>
              </w:rPr>
              <w:t>表土回填0.75万m³、全面整地2.47hm²</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方案新增：桥面下绿化2.47hm²</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方案新增：临时排水沟990m、临时沉沙池5座、临时沉浆池27座、防雨布7500m²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 w:hRule="atLeast"/>
        </w:trPr>
        <w:tc>
          <w:tcPr>
            <w:tcW w:w="484"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1487" w:type="dxa"/>
            <w:gridSpan w:val="3"/>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改河工程防治区</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hint="eastAsia" w:ascii="Times New Roman" w:hAnsi="Times New Roman" w:eastAsia="仿宋" w:cs="Times New Roman"/>
                <w:color w:val="000000" w:themeColor="text1"/>
                <w:kern w:val="0"/>
                <w:sz w:val="14"/>
                <w:szCs w:val="14"/>
                <w14:textFill>
                  <w14:solidFill>
                    <w14:schemeClr w14:val="tx1"/>
                  </w14:solidFill>
                </w14:textFill>
              </w:rPr>
              <w:t>方案新增</w:t>
            </w:r>
            <w:r>
              <w:rPr>
                <w:rFonts w:ascii="Times New Roman" w:hAnsi="Times New Roman" w:eastAsia="仿宋" w:cs="Times New Roman"/>
                <w:color w:val="000000" w:themeColor="text1"/>
                <w:kern w:val="0"/>
                <w:sz w:val="14"/>
                <w:szCs w:val="14"/>
                <w14:textFill>
                  <w14:solidFill>
                    <w14:schemeClr w14:val="tx1"/>
                  </w14:solidFill>
                </w14:textFill>
              </w:rPr>
              <w:t>：表土剥离0.33万m³</w:t>
            </w:r>
          </w:p>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vertAlign w:val="superscript"/>
                <w14:textFill>
                  <w14:solidFill>
                    <w14:schemeClr w14:val="tx1"/>
                  </w14:solidFill>
                </w14:textFill>
              </w:rPr>
            </w:pP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主体设计：明渠迎水坡面格构+土工袋植草护坡0.89hm²、渠顶花坛0.06hm²、渠背植草护坡0.18hm²</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 xml:space="preserve">方案新增：防雨布5000m²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1487" w:type="dxa"/>
            <w:gridSpan w:val="3"/>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表土堆场防治区</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方案新增：全面整地3.33hm²</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方案新增：撒播植草2.98hm²</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方案新增：临时排水沟2085m、临时沉沙池7座、</w:t>
            </w:r>
            <w:r>
              <w:rPr>
                <w:rFonts w:hint="eastAsia" w:ascii="宋体" w:hAnsi="宋体" w:cs="宋体"/>
                <w:color w:val="000000" w:themeColor="text1"/>
                <w:kern w:val="0"/>
                <w:sz w:val="14"/>
                <w:szCs w:val="14"/>
                <w14:textFill>
                  <w14:solidFill>
                    <w14:schemeClr w14:val="tx1"/>
                  </w14:solidFill>
                </w14:textFill>
              </w:rPr>
              <w:t>Ⅱ</w:t>
            </w:r>
            <w:r>
              <w:rPr>
                <w:rFonts w:ascii="Times New Roman" w:hAnsi="Times New Roman" w:eastAsia="仿宋" w:cs="Times New Roman"/>
                <w:color w:val="000000" w:themeColor="text1"/>
                <w:kern w:val="0"/>
                <w:sz w:val="14"/>
                <w:szCs w:val="14"/>
                <w14:textFill>
                  <w14:solidFill>
                    <w14:schemeClr w14:val="tx1"/>
                  </w14:solidFill>
                </w14:textFill>
              </w:rPr>
              <w:t>型编织袋挡墙2015m、防雨布33300m²、撒播植草3.33hm²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484"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1487" w:type="dxa"/>
            <w:gridSpan w:val="3"/>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投资(万元)</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1045.22（新增160.95）</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4441.24（新增4.50）</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150.84（新增150.84）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水土保持总投资(万元)</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5872.88(新增551.87)</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独立费用(万元)</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87.70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监理费(万元)</w:t>
            </w:r>
          </w:p>
        </w:tc>
        <w:tc>
          <w:tcPr>
            <w:tcW w:w="1275"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10.60</w:t>
            </w:r>
          </w:p>
        </w:tc>
        <w:tc>
          <w:tcPr>
            <w:tcW w:w="1134"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监测费(万元)</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51.14</w:t>
            </w:r>
          </w:p>
        </w:tc>
        <w:tc>
          <w:tcPr>
            <w:tcW w:w="1134"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补偿费(</w:t>
            </w:r>
            <w:r>
              <w:rPr>
                <w:rFonts w:hint="eastAsia" w:ascii="Times New Roman" w:hAnsi="Times New Roman" w:eastAsia="仿宋" w:cs="Times New Roman"/>
                <w:color w:val="000000" w:themeColor="text1"/>
                <w:kern w:val="0"/>
                <w:sz w:val="14"/>
                <w:szCs w:val="14"/>
                <w:lang w:val="en-US" w:eastAsia="zh-CN"/>
                <w14:textFill>
                  <w14:solidFill>
                    <w14:schemeClr w14:val="tx1"/>
                  </w14:solidFill>
                </w14:textFill>
              </w:rPr>
              <w:t>万</w:t>
            </w:r>
            <w:r>
              <w:rPr>
                <w:rFonts w:ascii="Times New Roman" w:hAnsi="Times New Roman" w:eastAsia="仿宋" w:cs="Times New Roman"/>
                <w:color w:val="000000" w:themeColor="text1"/>
                <w:kern w:val="0"/>
                <w:sz w:val="14"/>
                <w:szCs w:val="14"/>
                <w14:textFill>
                  <w14:solidFill>
                    <w14:schemeClr w14:val="tx1"/>
                  </w14:solidFill>
                </w14:textFill>
              </w:rPr>
              <w:t>元)</w:t>
            </w:r>
          </w:p>
        </w:tc>
        <w:tc>
          <w:tcPr>
            <w:tcW w:w="992" w:type="dxa"/>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color w:val="000000" w:themeColor="text1"/>
                <w:kern w:val="0"/>
                <w:sz w:val="14"/>
                <w:szCs w:val="14"/>
                <w:lang w:val="en-US" w:eastAsia="zh-CN"/>
                <w14:textFill>
                  <w14:solidFill>
                    <w14:schemeClr w14:val="tx1"/>
                  </w14:solidFill>
                </w14:textFill>
              </w:rPr>
            </w:pPr>
            <w:r>
              <w:rPr>
                <w:rFonts w:hint="eastAsia" w:ascii="Times New Roman" w:hAnsi="Times New Roman" w:eastAsia="仿宋" w:cs="Times New Roman"/>
                <w:color w:val="000000" w:themeColor="text1"/>
                <w:kern w:val="0"/>
                <w:sz w:val="14"/>
                <w:szCs w:val="14"/>
                <w:lang w:val="en-US" w:eastAsia="zh-CN"/>
                <w14:textFill>
                  <w14:solidFill>
                    <w14:schemeClr w14:val="tx1"/>
                  </w14:solidFill>
                </w14:textFill>
              </w:rPr>
              <w:t>69.43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方案编制单位</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中煤科工重庆设计研究院（集团）有限公司</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建设单位</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重庆城投基础设施建设有限公司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法定代表人</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薛巍</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法定代表人</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曾志凯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地址</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重庆市渝中区长江二路179号</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地址</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重庆市渝中区中山三路128号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邮编</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400016</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邮编</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vMerge w:val="restart"/>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联系人及电话</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安丽芹/19</w:t>
            </w:r>
            <w:r>
              <w:rPr>
                <w:rFonts w:hint="eastAsia" w:eastAsia="仿宋" w:cs="Times New Roman"/>
                <w:color w:val="000000" w:themeColor="text1"/>
                <w:kern w:val="0"/>
                <w:sz w:val="14"/>
                <w:szCs w:val="14"/>
                <w:lang w:val="en-US" w:eastAsia="zh-CN"/>
                <w14:textFill>
                  <w14:solidFill>
                    <w14:schemeClr w14:val="tx1"/>
                  </w14:solidFill>
                </w14:textFill>
              </w:rPr>
              <w:t>***</w:t>
            </w:r>
            <w:r>
              <w:rPr>
                <w:rFonts w:ascii="Times New Roman" w:hAnsi="Times New Roman" w:eastAsia="仿宋" w:cs="Times New Roman"/>
                <w:color w:val="000000" w:themeColor="text1"/>
                <w:kern w:val="0"/>
                <w:sz w:val="14"/>
                <w:szCs w:val="14"/>
                <w14:textFill>
                  <w14:solidFill>
                    <w14:schemeClr w14:val="tx1"/>
                  </w14:solidFill>
                </w14:textFill>
              </w:rPr>
              <w:t>65</w:t>
            </w:r>
          </w:p>
        </w:tc>
        <w:tc>
          <w:tcPr>
            <w:tcW w:w="2551" w:type="dxa"/>
            <w:gridSpan w:val="2"/>
            <w:vMerge w:val="restart"/>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联系人及电话</w:t>
            </w:r>
          </w:p>
        </w:tc>
        <w:tc>
          <w:tcPr>
            <w:tcW w:w="2126" w:type="dxa"/>
            <w:gridSpan w:val="2"/>
            <w:vMerge w:val="restart"/>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杨哲/13</w:t>
            </w:r>
            <w:r>
              <w:rPr>
                <w:rFonts w:hint="eastAsia" w:eastAsia="仿宋" w:cs="Times New Roman"/>
                <w:color w:val="000000" w:themeColor="text1"/>
                <w:kern w:val="0"/>
                <w:sz w:val="14"/>
                <w:szCs w:val="14"/>
                <w:lang w:val="en-US" w:eastAsia="zh-CN"/>
                <w14:textFill>
                  <w14:solidFill>
                    <w14:schemeClr w14:val="tx1"/>
                  </w14:solidFill>
                </w14:textFill>
              </w:rPr>
              <w:t>***</w:t>
            </w:r>
            <w:r>
              <w:rPr>
                <w:rFonts w:ascii="Times New Roman" w:hAnsi="Times New Roman" w:eastAsia="仿宋" w:cs="Times New Roman"/>
                <w:color w:val="000000" w:themeColor="text1"/>
                <w:kern w:val="0"/>
                <w:sz w:val="14"/>
                <w:szCs w:val="14"/>
                <w14:textFill>
                  <w14:solidFill>
                    <w14:schemeClr w14:val="tx1"/>
                  </w14:solidFill>
                </w14:textFill>
              </w:rPr>
              <w:t>087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023-68</w:t>
            </w:r>
            <w:r>
              <w:rPr>
                <w:rFonts w:hint="eastAsia" w:eastAsia="仿宋" w:cs="Times New Roman"/>
                <w:color w:val="000000" w:themeColor="text1"/>
                <w:kern w:val="0"/>
                <w:sz w:val="14"/>
                <w:szCs w:val="14"/>
                <w:lang w:val="en-US" w:eastAsia="zh-CN"/>
                <w14:textFill>
                  <w14:solidFill>
                    <w14:schemeClr w14:val="tx1"/>
                  </w14:solidFill>
                </w14:textFill>
              </w:rPr>
              <w:t>***</w:t>
            </w:r>
            <w:r>
              <w:rPr>
                <w:rFonts w:ascii="Times New Roman" w:hAnsi="Times New Roman" w:eastAsia="仿宋" w:cs="Times New Roman"/>
                <w:color w:val="000000" w:themeColor="text1"/>
                <w:kern w:val="0"/>
                <w:sz w:val="14"/>
                <w:szCs w:val="14"/>
                <w14:textFill>
                  <w14:solidFill>
                    <w14:schemeClr w14:val="tx1"/>
                  </w14:solidFill>
                </w14:textFill>
              </w:rPr>
              <w:t>41</w:t>
            </w:r>
          </w:p>
        </w:tc>
        <w:tc>
          <w:tcPr>
            <w:tcW w:w="2551" w:type="dxa"/>
            <w:gridSpan w:val="2"/>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c>
          <w:tcPr>
            <w:tcW w:w="2126" w:type="dxa"/>
            <w:gridSpan w:val="2"/>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ascii="Times New Roman" w:hAnsi="Times New Roman" w:eastAsia="仿宋" w:cs="Times New Roman"/>
                <w:color w:val="000000" w:themeColor="text1"/>
                <w:kern w:val="0"/>
                <w:sz w:val="14"/>
                <w:szCs w:val="1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传真</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（023）68</w:t>
            </w:r>
            <w:r>
              <w:rPr>
                <w:rFonts w:hint="eastAsia" w:eastAsia="仿宋" w:cs="Times New Roman"/>
                <w:color w:val="000000" w:themeColor="text1"/>
                <w:kern w:val="0"/>
                <w:sz w:val="14"/>
                <w:szCs w:val="14"/>
                <w:lang w:val="en-US" w:eastAsia="zh-CN"/>
                <w14:textFill>
                  <w14:solidFill>
                    <w14:schemeClr w14:val="tx1"/>
                  </w14:solidFill>
                </w14:textFill>
              </w:rPr>
              <w:t>***</w:t>
            </w:r>
            <w:r>
              <w:rPr>
                <w:rFonts w:ascii="Times New Roman" w:hAnsi="Times New Roman" w:eastAsia="仿宋" w:cs="Times New Roman"/>
                <w:color w:val="000000" w:themeColor="text1"/>
                <w:kern w:val="0"/>
                <w:sz w:val="14"/>
                <w:szCs w:val="14"/>
                <w14:textFill>
                  <w14:solidFill>
                    <w14:schemeClr w14:val="tx1"/>
                  </w14:solidFill>
                </w14:textFill>
              </w:rPr>
              <w:t>84</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传真</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7" w:hRule="atLeast"/>
        </w:trPr>
        <w:tc>
          <w:tcPr>
            <w:tcW w:w="1971" w:type="dxa"/>
            <w:gridSpan w:val="4"/>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电子信箱</w:t>
            </w:r>
          </w:p>
        </w:tc>
        <w:tc>
          <w:tcPr>
            <w:tcW w:w="2409"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71</w:t>
            </w:r>
            <w:r>
              <w:rPr>
                <w:rFonts w:hint="eastAsia" w:eastAsia="仿宋" w:cs="Times New Roman"/>
                <w:color w:val="000000" w:themeColor="text1"/>
                <w:kern w:val="0"/>
                <w:sz w:val="14"/>
                <w:szCs w:val="14"/>
                <w:lang w:val="en-US" w:eastAsia="zh-CN"/>
                <w14:textFill>
                  <w14:solidFill>
                    <w14:schemeClr w14:val="tx1"/>
                  </w14:solidFill>
                </w14:textFill>
              </w:rPr>
              <w:t>***</w:t>
            </w:r>
            <w:r>
              <w:rPr>
                <w:rFonts w:ascii="Times New Roman" w:hAnsi="Times New Roman" w:eastAsia="仿宋" w:cs="Times New Roman"/>
                <w:color w:val="000000" w:themeColor="text1"/>
                <w:kern w:val="0"/>
                <w:sz w:val="14"/>
                <w:szCs w:val="14"/>
                <w14:textFill>
                  <w14:solidFill>
                    <w14:schemeClr w14:val="tx1"/>
                  </w14:solidFill>
                </w14:textFill>
              </w:rPr>
              <w:t>16@qq.com</w:t>
            </w:r>
          </w:p>
        </w:tc>
        <w:tc>
          <w:tcPr>
            <w:tcW w:w="2551"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电子信箱</w:t>
            </w:r>
          </w:p>
        </w:tc>
        <w:tc>
          <w:tcPr>
            <w:tcW w:w="2126" w:type="dxa"/>
            <w:gridSpan w:val="2"/>
            <w:shd w:val="clear" w:color="auto" w:fill="auto"/>
            <w:noWrap/>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eastAsia="仿宋" w:cs="Times New Roman"/>
                <w:color w:val="000000" w:themeColor="text1"/>
                <w:kern w:val="0"/>
                <w:sz w:val="14"/>
                <w:szCs w:val="14"/>
                <w14:textFill>
                  <w14:solidFill>
                    <w14:schemeClr w14:val="tx1"/>
                  </w14:solidFill>
                </w14:textFill>
              </w:rPr>
            </w:pPr>
            <w:r>
              <w:rPr>
                <w:rFonts w:ascii="Times New Roman" w:hAnsi="Times New Roman" w:eastAsia="仿宋" w:cs="Times New Roman"/>
                <w:color w:val="000000" w:themeColor="text1"/>
                <w:kern w:val="0"/>
                <w:sz w:val="14"/>
                <w:szCs w:val="14"/>
                <w14:textFill>
                  <w14:solidFill>
                    <w14:schemeClr w14:val="tx1"/>
                  </w14:solidFill>
                </w14:textFill>
              </w:rPr>
              <w:t>72</w:t>
            </w:r>
            <w:r>
              <w:rPr>
                <w:rFonts w:hint="eastAsia" w:eastAsia="仿宋" w:cs="Times New Roman"/>
                <w:color w:val="000000" w:themeColor="text1"/>
                <w:kern w:val="0"/>
                <w:sz w:val="14"/>
                <w:szCs w:val="14"/>
                <w:lang w:val="en-US" w:eastAsia="zh-CN"/>
                <w14:textFill>
                  <w14:solidFill>
                    <w14:schemeClr w14:val="tx1"/>
                  </w14:solidFill>
                </w14:textFill>
              </w:rPr>
              <w:t>***</w:t>
            </w:r>
            <w:bookmarkStart w:id="0" w:name="_GoBack"/>
            <w:bookmarkEnd w:id="0"/>
            <w:r>
              <w:rPr>
                <w:rFonts w:ascii="Times New Roman" w:hAnsi="Times New Roman" w:eastAsia="仿宋" w:cs="Times New Roman"/>
                <w:color w:val="000000" w:themeColor="text1"/>
                <w:kern w:val="0"/>
                <w:sz w:val="14"/>
                <w:szCs w:val="14"/>
                <w14:textFill>
                  <w14:solidFill>
                    <w14:schemeClr w14:val="tx1"/>
                  </w14:solidFill>
                </w14:textFill>
              </w:rPr>
              <w:t>60@qq.com</w:t>
            </w:r>
          </w:p>
        </w:tc>
      </w:tr>
    </w:tbl>
    <w:p>
      <w:pPr>
        <w:adjustRightInd w:val="0"/>
        <w:snapToGrid w:val="0"/>
        <w:spacing w:line="594"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eastAsia="方正黑体_GBK" w:cs="Times New Roman"/>
          <w:color w:val="auto"/>
          <w:sz w:val="32"/>
          <w:szCs w:val="32"/>
          <w:lang w:val="en-US" w:eastAsia="zh-CN"/>
        </w:rPr>
        <w:t>2</w:t>
      </w:r>
    </w:p>
    <w:p>
      <w:pPr>
        <w:adjustRightInd w:val="0"/>
        <w:snapToGrid w:val="0"/>
        <w:spacing w:line="594" w:lineRule="exact"/>
        <w:jc w:val="center"/>
        <w:rPr>
          <w:rFonts w:hint="eastAsia" w:ascii="Times New Roman" w:hAnsi="Times New Roman" w:eastAsia="方正小标宋_GBK" w:cs="Times New Roman"/>
          <w:bCs/>
          <w:color w:val="auto"/>
          <w:sz w:val="44"/>
          <w:szCs w:val="44"/>
          <w:lang w:eastAsia="zh-CN"/>
        </w:rPr>
      </w:pPr>
    </w:p>
    <w:p>
      <w:pPr>
        <w:adjustRightInd w:val="0"/>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六纵线（六横线至三环高速段）</w:t>
      </w:r>
      <w:r>
        <w:rPr>
          <w:rFonts w:ascii="Times New Roman" w:hAnsi="Times New Roman" w:eastAsia="方正小标宋_GBK" w:cs="Times New Roman"/>
          <w:color w:val="auto"/>
          <w:sz w:val="44"/>
          <w:szCs w:val="44"/>
        </w:rPr>
        <w:t>水土保持方案报告书专家评审意见</w:t>
      </w:r>
    </w:p>
    <w:p>
      <w:pPr>
        <w:adjustRightInd w:val="0"/>
        <w:snapToGrid w:val="0"/>
        <w:spacing w:line="594" w:lineRule="exact"/>
        <w:jc w:val="center"/>
        <w:rPr>
          <w:rFonts w:ascii="Times New Roman" w:hAnsi="Times New Roman" w:eastAsia="方正小标宋_GBK" w:cs="Times New Roman"/>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2023年</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lang w:eastAsia="zh-CN"/>
        </w:rPr>
        <w:t>月</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日，重庆市水利局组织召开了《六纵线（六横线至三环高速段）水土保持方案报告书》（以下简称《水保方案》）专家评审会。渝北区水利局、两江新区城市管理局、重庆城投基础设施建设有限公司（项目法人）、天津市政工程设计研究总院有限公司（主体设计单位）、中煤科工重庆设计研究院（集团）有限公司（报告编制单位）的领导、代表及评审专家参加了会议。会议成立了专家组，专家组成员会前详细审阅了《水保方案》，与会人员会上认真听取了报告编制单位的汇报，进行了深入讨论。</w:t>
      </w:r>
      <w:r>
        <w:rPr>
          <w:rFonts w:hint="eastAsia" w:ascii="Times New Roman" w:hAnsi="Times New Roman" w:eastAsia="方正仿宋_GBK" w:cs="Times New Roman"/>
          <w:color w:val="auto"/>
          <w:sz w:val="32"/>
          <w:szCs w:val="32"/>
        </w:rPr>
        <w:t>根据“渝水〔2018〕267号”、“水保监〔2020〕63号”和“渝水规范〔2021〕2号”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方正仿宋_GBK"/>
          <w:color w:val="auto"/>
          <w:sz w:val="32"/>
          <w:szCs w:val="32"/>
          <w:lang w:eastAsia="zh-CN"/>
        </w:rPr>
        <w:t>各专家对《水保方案》进行了质量评分，质量评定等级合格。报告编制单位会后对《水保方案》进行了修改、补充和完善，项目法人于2023年7月17日提交了修改完善后的《水保方案》（报批搞）。经专家组复核，形成专家评审意见如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lang w:eastAsia="zh-CN"/>
        </w:rPr>
      </w:pPr>
      <w:r>
        <w:rPr>
          <w:rFonts w:hint="eastAsia" w:ascii="Times New Roman" w:hAnsi="Times New Roman" w:eastAsia="方正黑体_GBK" w:cs="方正黑体_GBK"/>
          <w:bCs/>
          <w:color w:val="auto"/>
          <w:sz w:val="32"/>
          <w:szCs w:val="32"/>
        </w:rPr>
        <w:t>一、</w:t>
      </w:r>
      <w:r>
        <w:rPr>
          <w:rFonts w:hint="eastAsia" w:ascii="Times New Roman" w:hAnsi="Times New Roman" w:eastAsia="方正黑体_GBK" w:cs="方正黑体_GBK"/>
          <w:bCs/>
          <w:color w:val="auto"/>
          <w:sz w:val="32"/>
          <w:szCs w:val="32"/>
          <w:lang w:eastAsia="zh-CN"/>
        </w:rPr>
        <w:t>综合说明</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（一）方案编制所依据的法律法规、部委规章、规范性文件、标准规范、技术文件及采用的资料基本正确。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（二）同意方案设计水平年为2025年。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（三）同意水土流失防治责任范围界定，该项目水土流失防治责任范围面积为49.59hm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（四）同意项目水土流失防治标准等级执行西南紫色土区建设类项目一级标准。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（五）同意项目水土流失防治目标。其中：水土流失治理度97%，土壤流失控制比1.0，渣土防护率94%，表土保护率92%，林草植被恢复率97%，林草覆盖率27%。</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二、项目概况</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（一）项目概况阐述基本清楚。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六纵线（六横线至三环高速段）位于两江新区龙兴工业园区的西北侧，起点接观音堂立交（不含），沿铜锣山东侧自南向北布线，终点接双桥立交（不含），线路全长约4.8km，其中桩号K0+000~K2+760段主线在两江新区龙兴工业园内，桩号K2+760~K4+804.28段主线在渝北区石船镇。道路等级为城市快速路，设计速度80km/h，主线双向8车道，标准路幅宽度36m，沿线含战旗立交、马道子立交等2座立交（立交为远期工程，只预留实施条件，不在本次实施范围内）。工程建设内容包括道路工程、桥梁工程、结构工程、交通工程、给排水工程、照明工程、绿化工程等。</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根据项目组成划分，主要包括路基工程、桥梁工程、改河工程等。路基工程主要包括主线道路和还建道路</w:t>
      </w:r>
      <w:r>
        <w:rPr>
          <w:rFonts w:hint="eastAsia" w:ascii="Times New Roman" w:hAnsi="Times New Roman" w:eastAsia="方正仿宋_GBK" w:cs="方正仿宋_GBK"/>
          <w:color w:val="auto"/>
          <w:sz w:val="32"/>
          <w:szCs w:val="32"/>
          <w:lang w:val="en-US" w:eastAsia="zh-CN"/>
        </w:rPr>
        <w:t>7条</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1318；桥梁工程主要包括主线桥梁4座和还改道路桥2座；改河工程主要是对现状溪门口河道改道，新建明渠长595</w:t>
      </w:r>
      <w:r>
        <w:rPr>
          <w:rFonts w:hint="eastAsia" w:ascii="Times New Roman" w:hAnsi="Times New Roman" w:eastAsia="方正仿宋_GBK" w:cs="方正仿宋_GBK"/>
          <w:color w:val="auto"/>
          <w:sz w:val="32"/>
          <w:szCs w:val="32"/>
        </w:rPr>
        <w:t>m</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因施工需要，设置施工场地2处和表土堆场7处。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工程总占地面积49.59hm²，其中：永久占地46.26hm²，临时占地3.33hm²。工程总挖方133.77万m³，填方196.01万m³，借方97.56万m³，弃方35.32万m³。弃方拟全部外运至长寿区重庆瑜彦绿环矿业有限公司石灰岩矿和重庆市长寿区业驰石材有限公司石灰岩矿项目废弃矿坑回填。借方通过接纳龙兴工业园弃土来实现。工程计划2023年9月开工，2025年08月完工，总工期24个月。工程总投资135987万元，其中土建投资57662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color w:val="auto"/>
          <w:sz w:val="32"/>
          <w:szCs w:val="32"/>
        </w:rPr>
        <w:t>（二）项目区地形地貌、地质、气象、水文、土壤、植被等情况阐述较为清楚</w:t>
      </w:r>
      <w:r>
        <w:rPr>
          <w:rFonts w:hint="eastAsia" w:ascii="Times New Roman" w:hAnsi="Times New Roman" w:eastAsia="方正仿宋_GBK" w:cs="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三、项目水土保持评价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（一）基本同意对主体工程选址（线）的水土保持评价。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（二）基本同意对工程建设方案与布局、工程占地、土石方平衡、施工方法及工艺的水土保持评价。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（三）基本同意对主体工程设计中水土保持措施的评价及界定。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四、水土流失分析与预测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（一）工程建设扰动地表面积49.59hm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，损坏植被面积23.51hm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，弃方弃方35.32万m³。</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（二）基本同意土壤流失量预测结果。工程建设可能产生水土流失总量8144t，新增水土流失量7174t。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FF0000"/>
          <w:sz w:val="32"/>
          <w:szCs w:val="32"/>
        </w:rPr>
      </w:pPr>
      <w:r>
        <w:rPr>
          <w:rFonts w:hint="eastAsia" w:ascii="Times New Roman" w:hAnsi="Times New Roman" w:eastAsia="方正仿宋_GBK" w:cs="方正仿宋_GBK"/>
          <w:color w:val="auto"/>
          <w:sz w:val="32"/>
          <w:szCs w:val="32"/>
        </w:rPr>
        <w:t>（三）基本同意水土流失的危害分析和指导性意见。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五、水土保持措施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（一）基本同意项目划分为路基工程、桥梁工程、改河工程和表土堆场共4个水土流失一级防治分区。其中</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路基工程防治区划分为主线道路和还建道路2个水土流失防治</w:t>
      </w:r>
      <w:r>
        <w:rPr>
          <w:rFonts w:hint="eastAsia" w:ascii="Times New Roman" w:hAnsi="Times New Roman" w:eastAsia="方正仿宋_GBK" w:cs="方正仿宋_GBK"/>
          <w:bCs/>
          <w:color w:val="auto"/>
          <w:sz w:val="32"/>
          <w:szCs w:val="32"/>
          <w:lang w:eastAsia="zh-CN"/>
        </w:rPr>
        <w:t>亚</w:t>
      </w:r>
      <w:r>
        <w:rPr>
          <w:rFonts w:hint="eastAsia" w:ascii="Times New Roman" w:hAnsi="Times New Roman" w:eastAsia="方正仿宋_GBK" w:cs="方正仿宋_GBK"/>
          <w:bCs/>
          <w:color w:val="auto"/>
          <w:sz w:val="32"/>
          <w:szCs w:val="32"/>
        </w:rPr>
        <w:t>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（二）基本同意由主体工程设计的水土保持措施和方案新增的水土保持措施所组成的水土流失防治措施体系。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（三）基本同意各防治区防治措施布局。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1.路基工程防治区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（1）主线道路防治亚区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施工前，对施工扰动范围内可剥离表土进行剥离，并将表土运至表土堆场集中堆存</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施工过程中，在填方边坡坡脚修建排水沟，在挖方边坡坡顶修建截水沟，在截排水沟出口处设置临时沉沙池，在有土石滚落的地段设置填土编织袋临时挡墙</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遇降雨，对施工产生的裸露地表、边坡及临时堆土采用防雨布临时覆盖</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施工后期，及时实施主体设计的雨水管网、边坡防护及景观绿化。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（2）还建道路防治亚区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施工前，对施工扰动范围内可剥离表土进行剥离，并将表土运至表土堆场集中堆存</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施工过程中，遇降雨，对施工形成的裸露边坡、裸露地表和临时堆放土石方采用防雨布临时覆盖</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在还建道路相邻河道和桥梁一侧填方边坡坡脚设置临时排水沟和临时沉沙池</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施工后期，及时实施填方边坡挂网喷播植草，挖方边坡锚杆格构植草、土工格式植草防护等措施。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2. 桥梁工程防治区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施工前，对施工扰动范围内可剥离表土进行剥离，并将表土运至表土堆放场集中堆存</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施工过程中，在桥梁工程区周边设置临时排水沟排水和临时沉沙池</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桥梁桩基施工期间，在两组桥墩之间设置临时沉浆池收集晾晒泥浆</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遇降雨，对施工形成的裸露地表、临时堆放土石方采用防雨布临时覆盖</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施工后期，对施工扰动区域进行土地整治，然后撒播草籽绿化。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3. 改河工程防治区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施工前，对施工扰动范围内可剥离表土进行剥离，并将表土运至表土堆放场集中堆存</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施工过程中，对施工形成的裸露岸坡、裸露地表和临时堆土采用防雨布临时覆盖</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施工后期，及时实施岸坡格构+土工袋植草防护、渠顶花坛绿化以及渠背植草护坡等。</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4. 表土堆场防治区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堆土前，在表土堆场周边设置填土编织袋临时挡墙，在挡墙外侧设置临时排水沟和临时沉沙池</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表土堆放过程中，采用防雨布临时覆盖。表土堆放完成后，在表土表面撒播草籽进行临时绿化；表土取用后，对堆放场地进行土地整治，然后复耕或绿化。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lang w:val="en-US" w:eastAsia="zh-CN"/>
        </w:rPr>
      </w:pPr>
      <w:r>
        <w:rPr>
          <w:rFonts w:hint="eastAsia" w:ascii="Times New Roman" w:hAnsi="Times New Roman" w:eastAsia="方正仿宋_GBK" w:cs="方正仿宋_GBK"/>
          <w:bCs/>
          <w:color w:val="auto"/>
          <w:sz w:val="32"/>
          <w:szCs w:val="32"/>
        </w:rPr>
        <w:t>（四）水土保持施工组织设计基本可行</w:t>
      </w:r>
      <w:r>
        <w:rPr>
          <w:rFonts w:hint="eastAsia" w:ascii="Times New Roman" w:hAnsi="Times New Roman"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六、水土保持监测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水土保持监测方案基本可行。</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七、水土保持投资估算及效益分析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（二）经审核，该工程水土保持方案工程静态总投资5872.88万元，其中：主体已列</w:t>
      </w:r>
      <w:r>
        <w:rPr>
          <w:rFonts w:hint="eastAsia" w:ascii="Times New Roman" w:hAnsi="Times New Roman" w:eastAsia="方正仿宋_GBK"/>
          <w:b w:val="0"/>
          <w:bCs/>
          <w:color w:val="000000" w:themeColor="text1"/>
          <w:spacing w:val="0"/>
          <w:w w:val="100"/>
          <w:kern w:val="0"/>
          <w:sz w:val="32"/>
          <w:szCs w:val="32"/>
          <w:lang w:bidi="ar"/>
          <w14:textFill>
            <w14:solidFill>
              <w14:schemeClr w14:val="tx1"/>
            </w14:solidFill>
          </w14:textFill>
        </w:rPr>
        <w:t>投资</w:t>
      </w:r>
      <w:r>
        <w:rPr>
          <w:rFonts w:hint="eastAsia" w:ascii="Times New Roman" w:hAnsi="Times New Roman" w:eastAsia="方正仿宋_GBK" w:cs="方正仿宋_GBK"/>
          <w:color w:val="auto"/>
          <w:sz w:val="32"/>
          <w:szCs w:val="32"/>
        </w:rPr>
        <w:t>5321.01万元，方案新增</w:t>
      </w:r>
      <w:r>
        <w:rPr>
          <w:rFonts w:hint="eastAsia" w:ascii="Times New Roman" w:hAnsi="Times New Roman" w:eastAsia="方正仿宋_GBK"/>
          <w:b w:val="0"/>
          <w:bCs/>
          <w:color w:val="000000" w:themeColor="text1"/>
          <w:spacing w:val="0"/>
          <w:w w:val="100"/>
          <w:kern w:val="0"/>
          <w:sz w:val="32"/>
          <w:szCs w:val="32"/>
          <w:lang w:bidi="ar"/>
          <w14:textFill>
            <w14:solidFill>
              <w14:schemeClr w14:val="tx1"/>
            </w14:solidFill>
          </w14:textFill>
        </w:rPr>
        <w:t>投资</w:t>
      </w:r>
      <w:r>
        <w:rPr>
          <w:rFonts w:hint="eastAsia" w:ascii="Times New Roman" w:hAnsi="Times New Roman" w:eastAsia="方正仿宋_GBK" w:cs="方正仿宋_GBK"/>
          <w:color w:val="auto"/>
          <w:sz w:val="32"/>
          <w:szCs w:val="32"/>
        </w:rPr>
        <w:t>551.87万元（其中：工程措施费160.95万元，植物措施费4.50万元，监测措施费51.14万元，施工临时措施费150.84万元，独立费用87.70万元，基本预备费27.31万元，水土保持补偿费69.43万元），详见附件。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rPr>
        <w:t>（三）效益分析方法正确，分析结果基本合理。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八、水土保持管理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基本同意项目组织管理、后续设计、水土保持监测、水土保持监理、水土保持施工、水土保持设施验收等保障措施和要求。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附件：六纵线（六横线至三环高速段）水土保持投资估算审核表。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仿宋_GBK" w:cs="方正仿宋_GBK"/>
          <w:color w:val="FF0000"/>
          <w:sz w:val="32"/>
          <w:szCs w:val="32"/>
          <w:lang w:eastAsia="zh-CN"/>
        </w:rPr>
      </w:pPr>
    </w:p>
    <w:p>
      <w:pPr>
        <w:snapToGrid w:val="0"/>
        <w:spacing w:line="594" w:lineRule="exact"/>
        <w:ind w:firstLine="640" w:firstLineChars="200"/>
        <w:jc w:val="left"/>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FF0000"/>
          <w:sz w:val="32"/>
          <w:szCs w:val="32"/>
        </w:rPr>
        <w:t xml:space="preserve">               </w:t>
      </w:r>
      <w:r>
        <w:rPr>
          <w:rFonts w:hint="eastAsia" w:ascii="Times New Roman" w:hAnsi="Times New Roman" w:eastAsia="方正仿宋_GBK" w:cs="Times New Roman"/>
          <w:color w:val="FF0000"/>
          <w:sz w:val="32"/>
          <w:szCs w:val="32"/>
          <w:lang w:val="en-US" w:eastAsia="zh-CN"/>
        </w:rPr>
        <w:t xml:space="preserve">    </w:t>
      </w:r>
      <w:r>
        <w:rPr>
          <w:rFonts w:ascii="Times New Roman" w:hAnsi="Times New Roman" w:eastAsia="方正仿宋_GBK" w:cs="Times New Roman"/>
          <w:color w:val="FF0000"/>
          <w:sz w:val="32"/>
          <w:szCs w:val="32"/>
        </w:rPr>
        <w:t xml:space="preserve"> </w:t>
      </w:r>
      <w:r>
        <w:rPr>
          <w:rFonts w:hint="eastAsia" w:ascii="Times New Roman" w:hAnsi="Times New Roman" w:eastAsia="方正仿宋_GBK" w:cs="Times New Roman"/>
          <w:color w:val="auto"/>
          <w:sz w:val="32"/>
          <w:szCs w:val="32"/>
          <w:lang w:val="en-US" w:eastAsia="zh-CN"/>
        </w:rPr>
        <w:t xml:space="preserve">   </w:t>
      </w:r>
    </w:p>
    <w:p>
      <w:pPr>
        <w:snapToGrid w:val="0"/>
        <w:spacing w:line="594" w:lineRule="exact"/>
        <w:ind w:firstLine="640" w:firstLineChars="200"/>
        <w:jc w:val="left"/>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drawing>
          <wp:anchor distT="0" distB="0" distL="114300" distR="114300" simplePos="0" relativeHeight="251659264" behindDoc="1" locked="0" layoutInCell="1" allowOverlap="1">
            <wp:simplePos x="0" y="0"/>
            <wp:positionH relativeFrom="column">
              <wp:posOffset>4091305</wp:posOffset>
            </wp:positionH>
            <wp:positionV relativeFrom="paragraph">
              <wp:posOffset>80645</wp:posOffset>
            </wp:positionV>
            <wp:extent cx="907415" cy="518795"/>
            <wp:effectExtent l="0" t="0" r="6985" b="14605"/>
            <wp:wrapNone/>
            <wp:docPr id="1" name="图片 6" descr="唐继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唐继斗"/>
                    <pic:cNvPicPr>
                      <a:picLocks noChangeAspect="true"/>
                    </pic:cNvPicPr>
                  </pic:nvPicPr>
                  <pic:blipFill>
                    <a:blip r:embed="rId6"/>
                    <a:srcRect l="3316" t="9323"/>
                    <a:stretch>
                      <a:fillRect/>
                    </a:stretch>
                  </pic:blipFill>
                  <pic:spPr>
                    <a:xfrm>
                      <a:off x="0" y="0"/>
                      <a:ext cx="907415" cy="518795"/>
                    </a:xfrm>
                    <a:prstGeom prst="rect">
                      <a:avLst/>
                    </a:prstGeom>
                    <a:noFill/>
                    <a:ln>
                      <a:noFill/>
                    </a:ln>
                  </pic:spPr>
                </pic:pic>
              </a:graphicData>
            </a:graphic>
          </wp:anchor>
        </w:drawing>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专家组组长：</w:t>
      </w:r>
    </w:p>
    <w:p>
      <w:pPr>
        <w:snapToGrid w:val="0"/>
        <w:spacing w:line="594" w:lineRule="exact"/>
        <w:ind w:firstLine="5120" w:firstLineChars="1600"/>
        <w:jc w:val="both"/>
        <w:rPr>
          <w:rFonts w:ascii="Times New Roman" w:hAnsi="Times New Roman" w:eastAsia="方正仿宋_GBK" w:cs="Times New Roman"/>
          <w:color w:val="auto"/>
          <w:sz w:val="32"/>
          <w:szCs w:val="32"/>
        </w:rPr>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linePitch="381" w:charSpace="0"/>
        </w:sectPr>
      </w:pPr>
      <w:r>
        <w:rPr>
          <w:rFonts w:ascii="Times New Roman" w:hAnsi="Times New Roman" w:eastAsia="方正仿宋_GBK" w:cs="Times New Roman"/>
          <w:color w:val="auto"/>
          <w:sz w:val="32"/>
          <w:szCs w:val="32"/>
        </w:rPr>
        <w:t>2023年</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19</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hint="eastAsia" w:ascii="Times New Roman" w:hAnsi="Times New Roman" w:eastAsia="方正黑体_GBK" w:cs="方正黑体_GBK"/>
          <w:b w:val="0"/>
          <w:bCs w:val="0"/>
          <w:color w:val="auto"/>
          <w:w w:val="100"/>
          <w:sz w:val="32"/>
          <w:szCs w:val="32"/>
          <w:lang w:val="en-US" w:eastAsia="zh-CN"/>
        </w:rPr>
        <w:t>附件</w:t>
      </w:r>
    </w:p>
    <w:p>
      <w:pPr>
        <w:spacing w:line="594" w:lineRule="exact"/>
        <w:jc w:val="center"/>
        <w:rPr>
          <w:rFonts w:hint="eastAsia" w:ascii="Times New Roman" w:hAnsi="Times New Roman" w:eastAsia="方正小标宋_GBK" w:cs="方正小标宋_GBK"/>
          <w:b w:val="0"/>
          <w:bCs w:val="0"/>
          <w:color w:val="auto"/>
          <w:spacing w:val="-20"/>
          <w:w w:val="100"/>
          <w:sz w:val="36"/>
          <w:szCs w:val="36"/>
          <w:lang w:eastAsia="zh-CN"/>
        </w:rPr>
      </w:pPr>
      <w:r>
        <w:rPr>
          <w:rFonts w:hint="eastAsia" w:ascii="Times New Roman" w:hAnsi="Times New Roman" w:eastAsia="方正小标宋_GBK" w:cs="方正小标宋_GBK"/>
          <w:b w:val="0"/>
          <w:bCs w:val="0"/>
          <w:color w:val="auto"/>
          <w:spacing w:val="-20"/>
          <w:w w:val="100"/>
          <w:sz w:val="36"/>
          <w:szCs w:val="36"/>
          <w:lang w:eastAsia="zh-CN"/>
        </w:rPr>
        <w:t>六纵线（六横线至三环高速段）水土保持方案投资估算审核表</w:t>
      </w:r>
    </w:p>
    <w:p>
      <w:pPr>
        <w:keepNext w:val="0"/>
        <w:keepLines w:val="0"/>
        <w:widowControl/>
        <w:suppressLineNumbers w:val="0"/>
        <w:jc w:val="righ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单位：万元</w:t>
      </w:r>
    </w:p>
    <w:tbl>
      <w:tblPr>
        <w:tblStyle w:val="17"/>
        <w:tblW w:w="5259" w:type="pct"/>
        <w:jc w:val="center"/>
        <w:tblLayout w:type="autofit"/>
        <w:tblCellMar>
          <w:top w:w="0" w:type="dxa"/>
          <w:left w:w="0" w:type="dxa"/>
          <w:bottom w:w="0" w:type="dxa"/>
          <w:right w:w="0" w:type="dxa"/>
        </w:tblCellMar>
      </w:tblPr>
      <w:tblGrid>
        <w:gridCol w:w="482"/>
        <w:gridCol w:w="2653"/>
        <w:gridCol w:w="761"/>
        <w:gridCol w:w="830"/>
        <w:gridCol w:w="1054"/>
        <w:gridCol w:w="950"/>
        <w:gridCol w:w="837"/>
        <w:gridCol w:w="1048"/>
        <w:gridCol w:w="876"/>
      </w:tblGrid>
      <w:tr>
        <w:trPr>
          <w:trHeight w:val="454" w:hRule="exact"/>
          <w:tblHeader/>
          <w:jc w:val="center"/>
        </w:trPr>
        <w:tc>
          <w:tcPr>
            <w:tcW w:w="25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序号</w:t>
            </w:r>
          </w:p>
        </w:tc>
        <w:tc>
          <w:tcPr>
            <w:tcW w:w="139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工程或费用名称</w:t>
            </w:r>
          </w:p>
        </w:tc>
        <w:tc>
          <w:tcPr>
            <w:tcW w:w="1393" w:type="pct"/>
            <w:gridSpan w:val="3"/>
            <w:tcBorders>
              <w:top w:val="single" w:color="auto" w:sz="4" w:space="0"/>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设计投资</w:t>
            </w:r>
          </w:p>
        </w:tc>
        <w:tc>
          <w:tcPr>
            <w:tcW w:w="1493" w:type="pct"/>
            <w:gridSpan w:val="3"/>
            <w:tcBorders>
              <w:top w:val="single" w:color="auto" w:sz="4" w:space="0"/>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审核投资</w:t>
            </w:r>
          </w:p>
        </w:tc>
        <w:tc>
          <w:tcPr>
            <w:tcW w:w="46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增减</w:t>
            </w:r>
          </w:p>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w:t>
            </w:r>
          </w:p>
        </w:tc>
      </w:tr>
      <w:tr>
        <w:trPr>
          <w:trHeight w:val="636" w:hRule="exact"/>
          <w:tblHeader/>
          <w:jc w:val="center"/>
        </w:trPr>
        <w:tc>
          <w:tcPr>
            <w:tcW w:w="25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方案</w:t>
            </w:r>
          </w:p>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新增</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主体</w:t>
            </w:r>
          </w:p>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已列</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合计</w:t>
            </w:r>
          </w:p>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（万元）</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方案</w:t>
            </w:r>
          </w:p>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新增</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主体</w:t>
            </w:r>
          </w:p>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已列</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合计</w:t>
            </w:r>
          </w:p>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（万元）</w:t>
            </w:r>
          </w:p>
        </w:tc>
        <w:tc>
          <w:tcPr>
            <w:tcW w:w="46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第一部分：工程措施</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160.95</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884.27</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1045.22</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160.95</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884.27</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1045.22</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一</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路基工程防治区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134.21</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884.27</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1018.48</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134.21</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884.27</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1018.48</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二</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桥梁工程防治区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20.98</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20.98</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20.98</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20.98</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三</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改河工程防治区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5.26</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5.26</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5.26</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5.26</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四</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表土堆场防治区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0.50</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0.50</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0.50</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0.50</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第二部分：植物措施</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4.50</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4436.74</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4441.24</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4.50</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4436.74</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4441.24</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39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路基工程防治区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4276.05</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4276.05</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4276.05</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4276.05</w:t>
            </w:r>
          </w:p>
        </w:tc>
        <w:tc>
          <w:tcPr>
            <w:tcW w:w="461"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39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桥梁工程防治区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2.04</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2.04</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2.04</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2.04</w:t>
            </w:r>
          </w:p>
        </w:tc>
        <w:tc>
          <w:tcPr>
            <w:tcW w:w="461"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三</w:t>
            </w:r>
          </w:p>
        </w:tc>
        <w:tc>
          <w:tcPr>
            <w:tcW w:w="139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改河工程防治区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160.69</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160.69</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160.69</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160.69</w:t>
            </w:r>
          </w:p>
        </w:tc>
        <w:tc>
          <w:tcPr>
            <w:tcW w:w="461"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四</w:t>
            </w:r>
          </w:p>
        </w:tc>
        <w:tc>
          <w:tcPr>
            <w:tcW w:w="139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表土堆场防治区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2.46</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2.46</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2.46</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2.46</w:t>
            </w:r>
          </w:p>
        </w:tc>
        <w:tc>
          <w:tcPr>
            <w:tcW w:w="461"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第三部分：监测措施</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51.14</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51.14</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51.14</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51.14</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一</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监测运行费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46.34</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46.34</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46.34</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46.34</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二</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设备费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4.80</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4.80</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4.80</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4.80</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第四部分：施工临时措施</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150.84</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150.84</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150.84</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150.84</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一</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路基工程防治区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60.77</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60.77</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60.77</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60.77</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二</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桥梁工程防治区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6.07</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6.07</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6.07</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6.07</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三</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改河工程防治区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3.01</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3.01</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3.01</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3.01</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四</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表土堆场防治区</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77.68</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77.68</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77.68</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77.68</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五</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其他临时工程</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3.31</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3.31</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3.31</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3.31</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第五部分：独立费用</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87.70</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87.70</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87.70</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87.70</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一</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技术咨询费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67.20</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67.20</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67.20</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67.20</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水土保持方案编制费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17.82</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17.82</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17.82</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17.82</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科研勘测设计费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16.74</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16.74</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16.74</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16.74</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62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水土保持设施验收报告编制费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32.64</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32.64</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32.64</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32.64</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二</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工程管理费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20.50</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20.50</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20.50</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20.50</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建设管理费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7.35</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7.35</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7.35</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7.35</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工程建设监理费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10.60</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10.60</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10.60</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10.60</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val="0"/>
                <w:color w:val="auto"/>
                <w:kern w:val="0"/>
                <w:sz w:val="20"/>
                <w:szCs w:val="20"/>
                <w:lang w:val="en-US" w:eastAsia="zh-CN" w:bidi="ar-SA"/>
              </w:rPr>
            </w:pPr>
            <w:r>
              <w:rPr>
                <w:rFonts w:hint="eastAsia" w:ascii="Times New Roman" w:hAnsi="Times New Roman" w:eastAsia="宋体" w:cs="Times New Roman"/>
                <w:b w:val="0"/>
                <w:bCs w:val="0"/>
                <w:color w:val="auto"/>
                <w:kern w:val="0"/>
                <w:sz w:val="20"/>
                <w:szCs w:val="20"/>
                <w:lang w:val="en-US" w:eastAsia="zh-CN" w:bidi="ar-SA"/>
              </w:rPr>
              <w:t>招标代理服务费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2.55</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2.55</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2.55</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2.55</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kern w:val="0"/>
                <w:sz w:val="20"/>
                <w:szCs w:val="20"/>
                <w:lang w:val="en-US" w:eastAsia="zh-CN" w:bidi="ar-SA"/>
              </w:rPr>
            </w:pPr>
            <w:r>
              <w:rPr>
                <w:rFonts w:hint="default" w:ascii="Times New Roman" w:hAnsi="Times New Roman" w:eastAsia="宋体" w:cs="Times New Roman"/>
                <w:b w:val="0"/>
                <w:bCs w:val="0"/>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Ⅰ</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第一至五部分合计</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455.13</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5321.01</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5776.14</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455.13</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5321.01</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5776.14</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Ⅱ</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基本预备费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27.31</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27.31</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27.31</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27.31</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r>
        <w:trPr>
          <w:trHeight w:val="454" w:hRule="exact"/>
          <w:jc w:val="center"/>
        </w:trPr>
        <w:tc>
          <w:tcPr>
            <w:tcW w:w="254" w:type="pct"/>
            <w:tcBorders>
              <w:top w:val="nil"/>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Ⅲ</w:t>
            </w:r>
          </w:p>
        </w:tc>
        <w:tc>
          <w:tcPr>
            <w:tcW w:w="139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水土保持补偿费</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69.43</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69.43</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69.43</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69.43</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r>
        <w:trPr>
          <w:trHeight w:val="454" w:hRule="exact"/>
          <w:jc w:val="center"/>
        </w:trPr>
        <w:tc>
          <w:tcPr>
            <w:tcW w:w="165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auto"/>
                <w:kern w:val="0"/>
                <w:sz w:val="20"/>
                <w:szCs w:val="20"/>
                <w:lang w:val="en-US" w:eastAsia="zh-CN" w:bidi="ar-SA"/>
              </w:rPr>
            </w:pPr>
            <w:r>
              <w:rPr>
                <w:rFonts w:hint="eastAsia" w:ascii="Times New Roman" w:hAnsi="Times New Roman" w:eastAsia="宋体" w:cs="Times New Roman"/>
                <w:b/>
                <w:bCs/>
                <w:color w:val="auto"/>
                <w:kern w:val="0"/>
                <w:sz w:val="20"/>
                <w:szCs w:val="20"/>
                <w:lang w:val="en-US" w:eastAsia="zh-CN" w:bidi="ar-SA"/>
              </w:rPr>
              <w:t>总投资（Ⅰ+Ⅱ+Ⅲ）</w:t>
            </w:r>
          </w:p>
        </w:tc>
        <w:tc>
          <w:tcPr>
            <w:tcW w:w="40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551.87</w:t>
            </w:r>
          </w:p>
        </w:tc>
        <w:tc>
          <w:tcPr>
            <w:tcW w:w="437"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5321.01</w:t>
            </w:r>
          </w:p>
        </w:tc>
        <w:tc>
          <w:tcPr>
            <w:tcW w:w="555"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5872.88</w:t>
            </w:r>
          </w:p>
        </w:tc>
        <w:tc>
          <w:tcPr>
            <w:tcW w:w="500"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551.87</w:t>
            </w:r>
          </w:p>
        </w:tc>
        <w:tc>
          <w:tcPr>
            <w:tcW w:w="44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5321.01</w:t>
            </w:r>
          </w:p>
        </w:tc>
        <w:tc>
          <w:tcPr>
            <w:tcW w:w="55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5872.88</w:t>
            </w:r>
          </w:p>
        </w:tc>
        <w:tc>
          <w:tcPr>
            <w:tcW w:w="461" w:type="pct"/>
            <w:tcBorders>
              <w:top w:val="nil"/>
              <w:left w:val="nil"/>
              <w:bottom w:val="single" w:color="auto" w:sz="4" w:space="0"/>
              <w:right w:val="single" w:color="auto" w:sz="4" w:space="0"/>
            </w:tcBorders>
            <w:noWrap w:val="0"/>
            <w:vAlign w:val="center"/>
          </w:tcPr>
          <w:p>
            <w:pPr>
              <w:keepNext w:val="0"/>
              <w:keepLines/>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0"/>
                <w:sz w:val="20"/>
                <w:szCs w:val="20"/>
                <w:lang w:val="en-US" w:eastAsia="zh-CN" w:bidi="ar-SA"/>
              </w:rPr>
            </w:pPr>
            <w:r>
              <w:rPr>
                <w:rFonts w:hint="default" w:ascii="Times New Roman" w:hAnsi="Times New Roman" w:eastAsia="宋体" w:cs="Times New Roman"/>
                <w:b/>
                <w:bCs/>
                <w:color w:val="auto"/>
                <w:kern w:val="0"/>
                <w:sz w:val="20"/>
                <w:szCs w:val="20"/>
                <w:lang w:val="en-US" w:eastAsia="zh-CN" w:bidi="ar-SA"/>
              </w:rPr>
              <w:t>0.00</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jc w:val="left"/>
        <w:textAlignment w:val="auto"/>
        <w:outlineLvl w:val="2"/>
        <w:rPr>
          <w:rFonts w:hint="eastAsia" w:ascii="Times New Roman" w:hAnsi="Times New Roman" w:eastAsia="方正仿宋_GBK" w:cs="方正仿宋_GBK"/>
          <w:b/>
          <w:color w:val="FF0000"/>
          <w:kern w:val="0"/>
          <w:sz w:val="32"/>
          <w:szCs w:val="32"/>
          <w:lang w:val="en-US" w:eastAsia="zh-CN" w:bidi="ar-SA"/>
        </w:rPr>
      </w:pPr>
    </w:p>
    <w:p>
      <w:pPr>
        <w:widowControl/>
        <w:jc w:val="both"/>
        <w:rPr>
          <w:rFonts w:hint="eastAsia" w:ascii="宋体" w:hAnsi="宋体" w:cs="Times New Roman"/>
          <w:color w:val="FF0000"/>
          <w:kern w:val="0"/>
          <w:sz w:val="21"/>
          <w:szCs w:val="21"/>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Swis721 B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lang w:eastAsia="zh-CN"/>
                            </w:rPr>
                          </w:pPr>
                          <w:r>
                            <w:rPr>
                              <w:rStyle w:val="19"/>
                              <w:rFonts w:hint="eastAsia" w:asciiTheme="minorEastAsia" w:hAnsiTheme="minorEastAsia" w:eastAsiaTheme="minorEastAsia" w:cstheme="minorEastAsia"/>
                              <w:sz w:val="28"/>
                              <w:szCs w:val="28"/>
                              <w:lang w:eastAsia="zh-CN"/>
                            </w:rPr>
                            <w:t xml:space="preserve">— </w:t>
                          </w:r>
                          <w:r>
                            <w:rPr>
                              <w:rStyle w:val="19"/>
                              <w:rFonts w:hint="eastAsia" w:asciiTheme="minorEastAsia" w:hAnsiTheme="minorEastAsia" w:eastAsiaTheme="minorEastAsia" w:cstheme="minorEastAsia"/>
                              <w:sz w:val="28"/>
                              <w:szCs w:val="28"/>
                              <w:lang w:eastAsia="zh-CN"/>
                            </w:rPr>
                            <w:fldChar w:fldCharType="begin"/>
                          </w:r>
                          <w:r>
                            <w:rPr>
                              <w:rStyle w:val="19"/>
                              <w:rFonts w:hint="eastAsia" w:asciiTheme="minorEastAsia" w:hAnsiTheme="minorEastAsia" w:eastAsiaTheme="minorEastAsia" w:cstheme="minorEastAsia"/>
                              <w:sz w:val="28"/>
                              <w:szCs w:val="28"/>
                              <w:lang w:eastAsia="zh-CN"/>
                            </w:rPr>
                            <w:instrText xml:space="preserve"> PAGE  \* MERGEFORMAT </w:instrText>
                          </w:r>
                          <w:r>
                            <w:rPr>
                              <w:rStyle w:val="19"/>
                              <w:rFonts w:hint="eastAsia" w:asciiTheme="minorEastAsia" w:hAnsiTheme="minorEastAsia" w:eastAsiaTheme="minorEastAsia" w:cstheme="minorEastAsia"/>
                              <w:sz w:val="28"/>
                              <w:szCs w:val="28"/>
                              <w:lang w:eastAsia="zh-CN"/>
                            </w:rPr>
                            <w:fldChar w:fldCharType="separate"/>
                          </w:r>
                          <w:r>
                            <w:rPr>
                              <w:rStyle w:val="19"/>
                              <w:rFonts w:hint="eastAsia" w:asciiTheme="minorEastAsia" w:hAnsiTheme="minorEastAsia" w:eastAsiaTheme="minorEastAsia" w:cstheme="minorEastAsia"/>
                              <w:sz w:val="28"/>
                              <w:szCs w:val="28"/>
                              <w:lang w:eastAsia="zh-CN"/>
                            </w:rPr>
                            <w:t>12</w:t>
                          </w:r>
                          <w:r>
                            <w:rPr>
                              <w:rStyle w:val="19"/>
                              <w:rFonts w:hint="eastAsia" w:asciiTheme="minorEastAsia" w:hAnsiTheme="minorEastAsia" w:eastAsiaTheme="minorEastAsia" w:cstheme="minorEastAsia"/>
                              <w:sz w:val="28"/>
                              <w:szCs w:val="28"/>
                              <w:lang w:eastAsia="zh-CN"/>
                            </w:rPr>
                            <w:fldChar w:fldCharType="end"/>
                          </w:r>
                          <w:r>
                            <w:rPr>
                              <w:rStyle w:val="19"/>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VU4p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q&#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VVTinS&#10;AQAAhQMAAA4AAAAAAAAAAQAgAAAAOAEAAGRycy9lMm9Eb2MueG1sUEsFBgAAAAAGAAYAWQEAAHwF&#10;A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lang w:eastAsia="zh-CN"/>
                      </w:rPr>
                    </w:pPr>
                    <w:r>
                      <w:rPr>
                        <w:rStyle w:val="19"/>
                        <w:rFonts w:hint="eastAsia" w:asciiTheme="minorEastAsia" w:hAnsiTheme="minorEastAsia" w:eastAsiaTheme="minorEastAsia" w:cstheme="minorEastAsia"/>
                        <w:sz w:val="28"/>
                        <w:szCs w:val="28"/>
                        <w:lang w:eastAsia="zh-CN"/>
                      </w:rPr>
                      <w:t xml:space="preserve">— </w:t>
                    </w:r>
                    <w:r>
                      <w:rPr>
                        <w:rStyle w:val="19"/>
                        <w:rFonts w:hint="eastAsia" w:asciiTheme="minorEastAsia" w:hAnsiTheme="minorEastAsia" w:eastAsiaTheme="minorEastAsia" w:cstheme="minorEastAsia"/>
                        <w:sz w:val="28"/>
                        <w:szCs w:val="28"/>
                        <w:lang w:eastAsia="zh-CN"/>
                      </w:rPr>
                      <w:fldChar w:fldCharType="begin"/>
                    </w:r>
                    <w:r>
                      <w:rPr>
                        <w:rStyle w:val="19"/>
                        <w:rFonts w:hint="eastAsia" w:asciiTheme="minorEastAsia" w:hAnsiTheme="minorEastAsia" w:eastAsiaTheme="minorEastAsia" w:cstheme="minorEastAsia"/>
                        <w:sz w:val="28"/>
                        <w:szCs w:val="28"/>
                        <w:lang w:eastAsia="zh-CN"/>
                      </w:rPr>
                      <w:instrText xml:space="preserve"> PAGE  \* MERGEFORMAT </w:instrText>
                    </w:r>
                    <w:r>
                      <w:rPr>
                        <w:rStyle w:val="19"/>
                        <w:rFonts w:hint="eastAsia" w:asciiTheme="minorEastAsia" w:hAnsiTheme="minorEastAsia" w:eastAsiaTheme="minorEastAsia" w:cstheme="minorEastAsia"/>
                        <w:sz w:val="28"/>
                        <w:szCs w:val="28"/>
                        <w:lang w:eastAsia="zh-CN"/>
                      </w:rPr>
                      <w:fldChar w:fldCharType="separate"/>
                    </w:r>
                    <w:r>
                      <w:rPr>
                        <w:rStyle w:val="19"/>
                        <w:rFonts w:hint="eastAsia" w:asciiTheme="minorEastAsia" w:hAnsiTheme="minorEastAsia" w:eastAsiaTheme="minorEastAsia" w:cstheme="minorEastAsia"/>
                        <w:sz w:val="28"/>
                        <w:szCs w:val="28"/>
                        <w:lang w:eastAsia="zh-CN"/>
                      </w:rPr>
                      <w:t>12</w:t>
                    </w:r>
                    <w:r>
                      <w:rPr>
                        <w:rStyle w:val="19"/>
                        <w:rFonts w:hint="eastAsia" w:asciiTheme="minorEastAsia" w:hAnsiTheme="minorEastAsia" w:eastAsiaTheme="minorEastAsia" w:cstheme="minorEastAsia"/>
                        <w:sz w:val="28"/>
                        <w:szCs w:val="28"/>
                        <w:lang w:eastAsia="zh-CN"/>
                      </w:rPr>
                      <w:fldChar w:fldCharType="end"/>
                    </w:r>
                    <w:r>
                      <w:rPr>
                        <w:rStyle w:val="19"/>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6E66620"/>
    <w:rsid w:val="175B585E"/>
    <w:rsid w:val="17AD1515"/>
    <w:rsid w:val="191F2D4F"/>
    <w:rsid w:val="19E63E0C"/>
    <w:rsid w:val="1AA11BA9"/>
    <w:rsid w:val="1C690C00"/>
    <w:rsid w:val="1D2C5FE8"/>
    <w:rsid w:val="1DFB7D1C"/>
    <w:rsid w:val="1E69485B"/>
    <w:rsid w:val="1E9C00A0"/>
    <w:rsid w:val="1F3B6715"/>
    <w:rsid w:val="1F5CA05E"/>
    <w:rsid w:val="1F6F63CD"/>
    <w:rsid w:val="1FD472EA"/>
    <w:rsid w:val="1FFD4D5A"/>
    <w:rsid w:val="219C1C67"/>
    <w:rsid w:val="21A73E45"/>
    <w:rsid w:val="220F0EDB"/>
    <w:rsid w:val="223E1376"/>
    <w:rsid w:val="23CC7B8D"/>
    <w:rsid w:val="24432410"/>
    <w:rsid w:val="24D523AF"/>
    <w:rsid w:val="25C83420"/>
    <w:rsid w:val="275C69CE"/>
    <w:rsid w:val="27DD1056"/>
    <w:rsid w:val="290A7315"/>
    <w:rsid w:val="29C10E64"/>
    <w:rsid w:val="2A341411"/>
    <w:rsid w:val="2A5A0556"/>
    <w:rsid w:val="2B1706DC"/>
    <w:rsid w:val="2B17EBFE"/>
    <w:rsid w:val="2CBE2431"/>
    <w:rsid w:val="2DD27058"/>
    <w:rsid w:val="2ECB239C"/>
    <w:rsid w:val="2FBC0561"/>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AF84E60"/>
    <w:rsid w:val="3B9F2014"/>
    <w:rsid w:val="3BA26649"/>
    <w:rsid w:val="3BEB2DD8"/>
    <w:rsid w:val="3BEFAF9D"/>
    <w:rsid w:val="3C6FB650"/>
    <w:rsid w:val="3C9A35A3"/>
    <w:rsid w:val="3D7F5882"/>
    <w:rsid w:val="3DBB3E02"/>
    <w:rsid w:val="3DD030B8"/>
    <w:rsid w:val="3DDE5100"/>
    <w:rsid w:val="3DF78D23"/>
    <w:rsid w:val="3E63500C"/>
    <w:rsid w:val="3E81138A"/>
    <w:rsid w:val="3EBBA049"/>
    <w:rsid w:val="3EFE8C2A"/>
    <w:rsid w:val="3F7F5A6A"/>
    <w:rsid w:val="3F7F6E9A"/>
    <w:rsid w:val="3FA43F19"/>
    <w:rsid w:val="3FDE5190"/>
    <w:rsid w:val="3FDF6E79"/>
    <w:rsid w:val="41285076"/>
    <w:rsid w:val="42AD5BED"/>
    <w:rsid w:val="432E2CE8"/>
    <w:rsid w:val="43396CC2"/>
    <w:rsid w:val="43723646"/>
    <w:rsid w:val="439D17F4"/>
    <w:rsid w:val="46BF18E1"/>
    <w:rsid w:val="46E66BFD"/>
    <w:rsid w:val="473E4D14"/>
    <w:rsid w:val="4840382D"/>
    <w:rsid w:val="489A0AE6"/>
    <w:rsid w:val="4A7D3A74"/>
    <w:rsid w:val="4A9317A2"/>
    <w:rsid w:val="4B4D65A7"/>
    <w:rsid w:val="4D2370E7"/>
    <w:rsid w:val="4DECC0FF"/>
    <w:rsid w:val="4E7647D3"/>
    <w:rsid w:val="4E8C447A"/>
    <w:rsid w:val="4EFD4001"/>
    <w:rsid w:val="4F502494"/>
    <w:rsid w:val="4FBEF9B5"/>
    <w:rsid w:val="4FC55E23"/>
    <w:rsid w:val="509A7964"/>
    <w:rsid w:val="53C23311"/>
    <w:rsid w:val="53D72F5A"/>
    <w:rsid w:val="53FDACB5"/>
    <w:rsid w:val="54510FE5"/>
    <w:rsid w:val="56020BB4"/>
    <w:rsid w:val="571E02A3"/>
    <w:rsid w:val="57FD7E1B"/>
    <w:rsid w:val="584843AC"/>
    <w:rsid w:val="585F07CF"/>
    <w:rsid w:val="5A7E2231"/>
    <w:rsid w:val="5ADF6823"/>
    <w:rsid w:val="5B175D16"/>
    <w:rsid w:val="5B1A0782"/>
    <w:rsid w:val="5C624A97"/>
    <w:rsid w:val="5DDA3951"/>
    <w:rsid w:val="5E5AF9EE"/>
    <w:rsid w:val="5FA95F49"/>
    <w:rsid w:val="5FBF8763"/>
    <w:rsid w:val="5FEF0E87"/>
    <w:rsid w:val="61CB412D"/>
    <w:rsid w:val="61E274FB"/>
    <w:rsid w:val="63270190"/>
    <w:rsid w:val="63C07097"/>
    <w:rsid w:val="63F6BC28"/>
    <w:rsid w:val="654340E7"/>
    <w:rsid w:val="664F3B20"/>
    <w:rsid w:val="675B5FBD"/>
    <w:rsid w:val="6788382C"/>
    <w:rsid w:val="6826391B"/>
    <w:rsid w:val="6867608D"/>
    <w:rsid w:val="68EF42C4"/>
    <w:rsid w:val="6A7FB000"/>
    <w:rsid w:val="6A956400"/>
    <w:rsid w:val="6ABF5399"/>
    <w:rsid w:val="6B2B19D4"/>
    <w:rsid w:val="6B6E072A"/>
    <w:rsid w:val="6BBB6541"/>
    <w:rsid w:val="6C67536A"/>
    <w:rsid w:val="6D4D31CC"/>
    <w:rsid w:val="6E504A7B"/>
    <w:rsid w:val="6EFE9375"/>
    <w:rsid w:val="6F5A0D30"/>
    <w:rsid w:val="6F5A677D"/>
    <w:rsid w:val="6F9F2C42"/>
    <w:rsid w:val="6FDB23B1"/>
    <w:rsid w:val="6FE6DE43"/>
    <w:rsid w:val="6FFF2707"/>
    <w:rsid w:val="700A63FA"/>
    <w:rsid w:val="71180D83"/>
    <w:rsid w:val="71F95C1E"/>
    <w:rsid w:val="72836946"/>
    <w:rsid w:val="728B5B6F"/>
    <w:rsid w:val="72C3149E"/>
    <w:rsid w:val="73661CF5"/>
    <w:rsid w:val="73731E43"/>
    <w:rsid w:val="73AC6CAF"/>
    <w:rsid w:val="73DC4B44"/>
    <w:rsid w:val="743E4BED"/>
    <w:rsid w:val="744A0831"/>
    <w:rsid w:val="746DE58C"/>
    <w:rsid w:val="75DFB322"/>
    <w:rsid w:val="75FF1D72"/>
    <w:rsid w:val="760D524C"/>
    <w:rsid w:val="76862FBE"/>
    <w:rsid w:val="76AE5741"/>
    <w:rsid w:val="76F61301"/>
    <w:rsid w:val="77052688"/>
    <w:rsid w:val="774E327C"/>
    <w:rsid w:val="779FFD24"/>
    <w:rsid w:val="77BE3158"/>
    <w:rsid w:val="77D116E6"/>
    <w:rsid w:val="77F6D61D"/>
    <w:rsid w:val="788619C9"/>
    <w:rsid w:val="78D4654C"/>
    <w:rsid w:val="795C3312"/>
    <w:rsid w:val="797DEB38"/>
    <w:rsid w:val="79AE4707"/>
    <w:rsid w:val="79E9735A"/>
    <w:rsid w:val="7AFB0652"/>
    <w:rsid w:val="7B56DDA2"/>
    <w:rsid w:val="7B5C206A"/>
    <w:rsid w:val="7B5F60E6"/>
    <w:rsid w:val="7BDD098F"/>
    <w:rsid w:val="7BEBF7D2"/>
    <w:rsid w:val="7BF66A1A"/>
    <w:rsid w:val="7BF7DAD7"/>
    <w:rsid w:val="7C250098"/>
    <w:rsid w:val="7CAF6D1A"/>
    <w:rsid w:val="7CB461A6"/>
    <w:rsid w:val="7CDEF532"/>
    <w:rsid w:val="7D7563CA"/>
    <w:rsid w:val="7EBCA161"/>
    <w:rsid w:val="7EF7C809"/>
    <w:rsid w:val="7EFB34CC"/>
    <w:rsid w:val="7EFDE791"/>
    <w:rsid w:val="7F73BF94"/>
    <w:rsid w:val="7F7583FE"/>
    <w:rsid w:val="7F97C6F0"/>
    <w:rsid w:val="7FBB89BF"/>
    <w:rsid w:val="7FBF3A79"/>
    <w:rsid w:val="7FD93D87"/>
    <w:rsid w:val="7FE3B9ED"/>
    <w:rsid w:val="7FEEDE92"/>
    <w:rsid w:val="7FEFABF9"/>
    <w:rsid w:val="7FF2B72A"/>
    <w:rsid w:val="7FF878E2"/>
    <w:rsid w:val="7FFB35A7"/>
    <w:rsid w:val="7FFD9F55"/>
    <w:rsid w:val="9633B346"/>
    <w:rsid w:val="9D5E0256"/>
    <w:rsid w:val="9DFF8143"/>
    <w:rsid w:val="9EDFA34A"/>
    <w:rsid w:val="A4A9E009"/>
    <w:rsid w:val="AEDCFD40"/>
    <w:rsid w:val="B3FFDA60"/>
    <w:rsid w:val="B5C121B5"/>
    <w:rsid w:val="B5DE0672"/>
    <w:rsid w:val="B5EE9E49"/>
    <w:rsid w:val="B5F7B175"/>
    <w:rsid w:val="B97F7191"/>
    <w:rsid w:val="BBFF5877"/>
    <w:rsid w:val="BBFF66F1"/>
    <w:rsid w:val="BD5F4F42"/>
    <w:rsid w:val="BD7CAE0B"/>
    <w:rsid w:val="BDFBD4BA"/>
    <w:rsid w:val="BDFF872F"/>
    <w:rsid w:val="BEBB3247"/>
    <w:rsid w:val="BF6E9522"/>
    <w:rsid w:val="BFDF0CA2"/>
    <w:rsid w:val="BFF597B2"/>
    <w:rsid w:val="BFF7D093"/>
    <w:rsid w:val="BFFC9C24"/>
    <w:rsid w:val="BFFD2A76"/>
    <w:rsid w:val="BFFE1C57"/>
    <w:rsid w:val="CFDEA72F"/>
    <w:rsid w:val="D6F795FC"/>
    <w:rsid w:val="D6FD671B"/>
    <w:rsid w:val="D7D7DDCC"/>
    <w:rsid w:val="D8DCEDE1"/>
    <w:rsid w:val="DAFBCEB0"/>
    <w:rsid w:val="DB726C3A"/>
    <w:rsid w:val="DBF76714"/>
    <w:rsid w:val="DDA208C1"/>
    <w:rsid w:val="DF6A0073"/>
    <w:rsid w:val="DF780174"/>
    <w:rsid w:val="DFBFFDED"/>
    <w:rsid w:val="DFCBC77F"/>
    <w:rsid w:val="DFD77326"/>
    <w:rsid w:val="DFDD30F9"/>
    <w:rsid w:val="DFF5A64B"/>
    <w:rsid w:val="DFFFB97E"/>
    <w:rsid w:val="E3DFABFC"/>
    <w:rsid w:val="E7E2616F"/>
    <w:rsid w:val="E7FF481B"/>
    <w:rsid w:val="EABFCD06"/>
    <w:rsid w:val="EAFB0206"/>
    <w:rsid w:val="EBEE2CE5"/>
    <w:rsid w:val="ECB549B9"/>
    <w:rsid w:val="ED7CB6BF"/>
    <w:rsid w:val="EE369E02"/>
    <w:rsid w:val="EF779F32"/>
    <w:rsid w:val="EF9EF7A3"/>
    <w:rsid w:val="EFBBA1E8"/>
    <w:rsid w:val="EFEFCEF3"/>
    <w:rsid w:val="EFF54670"/>
    <w:rsid w:val="EFFD85C2"/>
    <w:rsid w:val="EFFE7920"/>
    <w:rsid w:val="EFFF2025"/>
    <w:rsid w:val="EFFF494D"/>
    <w:rsid w:val="F277D181"/>
    <w:rsid w:val="F3D369B8"/>
    <w:rsid w:val="F4C9127B"/>
    <w:rsid w:val="F67188B8"/>
    <w:rsid w:val="F6FC2EBA"/>
    <w:rsid w:val="F6FD84FB"/>
    <w:rsid w:val="F71C4126"/>
    <w:rsid w:val="F72F39FB"/>
    <w:rsid w:val="F73DF6FB"/>
    <w:rsid w:val="F7FF3781"/>
    <w:rsid w:val="F9631D36"/>
    <w:rsid w:val="F9AFB6F0"/>
    <w:rsid w:val="F9F9C2D3"/>
    <w:rsid w:val="FA576F15"/>
    <w:rsid w:val="FADC04E4"/>
    <w:rsid w:val="FB6E0296"/>
    <w:rsid w:val="FBAD5CE8"/>
    <w:rsid w:val="FBBD53BA"/>
    <w:rsid w:val="FBDF2122"/>
    <w:rsid w:val="FBEE1844"/>
    <w:rsid w:val="FBEF2C87"/>
    <w:rsid w:val="FBF76626"/>
    <w:rsid w:val="FBFF379E"/>
    <w:rsid w:val="FCDB6888"/>
    <w:rsid w:val="FCFE56ED"/>
    <w:rsid w:val="FDBFFB3F"/>
    <w:rsid w:val="FDEDFE4B"/>
    <w:rsid w:val="FDF51AF1"/>
    <w:rsid w:val="FDF531D4"/>
    <w:rsid w:val="FF5EF1C1"/>
    <w:rsid w:val="FF7DB9F7"/>
    <w:rsid w:val="FF9AC68A"/>
    <w:rsid w:val="FF9D390B"/>
    <w:rsid w:val="FFCF68DB"/>
    <w:rsid w:val="FFDB89D3"/>
    <w:rsid w:val="FFEE28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
    <w:qFormat/>
    <w:uiPriority w:val="0"/>
    <w:pPr>
      <w:keepLines/>
      <w:widowControl/>
      <w:adjustRightInd w:val="0"/>
      <w:snapToGrid w:val="0"/>
      <w:spacing w:line="240" w:lineRule="auto"/>
      <w:ind w:firstLine="0" w:firstLineChars="0"/>
      <w:jc w:val="center"/>
    </w:pPr>
    <w:rPr>
      <w:rFonts w:ascii="Times New Roman" w:hAnsi="Times New Roman" w:eastAsia="仿宋" w:cs="Times New Roman"/>
      <w:bCs/>
      <w:color w:val="auto"/>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2</TotalTime>
  <ScaleCrop>false</ScaleCrop>
  <LinksUpToDate>false</LinksUpToDate>
  <CharactersWithSpaces>6905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2021-07-21T03:38:00Z</dcterms:created>
  <dc:creator>张艺馨</dc:creator>
  <cp:lastModifiedBy>uos</cp:lastModifiedBy>
  <cp:lastPrinted>2022-11-09T19:20:00Z</cp:lastPrinted>
  <dcterms:modified xsi:type="dcterms:W3CDTF">2023-07-28T08:42:53Z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B69D179690974895BF91370F7CF3E62E</vt:lpwstr>
  </property>
</Properties>
</file>