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bookmarkStart w:id="0" w:name="_GoBack"/>
      <w:r>
        <w:rPr>
          <w:rFonts w:ascii="Times New Roman" w:hAnsi="Times New Roman" w:eastAsia="方正小标宋_GBK"/>
          <w:sz w:val="44"/>
          <w:szCs w:val="44"/>
        </w:rPr>
        <w:t>重庆市水利局</w:t>
      </w:r>
    </w:p>
    <w:p>
      <w:pPr>
        <w:adjustRightInd w:val="0"/>
        <w:snapToGrid w:val="0"/>
        <w:jc w:val="center"/>
        <w:rPr>
          <w:rFonts w:ascii="Times New Roman" w:hAnsi="Times New Roman" w:eastAsia="方正小标宋_GBK"/>
          <w:bCs/>
          <w:sz w:val="44"/>
          <w:szCs w:val="44"/>
        </w:rPr>
      </w:pPr>
      <w:r>
        <w:rPr>
          <w:rFonts w:ascii="Times New Roman" w:hAnsi="Times New Roman" w:eastAsia="方正小标宋_GBK"/>
          <w:sz w:val="44"/>
          <w:szCs w:val="44"/>
        </w:rPr>
        <w:t>关于</w:t>
      </w:r>
      <w:r>
        <w:rPr>
          <w:rFonts w:hint="eastAsia" w:ascii="Times New Roman" w:hAnsi="Times New Roman" w:eastAsia="方正小标宋_GBK"/>
          <w:bCs/>
          <w:sz w:val="44"/>
          <w:szCs w:val="44"/>
        </w:rPr>
        <w:t>港桥园区“上大压小”热电联产项目水土</w:t>
      </w:r>
    </w:p>
    <w:p>
      <w:pPr>
        <w:adjustRightInd w:val="0"/>
        <w:snapToGrid w:val="0"/>
        <w:jc w:val="center"/>
        <w:rPr>
          <w:rFonts w:ascii="Times New Roman" w:hAnsi="Times New Roman" w:eastAsia="方正小标宋_GBK"/>
          <w:sz w:val="44"/>
          <w:szCs w:val="44"/>
        </w:rPr>
      </w:pPr>
      <w:r>
        <w:rPr>
          <w:rFonts w:hint="eastAsia" w:ascii="Times New Roman" w:hAnsi="Times New Roman" w:eastAsia="方正小标宋_GBK"/>
          <w:bCs/>
          <w:sz w:val="44"/>
          <w:szCs w:val="44"/>
        </w:rPr>
        <w:t>保持方案</w:t>
      </w:r>
      <w:r>
        <w:rPr>
          <w:rFonts w:ascii="Times New Roman" w:hAnsi="Times New Roman" w:eastAsia="方正小标宋_GBK"/>
          <w:sz w:val="44"/>
          <w:szCs w:val="44"/>
        </w:rPr>
        <w:t>准予行政许可的决定</w:t>
      </w:r>
    </w:p>
    <w:bookmarkEnd w:id="0"/>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rPr>
        <w:t>重庆天泰热力有限公司</w:t>
      </w:r>
      <w:r>
        <w:rPr>
          <w:rFonts w:ascii="Times New Roman" w:hAnsi="Times New Roman" w:eastAsia="方正仿宋_GBK"/>
          <w:color w:val="000000"/>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ascii="Times New Roman" w:hAnsi="Times New Roman" w:eastAsia="方正仿宋_GBK"/>
          <w:color w:val="000000"/>
          <w:sz w:val="32"/>
          <w:szCs w:val="32"/>
        </w:rPr>
        <w:t>你司提交的</w:t>
      </w:r>
      <w:r>
        <w:rPr>
          <w:rFonts w:hint="eastAsia" w:ascii="Times New Roman" w:hAnsi="Times New Roman" w:eastAsia="方正仿宋_GBK"/>
          <w:bCs/>
          <w:color w:val="000000"/>
          <w:sz w:val="32"/>
          <w:szCs w:val="32"/>
        </w:rPr>
        <w:t>港桥园区“上大压小”热电联产项目水土保持方案</w:t>
      </w:r>
      <w:r>
        <w:rPr>
          <w:rFonts w:ascii="Times New Roman" w:hAnsi="Times New Roman" w:eastAsia="方正仿宋_GBK"/>
          <w:color w:val="000000"/>
          <w:sz w:val="32"/>
          <w:szCs w:val="32"/>
        </w:rPr>
        <w:t>审批申请</w:t>
      </w:r>
      <w:r>
        <w:rPr>
          <w:rFonts w:ascii="Times New Roman" w:hAnsi="Times New Roman" w:eastAsia="方正仿宋_GBK"/>
          <w:color w:val="auto"/>
          <w:sz w:val="32"/>
          <w:szCs w:val="32"/>
        </w:rPr>
        <w:t>（项目代码：</w:t>
      </w:r>
      <w:r>
        <w:rPr>
          <w:rFonts w:hint="eastAsia" w:ascii="Times New Roman" w:hAnsi="Times New Roman" w:eastAsia="方正仿宋_GBK"/>
          <w:color w:val="auto"/>
          <w:sz w:val="32"/>
          <w:szCs w:val="32"/>
        </w:rPr>
        <w:t>2106-500118-04-01-399787</w:t>
      </w:r>
      <w:r>
        <w:rPr>
          <w:rFonts w:ascii="Times New Roman" w:hAnsi="Times New Roman" w:eastAsia="方正仿宋_GBK"/>
          <w:color w:val="auto"/>
          <w:sz w:val="32"/>
          <w:szCs w:val="32"/>
        </w:rPr>
        <w:t>）</w:t>
      </w:r>
      <w:r>
        <w:rPr>
          <w:rFonts w:ascii="Times New Roman" w:hAnsi="Times New Roman" w:eastAsia="方正仿宋_GBK"/>
          <w:color w:val="000000"/>
          <w:sz w:val="32"/>
          <w:szCs w:val="32"/>
        </w:rPr>
        <w:t>和《</w:t>
      </w:r>
      <w:r>
        <w:rPr>
          <w:rFonts w:hint="eastAsia" w:ascii="Times New Roman" w:hAnsi="Times New Roman" w:eastAsia="方正仿宋_GBK"/>
          <w:bCs/>
          <w:sz w:val="32"/>
          <w:szCs w:val="32"/>
        </w:rPr>
        <w:t>港桥园区“上大压小”热电联产项目水土保持方案报告书</w:t>
      </w:r>
      <w:r>
        <w:rPr>
          <w:rFonts w:ascii="Times New Roman" w:hAnsi="Times New Roman" w:eastAsia="方正仿宋_GBK"/>
          <w:color w:val="000000"/>
          <w:sz w:val="32"/>
          <w:szCs w:val="32"/>
        </w:rPr>
        <w:t>》收悉。经审查，该申请符合法定条件，根据《中华人民共和国行政许可法》第三十八条</w:t>
      </w:r>
      <w:r>
        <w:rPr>
          <w:rFonts w:hint="eastAsia" w:ascii="Times New Roman" w:hAnsi="Times New Roman" w:eastAsia="方正仿宋_GBK"/>
          <w:color w:val="000000"/>
          <w:sz w:val="32"/>
          <w:szCs w:val="32"/>
        </w:rPr>
        <w:t>第一款</w:t>
      </w:r>
      <w:r>
        <w:rPr>
          <w:rFonts w:ascii="Times New Roman" w:hAnsi="Times New Roman" w:eastAsia="方正仿宋_GBK"/>
          <w:color w:val="000000"/>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600" w:lineRule="exact"/>
        <w:ind w:firstLine="645"/>
        <w:rPr>
          <w:rFonts w:hint="eastAsia" w:ascii="Times New Roman" w:hAnsi="Times New Roman" w:eastAsia="方正仿宋_GBK" w:cs="Times New Roman"/>
          <w:sz w:val="32"/>
          <w:szCs w:val="32"/>
        </w:rPr>
      </w:pPr>
      <w:r>
        <w:rPr>
          <w:rFonts w:hint="eastAsia" w:ascii="Times New Roman" w:hAnsi="Times New Roman" w:eastAsia="方正仿宋_GBK"/>
          <w:sz w:val="32"/>
          <w:szCs w:val="32"/>
        </w:rPr>
        <w:t>（一）</w:t>
      </w:r>
      <w:r>
        <w:rPr>
          <w:rFonts w:hint="eastAsia" w:ascii="Times New Roman" w:hAnsi="Times New Roman" w:eastAsia="方正仿宋_GBK" w:cs="Times New Roman"/>
          <w:sz w:val="32"/>
          <w:szCs w:val="32"/>
        </w:rPr>
        <w:t>方案编制依据的法律法规、部委规章、规范性文件、规范标准和技术文件及采用的资料基本正确。</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（二）同意方案设计水平年为2023年。</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（三）同意水土流失防治责任范围的界定，水土流失防治责任范围面积为20.43hm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（五）同意水土流失防治目标。其中：水土流失治理度97%，土壤流失控制比1.0，渣土防护率92%，表土保护率92%，林草植被恢复率97%，林草覆盖率25%</w:t>
      </w:r>
      <w:r>
        <w:rPr>
          <w:rFonts w:hint="eastAsia" w:ascii="Times New Roman" w:hAnsi="Times New Roman" w:eastAsia="方正仿宋_GBK"/>
          <w:bCs/>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（七）基本</w:t>
      </w:r>
      <w:r>
        <w:rPr>
          <w:rFonts w:ascii="Times New Roman" w:hAnsi="Times New Roman" w:eastAsia="方正仿宋_GBK"/>
          <w:bCs/>
          <w:sz w:val="32"/>
          <w:szCs w:val="32"/>
        </w:rPr>
        <w:t>同意水土保持方案实施进度安排。</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bCs/>
          <w:sz w:val="32"/>
          <w:szCs w:val="32"/>
        </w:rPr>
        <w:t>（八）基本</w:t>
      </w:r>
      <w:r>
        <w:rPr>
          <w:rFonts w:ascii="Times New Roman" w:hAnsi="Times New Roman" w:eastAsia="方正仿宋_GBK"/>
          <w:bCs/>
          <w:sz w:val="32"/>
          <w:szCs w:val="32"/>
        </w:rPr>
        <w:t>同意水土保持监测时段、内容和方法。</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600"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620.58万元，其中：主体已列376.31万元，方案新增244.27万元（其中：工程措施29.91万元，植物措施6.28万元，监测措施16.02万元，施工临时措施101.06万元，独立费用50.19万元，基本预备费12.21万元，水土保持补偿费28.60万元）。</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（一）根据水土保持法律法规和规范标准，认真做好项目建设过程中水土流失防治工作，切实落实水土保持“三同时”制度。</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w:t>
      </w:r>
      <w:r>
        <w:rPr>
          <w:rFonts w:hint="eastAsia" w:ascii="Times New Roman" w:hAnsi="Times New Roman" w:eastAsia="方正仿宋_GBK"/>
          <w:sz w:val="32"/>
          <w:szCs w:val="32"/>
        </w:rPr>
        <w:t>项目开工前向主管税务机关申报缴纳水土保持补偿费</w:t>
      </w:r>
      <w:r>
        <w:rPr>
          <w:rFonts w:ascii="Times New Roman" w:hAnsi="Times New Roman" w:eastAsia="方正仿宋_GBK"/>
          <w:sz w:val="32"/>
          <w:szCs w:val="32"/>
        </w:rPr>
        <w:t>。</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napToGrid w:val="0"/>
          <w:kern w:val="0"/>
          <w:sz w:val="32"/>
          <w:szCs w:val="32"/>
        </w:rPr>
        <w:t>（七）本项目的地点、规模如发生重大变化，或者水土保持方案实施过程中水土保持措施发生重大变更的，应按照“渝水</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2016</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83号”规定办理</w:t>
      </w:r>
      <w:r>
        <w:rPr>
          <w:rFonts w:ascii="Times New Roman" w:hAnsi="Times New Roman" w:eastAsia="方正仿宋_GBK"/>
          <w:sz w:val="32"/>
          <w:szCs w:val="32"/>
        </w:rPr>
        <w:t>。确需在批准的水土保持方案确定的专门存放地外新设弃渣场的，可按照“水保</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2019</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160号</w:t>
      </w:r>
      <w:r>
        <w:rPr>
          <w:rFonts w:ascii="Times New Roman" w:hAnsi="Times New Roman" w:eastAsia="方正仿宋_GBK"/>
          <w:sz w:val="32"/>
          <w:szCs w:val="32"/>
        </w:rPr>
        <w:t>”规定执行。</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（十）本行政许可决定有效期为三年，自签发之日起计算。</w:t>
      </w:r>
    </w:p>
    <w:p>
      <w:pPr>
        <w:snapToGrid w:val="0"/>
        <w:spacing w:line="594" w:lineRule="exact"/>
        <w:rPr>
          <w:rFonts w:ascii="Times New Roman" w:hAnsi="Times New Roman" w:eastAsia="方正仿宋_GBK"/>
          <w:snapToGrid w:val="0"/>
          <w:color w:val="000000"/>
          <w:kern w:val="0"/>
          <w:sz w:val="32"/>
          <w:szCs w:val="32"/>
        </w:rPr>
      </w:pPr>
    </w:p>
    <w:p>
      <w:pPr>
        <w:snapToGrid w:val="0"/>
        <w:spacing w:line="620" w:lineRule="atLeast"/>
        <w:ind w:left="1918" w:leftChars="304" w:hanging="1280" w:hangingChars="4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ascii="Times New Roman" w:hAnsi="Times New Roman" w:eastAsia="方正仿宋_GBK"/>
          <w:snapToGrid w:val="0"/>
          <w:color w:val="000000"/>
          <w:kern w:val="0"/>
          <w:sz w:val="32"/>
          <w:szCs w:val="32"/>
        </w:rPr>
        <w:t>.</w:t>
      </w:r>
      <w:r>
        <w:rPr>
          <w:rFonts w:hint="eastAsia" w:ascii="Times New Roman" w:hAnsi="Times New Roman" w:eastAsia="方正仿宋_GBK"/>
          <w:bCs/>
          <w:sz w:val="32"/>
          <w:szCs w:val="32"/>
        </w:rPr>
        <w:t xml:space="preserve"> 港桥园区“上大压小”热电联产项目水土保持方案</w:t>
      </w:r>
      <w:r>
        <w:rPr>
          <w:rFonts w:ascii="Times New Roman" w:hAnsi="Times New Roman" w:eastAsia="方正仿宋_GBK"/>
          <w:bCs/>
          <w:snapToGrid w:val="0"/>
          <w:color w:val="000000"/>
          <w:kern w:val="0"/>
          <w:sz w:val="32"/>
          <w:szCs w:val="32"/>
        </w:rPr>
        <w:t>特性表</w:t>
      </w:r>
    </w:p>
    <w:p>
      <w:pPr>
        <w:snapToGrid w:val="0"/>
        <w:spacing w:line="620" w:lineRule="atLeast"/>
        <w:ind w:left="1916" w:leftChars="760" w:hanging="320" w:hangingChars="1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2.</w:t>
      </w:r>
      <w:r>
        <w:rPr>
          <w:rFonts w:hint="eastAsia" w:ascii="Times New Roman" w:hAnsi="Times New Roman" w:eastAsia="方正仿宋_GBK"/>
          <w:bCs/>
          <w:sz w:val="32"/>
          <w:szCs w:val="32"/>
        </w:rPr>
        <w:t xml:space="preserve"> 港桥园区“上大压小”热电联产项目水土保持方案</w:t>
      </w:r>
      <w:r>
        <w:rPr>
          <w:rFonts w:ascii="Times New Roman" w:hAnsi="Times New Roman" w:eastAsia="方正仿宋_GBK"/>
          <w:bCs/>
          <w:sz w:val="32"/>
          <w:szCs w:val="32"/>
        </w:rPr>
        <w:t>报告书</w:t>
      </w:r>
      <w:r>
        <w:rPr>
          <w:rFonts w:ascii="Times New Roman" w:hAnsi="Times New Roman" w:eastAsia="方正仿宋_GBK"/>
          <w:snapToGrid w:val="0"/>
          <w:color w:val="000000"/>
          <w:kern w:val="0"/>
          <w:sz w:val="32"/>
          <w:szCs w:val="32"/>
        </w:rPr>
        <w:t>专家评审意见</w:t>
      </w:r>
    </w:p>
    <w:p>
      <w:pPr>
        <w:snapToGrid w:val="0"/>
        <w:spacing w:line="594" w:lineRule="exact"/>
        <w:rPr>
          <w:rFonts w:ascii="Times New Roman" w:hAnsi="Times New Roman" w:eastAsia="方正仿宋_GBK"/>
          <w:snapToGrid w:val="0"/>
          <w:color w:val="000000"/>
          <w:kern w:val="0"/>
          <w:sz w:val="32"/>
          <w:szCs w:val="32"/>
        </w:rPr>
      </w:pPr>
    </w:p>
    <w:p>
      <w:pPr>
        <w:snapToGrid w:val="0"/>
        <w:spacing w:line="594" w:lineRule="exact"/>
        <w:ind w:right="640"/>
        <w:jc w:val="left"/>
        <w:rPr>
          <w:rFonts w:ascii="Times New Roman" w:hAnsi="Times New Roman" w:eastAsia="方正仿宋_GBK"/>
          <w:sz w:val="32"/>
          <w:szCs w:val="32"/>
        </w:rPr>
      </w:pPr>
      <w:r>
        <w:rPr>
          <w:rFonts w:hint="eastAsia" w:ascii="Times New Roman" w:hAnsi="Times New Roman" w:eastAsia="方正仿宋_GBK"/>
          <w:sz w:val="32"/>
          <w:szCs w:val="32"/>
          <w:lang w:eastAsia="zh-CN"/>
        </w:rPr>
        <w:t>　　　　　　　　　　　　　　　　　　</w:t>
      </w: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eastAsia="方正仿宋_GBK" w:cs="Times New Roman"/>
          <w:snapToGrid w:val="0"/>
          <w:kern w:val="0"/>
          <w:sz w:val="32"/>
          <w:szCs w:val="32"/>
        </w:rPr>
      </w:pPr>
      <w:r>
        <w:rPr>
          <w:rFonts w:hint="eastAsia" w:ascii="Times New Roman" w:hAnsi="Times New Roman" w:eastAsia="方正仿宋_GBK"/>
          <w:color w:val="FF0000"/>
          <w:sz w:val="32"/>
          <w:szCs w:val="32"/>
          <w:lang w:eastAsia="zh-CN"/>
        </w:rPr>
        <w:t>　　　　　　</w:t>
      </w:r>
      <w:r>
        <w:rPr>
          <w:rFonts w:ascii="Times New Roman" w:hAnsi="Times New Roman" w:eastAsia="方正仿宋_GBK" w:cs="Times New Roman"/>
          <w:snapToGrid w:val="0"/>
          <w:kern w:val="0"/>
          <w:sz w:val="32"/>
          <w:szCs w:val="32"/>
        </w:rPr>
        <w:t>202</w:t>
      </w:r>
      <w:r>
        <w:rPr>
          <w:rFonts w:hint="eastAsia" w:ascii="Times New Roman" w:hAnsi="Times New Roman" w:eastAsia="方正仿宋_GBK" w:cs="Times New Roman"/>
          <w:snapToGrid w:val="0"/>
          <w:kern w:val="0"/>
          <w:sz w:val="32"/>
          <w:szCs w:val="32"/>
        </w:rPr>
        <w:t>2</w:t>
      </w:r>
      <w:r>
        <w:rPr>
          <w:rFonts w:ascii="Times New Roman" w:hAnsi="Times New Roman" w:eastAsia="方正仿宋_GBK" w:cs="Times New Roman"/>
          <w:snapToGrid w:val="0"/>
          <w:kern w:val="0"/>
          <w:sz w:val="32"/>
          <w:szCs w:val="32"/>
        </w:rPr>
        <w:t>年</w:t>
      </w:r>
      <w:r>
        <w:rPr>
          <w:rFonts w:hint="eastAsia" w:ascii="Times New Roman" w:hAnsi="Times New Roman" w:eastAsia="方正仿宋_GBK" w:cs="Times New Roman"/>
          <w:snapToGrid w:val="0"/>
          <w:kern w:val="0"/>
          <w:sz w:val="32"/>
          <w:szCs w:val="32"/>
        </w:rPr>
        <w:t>1</w:t>
      </w:r>
      <w:r>
        <w:rPr>
          <w:rFonts w:ascii="Times New Roman" w:hAnsi="Times New Roman" w:eastAsia="方正仿宋_GBK" w:cs="Times New Roman"/>
          <w:snapToGrid w:val="0"/>
          <w:kern w:val="0"/>
          <w:sz w:val="32"/>
          <w:szCs w:val="32"/>
        </w:rPr>
        <w:t>1月1</w:t>
      </w:r>
      <w:r>
        <w:rPr>
          <w:rFonts w:ascii="Times New Roman" w:hAnsi="Times New Roman" w:eastAsia="方正仿宋_GBK"/>
          <w:snapToGrid w:val="0"/>
          <w:kern w:val="0"/>
          <w:sz w:val="32"/>
          <w:szCs w:val="32"/>
        </w:rPr>
        <w:t>7</w:t>
      </w:r>
      <w:r>
        <w:rPr>
          <w:rFonts w:ascii="Times New Roman" w:hAnsi="Times New Roman" w:eastAsia="方正仿宋_GBK" w:cs="Times New Roman"/>
          <w:snapToGrid w:val="0"/>
          <w:kern w:val="0"/>
          <w:sz w:val="32"/>
          <w:szCs w:val="32"/>
        </w:rPr>
        <w:t>日</w:t>
      </w:r>
    </w:p>
    <w:p>
      <w:pPr>
        <w:snapToGrid w:val="0"/>
        <w:spacing w:line="594" w:lineRule="exact"/>
        <w:ind w:right="960"/>
        <w:jc w:val="left"/>
        <w:rPr>
          <w:rFonts w:ascii="Times New Roman" w:hAnsi="Times New Roman"/>
          <w:szCs w:val="28"/>
        </w:rPr>
      </w:pPr>
    </w:p>
    <w:p>
      <w:pPr>
        <w:snapToGrid w:val="0"/>
        <w:spacing w:line="594" w:lineRule="exact"/>
        <w:ind w:firstLine="640" w:firstLineChars="200"/>
        <w:jc w:val="left"/>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rPr>
        <w:t>主动</w:t>
      </w:r>
      <w:r>
        <w:rPr>
          <w:rFonts w:ascii="Times New Roman" w:hAnsi="Times New Roman" w:eastAsia="方正仿宋_GBK"/>
          <w:snapToGrid w:val="0"/>
          <w:kern w:val="0"/>
          <w:sz w:val="32"/>
          <w:szCs w:val="32"/>
        </w:rPr>
        <w:t>公开发布）</w:t>
      </w:r>
    </w:p>
    <w:p>
      <w:pPr>
        <w:adjustRightInd w:val="0"/>
        <w:snapToGrid w:val="0"/>
        <w:spacing w:line="60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；联系电话：023-88707091）</w:t>
      </w:r>
    </w:p>
    <w:p>
      <w:pPr>
        <w:adjustRightInd w:val="0"/>
        <w:snapToGrid w:val="0"/>
        <w:spacing w:line="600" w:lineRule="exact"/>
        <w:rPr>
          <w:rFonts w:ascii="Times New Roman" w:hAnsi="Times New Roman" w:eastAsia="方正仿宋_GBK"/>
          <w:snapToGrid w:val="0"/>
          <w:kern w:val="0"/>
          <w:sz w:val="32"/>
          <w:szCs w:val="32"/>
        </w:rPr>
      </w:pPr>
    </w:p>
    <w:p>
      <w:pPr>
        <w:adjustRightInd w:val="0"/>
        <w:snapToGrid w:val="0"/>
        <w:spacing w:line="600" w:lineRule="exact"/>
        <w:rPr>
          <w:rFonts w:ascii="Times New Roman" w:hAnsi="Times New Roman" w:eastAsia="方正仿宋_GBK"/>
          <w:snapToGrid w:val="0"/>
          <w:kern w:val="0"/>
          <w:sz w:val="32"/>
          <w:szCs w:val="32"/>
        </w:rPr>
      </w:pPr>
    </w:p>
    <w:p>
      <w:pPr>
        <w:adjustRightInd w:val="0"/>
        <w:snapToGrid w:val="0"/>
        <w:spacing w:line="600" w:lineRule="exact"/>
        <w:rPr>
          <w:rFonts w:ascii="Times New Roman" w:hAnsi="Times New Roman" w:eastAsia="方正仿宋_GBK"/>
          <w:snapToGrid w:val="0"/>
          <w:kern w:val="0"/>
          <w:sz w:val="32"/>
          <w:szCs w:val="32"/>
        </w:rPr>
      </w:pPr>
    </w:p>
    <w:p>
      <w:pPr>
        <w:adjustRightInd w:val="0"/>
        <w:snapToGrid w:val="0"/>
        <w:spacing w:line="600" w:lineRule="exact"/>
        <w:rPr>
          <w:rFonts w:ascii="Times New Roman" w:hAnsi="Times New Roman" w:eastAsia="方正仿宋_GBK"/>
          <w:snapToGrid w:val="0"/>
          <w:kern w:val="0"/>
          <w:sz w:val="32"/>
          <w:szCs w:val="32"/>
        </w:rPr>
      </w:pPr>
    </w:p>
    <w:p>
      <w:pPr>
        <w:spacing w:line="594" w:lineRule="exact"/>
        <w:jc w:val="left"/>
        <w:rPr>
          <w:rFonts w:ascii="方正黑体_GBK" w:hAnsi="方正黑体_GBK" w:eastAsia="方正黑体_GBK" w:cs="方正黑体_GBK"/>
          <w:sz w:val="32"/>
          <w:szCs w:val="32"/>
        </w:rPr>
      </w:pPr>
    </w:p>
    <w:p>
      <w:pPr>
        <w:pStyle w:val="12"/>
      </w:pPr>
    </w:p>
    <w:p>
      <w:pPr>
        <w:pStyle w:val="12"/>
      </w:pPr>
    </w:p>
    <w:p>
      <w:pPr>
        <w:pStyle w:val="12"/>
      </w:pPr>
    </w:p>
    <w:p>
      <w:pPr>
        <w:spacing w:line="594"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topLinePunct/>
        <w:autoSpaceDE w:val="0"/>
        <w:autoSpaceDN w:val="0"/>
        <w:snapToGrid w:val="0"/>
        <w:spacing w:line="500" w:lineRule="exact"/>
        <w:jc w:val="center"/>
        <w:rPr>
          <w:rFonts w:ascii="方正小标宋_GBK" w:hAnsi="方正小标宋_GBK" w:eastAsia="方正小标宋_GBK" w:cs="方正小标宋_GBK"/>
          <w:bCs/>
          <w:sz w:val="28"/>
          <w:szCs w:val="28"/>
        </w:rPr>
      </w:pPr>
      <w:r>
        <w:rPr>
          <w:rFonts w:hint="eastAsia" w:ascii="方正小标宋_GBK" w:hAnsi="方正小标宋_GBK" w:eastAsia="方正小标宋_GBK" w:cs="方正小标宋_GBK"/>
          <w:bCs/>
          <w:sz w:val="28"/>
          <w:szCs w:val="28"/>
        </w:rPr>
        <w:t>港桥园区“上大压小”热电联产项目水土保持方案特性表</w:t>
      </w:r>
    </w:p>
    <w:tbl>
      <w:tblPr>
        <w:tblStyle w:val="9"/>
        <w:tblW w:w="97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
        <w:gridCol w:w="911"/>
        <w:gridCol w:w="120"/>
        <w:gridCol w:w="263"/>
        <w:gridCol w:w="751"/>
        <w:gridCol w:w="283"/>
        <w:gridCol w:w="690"/>
        <w:gridCol w:w="19"/>
        <w:gridCol w:w="850"/>
        <w:gridCol w:w="136"/>
        <w:gridCol w:w="148"/>
        <w:gridCol w:w="284"/>
        <w:gridCol w:w="1417"/>
        <w:gridCol w:w="451"/>
        <w:gridCol w:w="287"/>
        <w:gridCol w:w="1237"/>
        <w:gridCol w:w="56"/>
        <w:gridCol w:w="14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项目名称</w:t>
            </w:r>
          </w:p>
        </w:tc>
        <w:tc>
          <w:tcPr>
            <w:tcW w:w="3424" w:type="dxa"/>
            <w:gridSpan w:val="9"/>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港桥园区“上大压小”热电联产项目</w:t>
            </w:r>
          </w:p>
        </w:tc>
        <w:tc>
          <w:tcPr>
            <w:tcW w:w="1868"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流域管理机构</w:t>
            </w:r>
          </w:p>
        </w:tc>
        <w:tc>
          <w:tcPr>
            <w:tcW w:w="2984" w:type="dxa"/>
            <w:gridSpan w:val="4"/>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涉及省（自治区、直辖市）</w:t>
            </w:r>
          </w:p>
        </w:tc>
        <w:tc>
          <w:tcPr>
            <w:tcW w:w="2006" w:type="dxa"/>
            <w:gridSpan w:val="5"/>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重庆市</w:t>
            </w:r>
          </w:p>
        </w:tc>
        <w:tc>
          <w:tcPr>
            <w:tcW w:w="1418" w:type="dxa"/>
            <w:gridSpan w:val="4"/>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涉及地市或个数</w:t>
            </w:r>
          </w:p>
        </w:tc>
        <w:tc>
          <w:tcPr>
            <w:tcW w:w="1868" w:type="dxa"/>
            <w:gridSpan w:val="2"/>
            <w:vAlign w:val="center"/>
          </w:tcPr>
          <w:p>
            <w:pPr>
              <w:snapToGrid w:val="0"/>
              <w:spacing w:line="240" w:lineRule="atLeast"/>
              <w:jc w:val="center"/>
              <w:rPr>
                <w:rFonts w:ascii="Times New Roman" w:hAnsi="Times New Roman" w:eastAsia="仿宋_GB2312"/>
                <w:sz w:val="18"/>
                <w:szCs w:val="18"/>
              </w:rPr>
            </w:pPr>
          </w:p>
        </w:tc>
        <w:tc>
          <w:tcPr>
            <w:tcW w:w="1524"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涉及县或个数</w:t>
            </w:r>
          </w:p>
        </w:tc>
        <w:tc>
          <w:tcPr>
            <w:tcW w:w="1460" w:type="dxa"/>
            <w:gridSpan w:val="2"/>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永川区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项目规模</w:t>
            </w:r>
          </w:p>
        </w:tc>
        <w:tc>
          <w:tcPr>
            <w:tcW w:w="2006" w:type="dxa"/>
            <w:gridSpan w:val="5"/>
            <w:vAlign w:val="center"/>
          </w:tcPr>
          <w:p>
            <w:pPr>
              <w:snapToGrid w:val="0"/>
              <w:spacing w:line="240" w:lineRule="atLeast"/>
              <w:jc w:val="center"/>
              <w:rPr>
                <w:rFonts w:ascii="仿宋_GB2312" w:hAnsi="Times New Roman" w:eastAsia="仿宋_GB2312"/>
                <w:sz w:val="18"/>
                <w:szCs w:val="18"/>
              </w:rPr>
            </w:pPr>
            <w:r>
              <w:rPr>
                <w:rFonts w:hint="default" w:ascii="Times New Roman" w:hAnsi="Times New Roman" w:eastAsia="仿宋_GB2312" w:cs="Times New Roman"/>
                <w:sz w:val="18"/>
                <w:szCs w:val="18"/>
              </w:rPr>
              <w:t>490MW</w:t>
            </w:r>
          </w:p>
        </w:tc>
        <w:tc>
          <w:tcPr>
            <w:tcW w:w="1418" w:type="dxa"/>
            <w:gridSpan w:val="4"/>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总投资（万元）</w:t>
            </w:r>
          </w:p>
        </w:tc>
        <w:tc>
          <w:tcPr>
            <w:tcW w:w="1868"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116895</w:t>
            </w:r>
          </w:p>
        </w:tc>
        <w:tc>
          <w:tcPr>
            <w:tcW w:w="1524" w:type="dxa"/>
            <w:gridSpan w:val="2"/>
            <w:vAlign w:val="center"/>
          </w:tcPr>
          <w:p>
            <w:pPr>
              <w:snapToGrid w:val="0"/>
              <w:spacing w:line="240" w:lineRule="atLeast"/>
              <w:ind w:left="-105" w:leftChars="-50" w:right="-105" w:rightChars="-50"/>
              <w:jc w:val="center"/>
              <w:rPr>
                <w:rFonts w:ascii="Times New Roman" w:hAnsi="Times New Roman" w:eastAsia="仿宋_GB2312"/>
                <w:sz w:val="18"/>
                <w:szCs w:val="18"/>
              </w:rPr>
            </w:pPr>
            <w:r>
              <w:rPr>
                <w:rFonts w:ascii="Times New Roman" w:hAnsi="Times New Roman" w:eastAsia="仿宋_GB2312"/>
                <w:sz w:val="18"/>
                <w:szCs w:val="18"/>
              </w:rPr>
              <w:t>土建投资（万元）</w:t>
            </w:r>
          </w:p>
        </w:tc>
        <w:tc>
          <w:tcPr>
            <w:tcW w:w="1460"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20165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动工时间</w:t>
            </w:r>
          </w:p>
        </w:tc>
        <w:tc>
          <w:tcPr>
            <w:tcW w:w="2006" w:type="dxa"/>
            <w:gridSpan w:val="5"/>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u w:color="00B050"/>
              </w:rPr>
              <w:t>2022年9月</w:t>
            </w:r>
          </w:p>
        </w:tc>
        <w:tc>
          <w:tcPr>
            <w:tcW w:w="1418" w:type="dxa"/>
            <w:gridSpan w:val="4"/>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完工时间</w:t>
            </w:r>
          </w:p>
        </w:tc>
        <w:tc>
          <w:tcPr>
            <w:tcW w:w="1868"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u w:color="00B050"/>
              </w:rPr>
              <w:t>2023年10月</w:t>
            </w:r>
          </w:p>
        </w:tc>
        <w:tc>
          <w:tcPr>
            <w:tcW w:w="1524"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设计水平年</w:t>
            </w:r>
          </w:p>
        </w:tc>
        <w:tc>
          <w:tcPr>
            <w:tcW w:w="1460" w:type="dxa"/>
            <w:gridSpan w:val="2"/>
            <w:vAlign w:val="center"/>
          </w:tcPr>
          <w:p>
            <w:pPr>
              <w:snapToGrid w:val="0"/>
              <w:spacing w:line="240" w:lineRule="atLeast"/>
              <w:jc w:val="center"/>
              <w:rPr>
                <w:rFonts w:ascii="Times New Roman" w:hAnsi="Times New Roman" w:eastAsia="仿宋_GB2312"/>
                <w:kern w:val="0"/>
                <w:sz w:val="18"/>
                <w:szCs w:val="18"/>
              </w:rPr>
            </w:pPr>
            <w:r>
              <w:rPr>
                <w:rFonts w:ascii="Times New Roman" w:hAnsi="Times New Roman" w:eastAsia="仿宋_GB2312"/>
                <w:kern w:val="0"/>
                <w:sz w:val="18"/>
                <w:szCs w:val="18"/>
              </w:rPr>
              <w:t>2023年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工程占地（hm</w:t>
            </w:r>
            <w:r>
              <w:rPr>
                <w:rFonts w:ascii="Times New Roman" w:hAnsi="Times New Roman" w:eastAsia="仿宋_GB2312"/>
                <w:sz w:val="18"/>
                <w:szCs w:val="18"/>
                <w:vertAlign w:val="superscript"/>
              </w:rPr>
              <w:t>2</w:t>
            </w:r>
            <w:r>
              <w:rPr>
                <w:rFonts w:hint="eastAsia" w:ascii="Times New Roman" w:hAnsi="Times New Roman" w:eastAsia="仿宋_GB2312"/>
                <w:sz w:val="18"/>
                <w:szCs w:val="18"/>
              </w:rPr>
              <w:t>）</w:t>
            </w:r>
          </w:p>
        </w:tc>
        <w:tc>
          <w:tcPr>
            <w:tcW w:w="2006" w:type="dxa"/>
            <w:gridSpan w:val="5"/>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20.43</w:t>
            </w:r>
          </w:p>
        </w:tc>
        <w:tc>
          <w:tcPr>
            <w:tcW w:w="1418" w:type="dxa"/>
            <w:gridSpan w:val="4"/>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永久占地（hm</w:t>
            </w:r>
            <w:r>
              <w:rPr>
                <w:rFonts w:ascii="Times New Roman" w:hAnsi="Times New Roman" w:eastAsia="仿宋_GB2312"/>
                <w:sz w:val="18"/>
                <w:szCs w:val="18"/>
                <w:vertAlign w:val="superscript"/>
              </w:rPr>
              <w:t>2</w:t>
            </w:r>
            <w:r>
              <w:rPr>
                <w:rFonts w:hint="eastAsia" w:ascii="Times New Roman" w:hAnsi="Times New Roman" w:eastAsia="仿宋_GB2312"/>
                <w:sz w:val="18"/>
                <w:szCs w:val="18"/>
              </w:rPr>
              <w:t>）</w:t>
            </w:r>
          </w:p>
        </w:tc>
        <w:tc>
          <w:tcPr>
            <w:tcW w:w="1868"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14.73</w:t>
            </w:r>
          </w:p>
        </w:tc>
        <w:tc>
          <w:tcPr>
            <w:tcW w:w="1524" w:type="dxa"/>
            <w:gridSpan w:val="2"/>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临时占地（hm</w:t>
            </w:r>
            <w:r>
              <w:rPr>
                <w:rFonts w:ascii="Times New Roman" w:hAnsi="Times New Roman" w:eastAsia="仿宋_GB2312"/>
                <w:sz w:val="18"/>
                <w:szCs w:val="18"/>
                <w:vertAlign w:val="superscript"/>
              </w:rPr>
              <w:t>2</w:t>
            </w:r>
            <w:r>
              <w:rPr>
                <w:rFonts w:hint="eastAsia" w:ascii="Times New Roman" w:hAnsi="Times New Roman" w:eastAsia="仿宋_GB2312"/>
                <w:sz w:val="18"/>
                <w:szCs w:val="18"/>
              </w:rPr>
              <w:t>）</w:t>
            </w:r>
          </w:p>
        </w:tc>
        <w:tc>
          <w:tcPr>
            <w:tcW w:w="1460"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5.70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vMerge w:val="restart"/>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土石方量</w:t>
            </w:r>
            <w:r>
              <w:rPr>
                <w:rFonts w:ascii="Times New Roman" w:hAnsi="Times New Roman" w:eastAsia="仿宋_GB2312"/>
                <w:sz w:val="18"/>
                <w:szCs w:val="18"/>
              </w:rPr>
              <w:t>(万m</w:t>
            </w:r>
            <w:r>
              <w:rPr>
                <w:rFonts w:ascii="Times New Roman" w:hAnsi="Times New Roman" w:eastAsia="仿宋_GB2312"/>
                <w:sz w:val="18"/>
                <w:szCs w:val="18"/>
                <w:vertAlign w:val="superscript"/>
              </w:rPr>
              <w:t>3</w:t>
            </w:r>
            <w:r>
              <w:rPr>
                <w:rFonts w:ascii="Times New Roman" w:hAnsi="Times New Roman" w:eastAsia="仿宋_GB2312"/>
                <w:sz w:val="18"/>
                <w:szCs w:val="18"/>
              </w:rPr>
              <w:t>)</w:t>
            </w:r>
          </w:p>
        </w:tc>
        <w:tc>
          <w:tcPr>
            <w:tcW w:w="2006" w:type="dxa"/>
            <w:gridSpan w:val="5"/>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区域</w:t>
            </w:r>
          </w:p>
        </w:tc>
        <w:tc>
          <w:tcPr>
            <w:tcW w:w="1418" w:type="dxa"/>
            <w:gridSpan w:val="4"/>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挖方量(万m</w:t>
            </w:r>
            <w:r>
              <w:rPr>
                <w:rFonts w:ascii="Times New Roman" w:hAnsi="Times New Roman" w:eastAsia="仿宋_GB2312"/>
                <w:sz w:val="18"/>
                <w:szCs w:val="18"/>
                <w:vertAlign w:val="superscript"/>
              </w:rPr>
              <w:t>3</w:t>
            </w:r>
            <w:r>
              <w:rPr>
                <w:rFonts w:ascii="Times New Roman" w:hAnsi="Times New Roman" w:eastAsia="仿宋_GB2312"/>
                <w:sz w:val="18"/>
                <w:szCs w:val="18"/>
              </w:rPr>
              <w:t>)</w:t>
            </w:r>
          </w:p>
        </w:tc>
        <w:tc>
          <w:tcPr>
            <w:tcW w:w="1868"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填方量(万m</w:t>
            </w:r>
            <w:r>
              <w:rPr>
                <w:rFonts w:ascii="Times New Roman" w:hAnsi="Times New Roman" w:eastAsia="仿宋_GB2312"/>
                <w:sz w:val="18"/>
                <w:szCs w:val="18"/>
                <w:vertAlign w:val="superscript"/>
              </w:rPr>
              <w:t>3</w:t>
            </w:r>
            <w:r>
              <w:rPr>
                <w:rFonts w:ascii="Times New Roman" w:hAnsi="Times New Roman" w:eastAsia="仿宋_GB2312"/>
                <w:sz w:val="18"/>
                <w:szCs w:val="18"/>
              </w:rPr>
              <w:t>)</w:t>
            </w:r>
          </w:p>
        </w:tc>
        <w:tc>
          <w:tcPr>
            <w:tcW w:w="1524"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借方量(万m</w:t>
            </w:r>
            <w:r>
              <w:rPr>
                <w:rFonts w:ascii="Times New Roman" w:hAnsi="Times New Roman" w:eastAsia="仿宋_GB2312"/>
                <w:sz w:val="18"/>
                <w:szCs w:val="18"/>
                <w:vertAlign w:val="superscript"/>
              </w:rPr>
              <w:t>3</w:t>
            </w:r>
            <w:r>
              <w:rPr>
                <w:rFonts w:ascii="Times New Roman" w:hAnsi="Times New Roman" w:eastAsia="仿宋_GB2312"/>
                <w:sz w:val="18"/>
                <w:szCs w:val="18"/>
              </w:rPr>
              <w:t>)</w:t>
            </w:r>
          </w:p>
        </w:tc>
        <w:tc>
          <w:tcPr>
            <w:tcW w:w="1460" w:type="dxa"/>
            <w:gridSpan w:val="2"/>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余方</w:t>
            </w:r>
            <w:r>
              <w:rPr>
                <w:rFonts w:ascii="Times New Roman" w:hAnsi="Times New Roman" w:eastAsia="仿宋_GB2312"/>
                <w:sz w:val="18"/>
                <w:szCs w:val="18"/>
              </w:rPr>
              <w:t>量(万m</w:t>
            </w:r>
            <w:r>
              <w:rPr>
                <w:rFonts w:ascii="Times New Roman" w:hAnsi="Times New Roman" w:eastAsia="仿宋_GB2312"/>
                <w:sz w:val="18"/>
                <w:szCs w:val="18"/>
                <w:vertAlign w:val="superscript"/>
              </w:rPr>
              <w:t>3</w:t>
            </w:r>
            <w:r>
              <w:rPr>
                <w:rFonts w:ascii="Times New Roman" w:hAnsi="Times New Roman" w:eastAsia="仿宋_GB2312"/>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vMerge w:val="continue"/>
            <w:tcMar>
              <w:left w:w="57" w:type="dxa"/>
              <w:right w:w="57" w:type="dxa"/>
            </w:tcMar>
            <w:vAlign w:val="center"/>
          </w:tcPr>
          <w:p>
            <w:pPr>
              <w:snapToGrid w:val="0"/>
              <w:spacing w:line="240" w:lineRule="atLeast"/>
              <w:jc w:val="center"/>
              <w:rPr>
                <w:rFonts w:ascii="Times New Roman" w:hAnsi="Times New Roman" w:eastAsia="仿宋_GB2312"/>
                <w:sz w:val="18"/>
                <w:szCs w:val="18"/>
              </w:rPr>
            </w:pPr>
          </w:p>
        </w:tc>
        <w:tc>
          <w:tcPr>
            <w:tcW w:w="2006" w:type="dxa"/>
            <w:gridSpan w:val="5"/>
            <w:shd w:val="clear" w:color="auto" w:fill="auto"/>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厂区</w:t>
            </w:r>
          </w:p>
        </w:tc>
        <w:tc>
          <w:tcPr>
            <w:tcW w:w="1418" w:type="dxa"/>
            <w:gridSpan w:val="4"/>
            <w:shd w:val="clear" w:color="auto" w:fill="auto"/>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宋体"/>
                <w:sz w:val="18"/>
                <w:szCs w:val="18"/>
              </w:rPr>
              <w:t>3.67</w:t>
            </w:r>
          </w:p>
        </w:tc>
        <w:tc>
          <w:tcPr>
            <w:tcW w:w="1868" w:type="dxa"/>
            <w:gridSpan w:val="2"/>
            <w:shd w:val="clear" w:color="auto" w:fill="auto"/>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宋体"/>
                <w:sz w:val="18"/>
                <w:szCs w:val="18"/>
              </w:rPr>
              <w:t>4.20</w:t>
            </w:r>
          </w:p>
        </w:tc>
        <w:tc>
          <w:tcPr>
            <w:tcW w:w="1524" w:type="dxa"/>
            <w:gridSpan w:val="2"/>
            <w:shd w:val="clear" w:color="auto" w:fill="auto"/>
            <w:vAlign w:val="center"/>
          </w:tcPr>
          <w:p>
            <w:pPr>
              <w:snapToGrid w:val="0"/>
              <w:spacing w:line="240" w:lineRule="atLeast"/>
              <w:jc w:val="center"/>
              <w:rPr>
                <w:rFonts w:ascii="Times New Roman" w:hAnsi="Times New Roman" w:eastAsia="仿宋_GB2312"/>
                <w:sz w:val="18"/>
                <w:szCs w:val="18"/>
              </w:rPr>
            </w:pPr>
          </w:p>
        </w:tc>
        <w:tc>
          <w:tcPr>
            <w:tcW w:w="1460" w:type="dxa"/>
            <w:gridSpan w:val="2"/>
            <w:shd w:val="clear" w:color="auto" w:fill="auto"/>
            <w:vAlign w:val="center"/>
          </w:tcPr>
          <w:p>
            <w:pPr>
              <w:snapToGrid w:val="0"/>
              <w:spacing w:line="240" w:lineRule="atLeast"/>
              <w:jc w:val="center"/>
              <w:rPr>
                <w:rFonts w:ascii="Times New Roman" w:hAnsi="Times New Roman"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vMerge w:val="continue"/>
            <w:tcMar>
              <w:left w:w="57" w:type="dxa"/>
              <w:right w:w="57" w:type="dxa"/>
            </w:tcMar>
            <w:vAlign w:val="center"/>
          </w:tcPr>
          <w:p>
            <w:pPr>
              <w:snapToGrid w:val="0"/>
              <w:spacing w:line="240" w:lineRule="atLeast"/>
              <w:jc w:val="center"/>
              <w:rPr>
                <w:rFonts w:ascii="Times New Roman" w:hAnsi="Times New Roman" w:eastAsia="仿宋_GB2312"/>
                <w:sz w:val="18"/>
                <w:szCs w:val="18"/>
              </w:rPr>
            </w:pPr>
          </w:p>
        </w:tc>
        <w:tc>
          <w:tcPr>
            <w:tcW w:w="2006" w:type="dxa"/>
            <w:gridSpan w:val="5"/>
            <w:shd w:val="clear" w:color="auto" w:fill="auto"/>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预留用地</w:t>
            </w:r>
          </w:p>
        </w:tc>
        <w:tc>
          <w:tcPr>
            <w:tcW w:w="1418" w:type="dxa"/>
            <w:gridSpan w:val="4"/>
            <w:shd w:val="clear" w:color="auto" w:fill="auto"/>
            <w:vAlign w:val="center"/>
          </w:tcPr>
          <w:p>
            <w:pPr>
              <w:jc w:val="center"/>
              <w:rPr>
                <w:rFonts w:ascii="Times New Roman" w:hAnsi="Times New Roman" w:eastAsia="仿宋_GB2312"/>
                <w:sz w:val="18"/>
                <w:szCs w:val="18"/>
              </w:rPr>
            </w:pPr>
            <w:r>
              <w:rPr>
                <w:rFonts w:hint="eastAsia" w:ascii="Times New Roman" w:hAnsi="Times New Roman" w:eastAsia="宋体"/>
                <w:sz w:val="18"/>
                <w:szCs w:val="18"/>
              </w:rPr>
              <w:t>0.32</w:t>
            </w:r>
          </w:p>
        </w:tc>
        <w:tc>
          <w:tcPr>
            <w:tcW w:w="1868" w:type="dxa"/>
            <w:gridSpan w:val="2"/>
            <w:shd w:val="clear" w:color="auto" w:fill="auto"/>
            <w:vAlign w:val="center"/>
          </w:tcPr>
          <w:p>
            <w:pPr>
              <w:jc w:val="center"/>
              <w:rPr>
                <w:rFonts w:ascii="Times New Roman" w:hAnsi="Times New Roman" w:eastAsia="仿宋_GB2312"/>
                <w:sz w:val="18"/>
                <w:szCs w:val="18"/>
              </w:rPr>
            </w:pPr>
            <w:r>
              <w:rPr>
                <w:rFonts w:hint="eastAsia" w:ascii="Times New Roman" w:hAnsi="Times New Roman" w:eastAsia="宋体"/>
                <w:sz w:val="18"/>
                <w:szCs w:val="18"/>
              </w:rPr>
              <w:t>0.32</w:t>
            </w:r>
          </w:p>
        </w:tc>
        <w:tc>
          <w:tcPr>
            <w:tcW w:w="1524" w:type="dxa"/>
            <w:gridSpan w:val="2"/>
            <w:shd w:val="clear" w:color="auto" w:fill="auto"/>
            <w:vAlign w:val="center"/>
          </w:tcPr>
          <w:p>
            <w:pPr>
              <w:snapToGrid w:val="0"/>
              <w:spacing w:line="240" w:lineRule="atLeast"/>
              <w:jc w:val="center"/>
              <w:rPr>
                <w:rFonts w:ascii="Times New Roman" w:hAnsi="Times New Roman" w:eastAsia="仿宋_GB2312"/>
                <w:sz w:val="18"/>
                <w:szCs w:val="18"/>
              </w:rPr>
            </w:pPr>
          </w:p>
        </w:tc>
        <w:tc>
          <w:tcPr>
            <w:tcW w:w="1460" w:type="dxa"/>
            <w:gridSpan w:val="2"/>
            <w:shd w:val="clear" w:color="auto" w:fill="auto"/>
            <w:vAlign w:val="center"/>
          </w:tcPr>
          <w:p>
            <w:pPr>
              <w:snapToGrid w:val="0"/>
              <w:spacing w:line="240" w:lineRule="atLeast"/>
              <w:jc w:val="center"/>
              <w:rPr>
                <w:rFonts w:ascii="Times New Roman" w:hAnsi="Times New Roman"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vMerge w:val="continue"/>
            <w:shd w:val="clear" w:color="auto" w:fill="auto"/>
            <w:tcMar>
              <w:left w:w="57" w:type="dxa"/>
              <w:right w:w="57" w:type="dxa"/>
            </w:tcMar>
            <w:vAlign w:val="center"/>
          </w:tcPr>
          <w:p>
            <w:pPr>
              <w:snapToGrid w:val="0"/>
              <w:spacing w:line="240" w:lineRule="atLeast"/>
              <w:jc w:val="center"/>
              <w:rPr>
                <w:rFonts w:ascii="Times New Roman" w:hAnsi="Times New Roman" w:eastAsia="仿宋_GB2312"/>
                <w:sz w:val="18"/>
                <w:szCs w:val="18"/>
              </w:rPr>
            </w:pPr>
          </w:p>
        </w:tc>
        <w:tc>
          <w:tcPr>
            <w:tcW w:w="2006" w:type="dxa"/>
            <w:gridSpan w:val="5"/>
            <w:shd w:val="clear" w:color="auto" w:fill="auto"/>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取水管线</w:t>
            </w:r>
          </w:p>
        </w:tc>
        <w:tc>
          <w:tcPr>
            <w:tcW w:w="1418" w:type="dxa"/>
            <w:gridSpan w:val="4"/>
            <w:shd w:val="clear" w:color="auto" w:fill="auto"/>
            <w:vAlign w:val="center"/>
          </w:tcPr>
          <w:p>
            <w:pPr>
              <w:jc w:val="center"/>
              <w:rPr>
                <w:rFonts w:ascii="Times New Roman" w:hAnsi="Times New Roman" w:eastAsia="仿宋_GB2312"/>
                <w:sz w:val="18"/>
                <w:szCs w:val="18"/>
              </w:rPr>
            </w:pPr>
            <w:r>
              <w:rPr>
                <w:rFonts w:hint="eastAsia" w:ascii="Times New Roman" w:hAnsi="Times New Roman" w:eastAsia="宋体"/>
                <w:sz w:val="18"/>
                <w:szCs w:val="18"/>
              </w:rPr>
              <w:t>3.23</w:t>
            </w:r>
          </w:p>
        </w:tc>
        <w:tc>
          <w:tcPr>
            <w:tcW w:w="1868" w:type="dxa"/>
            <w:gridSpan w:val="2"/>
            <w:shd w:val="clear" w:color="auto" w:fill="auto"/>
            <w:vAlign w:val="center"/>
          </w:tcPr>
          <w:p>
            <w:pPr>
              <w:jc w:val="center"/>
              <w:rPr>
                <w:rFonts w:ascii="Times New Roman" w:hAnsi="Times New Roman" w:eastAsia="仿宋_GB2312"/>
                <w:sz w:val="18"/>
                <w:szCs w:val="18"/>
              </w:rPr>
            </w:pPr>
            <w:r>
              <w:rPr>
                <w:rFonts w:hint="eastAsia" w:ascii="Times New Roman" w:hAnsi="Times New Roman" w:eastAsia="宋体"/>
                <w:sz w:val="18"/>
                <w:szCs w:val="18"/>
              </w:rPr>
              <w:t>2.70</w:t>
            </w:r>
          </w:p>
        </w:tc>
        <w:tc>
          <w:tcPr>
            <w:tcW w:w="1524" w:type="dxa"/>
            <w:gridSpan w:val="2"/>
            <w:shd w:val="clear" w:color="auto" w:fill="auto"/>
            <w:vAlign w:val="center"/>
          </w:tcPr>
          <w:p>
            <w:pPr>
              <w:snapToGrid w:val="0"/>
              <w:spacing w:line="240" w:lineRule="atLeast"/>
              <w:jc w:val="center"/>
              <w:rPr>
                <w:rFonts w:ascii="Times New Roman" w:hAnsi="Times New Roman" w:eastAsia="仿宋_GB2312"/>
                <w:sz w:val="18"/>
                <w:szCs w:val="18"/>
              </w:rPr>
            </w:pPr>
          </w:p>
        </w:tc>
        <w:tc>
          <w:tcPr>
            <w:tcW w:w="1460" w:type="dxa"/>
            <w:gridSpan w:val="2"/>
            <w:shd w:val="clear" w:color="auto" w:fill="auto"/>
            <w:vAlign w:val="center"/>
          </w:tcPr>
          <w:p>
            <w:pPr>
              <w:snapToGrid w:val="0"/>
              <w:spacing w:line="240" w:lineRule="atLeast"/>
              <w:jc w:val="center"/>
              <w:rPr>
                <w:rFonts w:ascii="Times New Roman" w:hAnsi="Times New Roman"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vMerge w:val="continue"/>
            <w:tcMar>
              <w:left w:w="57" w:type="dxa"/>
              <w:right w:w="57" w:type="dxa"/>
            </w:tcMar>
            <w:vAlign w:val="center"/>
          </w:tcPr>
          <w:p>
            <w:pPr>
              <w:snapToGrid w:val="0"/>
              <w:spacing w:line="240" w:lineRule="atLeast"/>
              <w:jc w:val="center"/>
              <w:rPr>
                <w:rFonts w:ascii="Times New Roman" w:hAnsi="Times New Roman" w:eastAsia="仿宋_GB2312"/>
                <w:sz w:val="18"/>
                <w:szCs w:val="18"/>
              </w:rPr>
            </w:pPr>
          </w:p>
        </w:tc>
        <w:tc>
          <w:tcPr>
            <w:tcW w:w="2006" w:type="dxa"/>
            <w:gridSpan w:val="5"/>
            <w:shd w:val="clear" w:color="auto" w:fill="auto"/>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合计</w:t>
            </w:r>
          </w:p>
        </w:tc>
        <w:tc>
          <w:tcPr>
            <w:tcW w:w="1418" w:type="dxa"/>
            <w:gridSpan w:val="4"/>
            <w:shd w:val="clear" w:color="auto" w:fill="auto"/>
            <w:vAlign w:val="center"/>
          </w:tcPr>
          <w:p>
            <w:pPr>
              <w:jc w:val="center"/>
              <w:rPr>
                <w:rFonts w:ascii="Times New Roman" w:hAnsi="Times New Roman" w:eastAsia="仿宋_GB2312"/>
                <w:sz w:val="18"/>
                <w:szCs w:val="18"/>
              </w:rPr>
            </w:pPr>
            <w:r>
              <w:rPr>
                <w:rFonts w:hint="eastAsia" w:ascii="Times New Roman" w:hAnsi="Times New Roman" w:eastAsia="宋体"/>
                <w:sz w:val="18"/>
                <w:szCs w:val="18"/>
              </w:rPr>
              <w:t>7.22</w:t>
            </w:r>
          </w:p>
        </w:tc>
        <w:tc>
          <w:tcPr>
            <w:tcW w:w="1868" w:type="dxa"/>
            <w:gridSpan w:val="2"/>
            <w:shd w:val="clear" w:color="auto" w:fill="auto"/>
            <w:vAlign w:val="center"/>
          </w:tcPr>
          <w:p>
            <w:pPr>
              <w:jc w:val="center"/>
              <w:rPr>
                <w:rFonts w:ascii="Times New Roman" w:hAnsi="Times New Roman" w:eastAsia="仿宋_GB2312"/>
                <w:sz w:val="18"/>
                <w:szCs w:val="18"/>
              </w:rPr>
            </w:pPr>
            <w:r>
              <w:rPr>
                <w:rFonts w:hint="eastAsia" w:ascii="Times New Roman" w:hAnsi="Times New Roman" w:eastAsia="宋体"/>
                <w:sz w:val="18"/>
                <w:szCs w:val="18"/>
              </w:rPr>
              <w:t>7.22</w:t>
            </w:r>
          </w:p>
        </w:tc>
        <w:tc>
          <w:tcPr>
            <w:tcW w:w="1524" w:type="dxa"/>
            <w:gridSpan w:val="2"/>
            <w:shd w:val="clear" w:color="auto" w:fill="auto"/>
            <w:vAlign w:val="center"/>
          </w:tcPr>
          <w:p>
            <w:pPr>
              <w:snapToGrid w:val="0"/>
              <w:spacing w:line="240" w:lineRule="atLeast"/>
              <w:jc w:val="center"/>
              <w:rPr>
                <w:rFonts w:ascii="Times New Roman" w:hAnsi="Times New Roman" w:eastAsia="仿宋_GB2312"/>
                <w:sz w:val="18"/>
                <w:szCs w:val="18"/>
              </w:rPr>
            </w:pPr>
          </w:p>
        </w:tc>
        <w:tc>
          <w:tcPr>
            <w:tcW w:w="1460" w:type="dxa"/>
            <w:gridSpan w:val="2"/>
            <w:shd w:val="clear" w:color="auto" w:fill="auto"/>
            <w:vAlign w:val="center"/>
          </w:tcPr>
          <w:p>
            <w:pPr>
              <w:snapToGrid w:val="0"/>
              <w:spacing w:line="240" w:lineRule="atLeast"/>
              <w:jc w:val="center"/>
              <w:rPr>
                <w:rFonts w:ascii="Times New Roman" w:hAnsi="Times New Roman"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2446" w:type="dxa"/>
            <w:gridSpan w:val="5"/>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重点防治区名称</w:t>
            </w:r>
          </w:p>
        </w:tc>
        <w:tc>
          <w:tcPr>
            <w:tcW w:w="7262" w:type="dxa"/>
            <w:gridSpan w:val="13"/>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kern w:val="0"/>
                <w:sz w:val="18"/>
                <w:szCs w:val="18"/>
              </w:rPr>
              <w:t>永川区水土流失重点预防区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2446" w:type="dxa"/>
            <w:gridSpan w:val="5"/>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地貌类型</w:t>
            </w:r>
          </w:p>
        </w:tc>
        <w:tc>
          <w:tcPr>
            <w:tcW w:w="1978" w:type="dxa"/>
            <w:gridSpan w:val="5"/>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丘陵地貌</w:t>
            </w:r>
          </w:p>
        </w:tc>
        <w:tc>
          <w:tcPr>
            <w:tcW w:w="2587" w:type="dxa"/>
            <w:gridSpan w:val="5"/>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水土保持</w:t>
            </w:r>
            <w:r>
              <w:rPr>
                <w:rFonts w:ascii="Times New Roman" w:hAnsi="Times New Roman" w:eastAsia="仿宋_GB2312"/>
                <w:sz w:val="18"/>
                <w:szCs w:val="18"/>
              </w:rPr>
              <w:t>区划</w:t>
            </w:r>
          </w:p>
        </w:tc>
        <w:tc>
          <w:tcPr>
            <w:tcW w:w="2697" w:type="dxa"/>
            <w:gridSpan w:val="3"/>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西南</w:t>
            </w:r>
            <w:r>
              <w:rPr>
                <w:rFonts w:ascii="Times New Roman" w:hAnsi="Times New Roman" w:eastAsia="仿宋_GB2312"/>
                <w:sz w:val="18"/>
                <w:szCs w:val="18"/>
              </w:rPr>
              <w:t>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2446" w:type="dxa"/>
            <w:gridSpan w:val="5"/>
            <w:tcMar>
              <w:left w:w="57" w:type="dxa"/>
              <w:right w:w="57" w:type="dxa"/>
            </w:tcMar>
            <w:vAlign w:val="center"/>
          </w:tcPr>
          <w:p>
            <w:pPr>
              <w:snapToGrid w:val="0"/>
              <w:jc w:val="center"/>
              <w:rPr>
                <w:rFonts w:ascii="Times New Roman" w:hAnsi="Times New Roman" w:eastAsia="仿宋_GB2312"/>
                <w:sz w:val="18"/>
                <w:szCs w:val="18"/>
              </w:rPr>
            </w:pPr>
            <w:r>
              <w:rPr>
                <w:rFonts w:ascii="Times New Roman" w:hAnsi="Times New Roman" w:eastAsia="仿宋_GB2312"/>
                <w:sz w:val="18"/>
                <w:szCs w:val="18"/>
              </w:rPr>
              <w:t>土壤侵蚀类型</w:t>
            </w:r>
          </w:p>
        </w:tc>
        <w:tc>
          <w:tcPr>
            <w:tcW w:w="1978" w:type="dxa"/>
            <w:gridSpan w:val="5"/>
            <w:vAlign w:val="center"/>
          </w:tcPr>
          <w:p>
            <w:pPr>
              <w:snapToGrid w:val="0"/>
              <w:jc w:val="center"/>
              <w:rPr>
                <w:rFonts w:ascii="Times New Roman" w:hAnsi="Times New Roman" w:eastAsia="仿宋_GB2312"/>
                <w:sz w:val="18"/>
                <w:szCs w:val="18"/>
              </w:rPr>
            </w:pPr>
            <w:r>
              <w:rPr>
                <w:rFonts w:hint="eastAsia" w:ascii="Times New Roman" w:hAnsi="Times New Roman" w:eastAsia="仿宋_GB2312"/>
                <w:sz w:val="18"/>
                <w:szCs w:val="18"/>
              </w:rPr>
              <w:t>水力侵蚀</w:t>
            </w:r>
          </w:p>
        </w:tc>
        <w:tc>
          <w:tcPr>
            <w:tcW w:w="2587" w:type="dxa"/>
            <w:gridSpan w:val="5"/>
            <w:vAlign w:val="center"/>
          </w:tcPr>
          <w:p>
            <w:pPr>
              <w:snapToGrid w:val="0"/>
              <w:jc w:val="center"/>
              <w:rPr>
                <w:rFonts w:ascii="Times New Roman" w:hAnsi="Times New Roman" w:eastAsia="仿宋_GB2312"/>
                <w:sz w:val="18"/>
                <w:szCs w:val="18"/>
              </w:rPr>
            </w:pPr>
            <w:r>
              <w:rPr>
                <w:rFonts w:ascii="Times New Roman" w:hAnsi="Times New Roman" w:eastAsia="仿宋_GB2312"/>
                <w:sz w:val="18"/>
                <w:szCs w:val="18"/>
              </w:rPr>
              <w:t>土壤侵蚀强度</w:t>
            </w:r>
          </w:p>
        </w:tc>
        <w:tc>
          <w:tcPr>
            <w:tcW w:w="2697" w:type="dxa"/>
            <w:gridSpan w:val="3"/>
            <w:vAlign w:val="center"/>
          </w:tcPr>
          <w:p>
            <w:pPr>
              <w:snapToGrid w:val="0"/>
              <w:jc w:val="center"/>
              <w:rPr>
                <w:rFonts w:ascii="Times New Roman" w:hAnsi="Times New Roman" w:eastAsia="仿宋_GB2312"/>
                <w:sz w:val="18"/>
                <w:szCs w:val="18"/>
              </w:rPr>
            </w:pPr>
            <w:r>
              <w:rPr>
                <w:rFonts w:hint="eastAsia" w:ascii="Times New Roman" w:hAnsi="Times New Roman" w:eastAsia="仿宋_GB2312"/>
                <w:sz w:val="18"/>
                <w:szCs w:val="18"/>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2446" w:type="dxa"/>
            <w:gridSpan w:val="5"/>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防治责任范围面积（hm</w:t>
            </w:r>
            <w:r>
              <w:rPr>
                <w:rFonts w:ascii="Times New Roman" w:hAnsi="Times New Roman" w:eastAsia="仿宋_GB2312"/>
                <w:sz w:val="18"/>
                <w:szCs w:val="18"/>
                <w:vertAlign w:val="superscript"/>
              </w:rPr>
              <w:t>2</w:t>
            </w:r>
            <w:r>
              <w:rPr>
                <w:rFonts w:ascii="Times New Roman" w:hAnsi="Times New Roman" w:eastAsia="仿宋_GB2312"/>
                <w:sz w:val="18"/>
                <w:szCs w:val="18"/>
              </w:rPr>
              <w:t>）</w:t>
            </w:r>
          </w:p>
        </w:tc>
        <w:tc>
          <w:tcPr>
            <w:tcW w:w="1978" w:type="dxa"/>
            <w:gridSpan w:val="5"/>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20.43</w:t>
            </w:r>
          </w:p>
        </w:tc>
        <w:tc>
          <w:tcPr>
            <w:tcW w:w="2587" w:type="dxa"/>
            <w:gridSpan w:val="5"/>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容许土壤流失量[t/(km</w:t>
            </w:r>
            <w:r>
              <w:rPr>
                <w:rFonts w:ascii="Times New Roman" w:hAnsi="Times New Roman" w:eastAsia="仿宋_GB2312"/>
                <w:sz w:val="18"/>
                <w:szCs w:val="18"/>
                <w:vertAlign w:val="superscript"/>
              </w:rPr>
              <w:t>2</w:t>
            </w:r>
            <w:r>
              <w:rPr>
                <w:rFonts w:ascii="Times New Roman" w:hAnsi="Times New Roman" w:eastAsia="仿宋_GB2312"/>
                <w:sz w:val="18"/>
                <w:szCs w:val="18"/>
              </w:rPr>
              <w:t>·a)]</w:t>
            </w:r>
          </w:p>
        </w:tc>
        <w:tc>
          <w:tcPr>
            <w:tcW w:w="2697" w:type="dxa"/>
            <w:gridSpan w:val="3"/>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2446" w:type="dxa"/>
            <w:gridSpan w:val="5"/>
            <w:tcMar>
              <w:left w:w="57" w:type="dxa"/>
              <w:right w:w="57" w:type="dxa"/>
            </w:tcMar>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土壤流失预测总量（t）</w:t>
            </w:r>
          </w:p>
        </w:tc>
        <w:tc>
          <w:tcPr>
            <w:tcW w:w="1978" w:type="dxa"/>
            <w:gridSpan w:val="5"/>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sz w:val="18"/>
                <w:szCs w:val="18"/>
              </w:rPr>
              <w:t>1771</w:t>
            </w:r>
          </w:p>
        </w:tc>
        <w:tc>
          <w:tcPr>
            <w:tcW w:w="2587" w:type="dxa"/>
            <w:gridSpan w:val="5"/>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新增土壤流失量（t）</w:t>
            </w:r>
          </w:p>
        </w:tc>
        <w:tc>
          <w:tcPr>
            <w:tcW w:w="2697" w:type="dxa"/>
            <w:gridSpan w:val="3"/>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sz w:val="18"/>
                <w:szCs w:val="18"/>
              </w:rPr>
              <w:t>589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2446" w:type="dxa"/>
            <w:gridSpan w:val="5"/>
            <w:tcMar>
              <w:left w:w="57" w:type="dxa"/>
              <w:right w:w="57" w:type="dxa"/>
            </w:tcMar>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水土流失防治标准执行等级</w:t>
            </w:r>
          </w:p>
        </w:tc>
        <w:tc>
          <w:tcPr>
            <w:tcW w:w="7262" w:type="dxa"/>
            <w:gridSpan w:val="13"/>
            <w:vAlign w:val="center"/>
          </w:tcPr>
          <w:p>
            <w:pPr>
              <w:widowControl/>
              <w:adjustRightInd w:val="0"/>
              <w:snapToGrid w:val="0"/>
              <w:jc w:val="center"/>
              <w:rPr>
                <w:rFonts w:ascii="Times New Roman" w:hAnsi="Times New Roman" w:eastAsia="仿宋_GB2312"/>
                <w:sz w:val="18"/>
                <w:szCs w:val="18"/>
              </w:rPr>
            </w:pPr>
            <w:r>
              <w:rPr>
                <w:rFonts w:ascii="Times New Roman" w:hAnsi="Times New Roman" w:eastAsia="仿宋_GB2312"/>
                <w:kern w:val="0"/>
                <w:sz w:val="18"/>
                <w:szCs w:val="18"/>
              </w:rPr>
              <w:t>西南紫色土区一级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vMerge w:val="restart"/>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防治</w:t>
            </w:r>
          </w:p>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目标</w:t>
            </w:r>
          </w:p>
        </w:tc>
        <w:tc>
          <w:tcPr>
            <w:tcW w:w="1987" w:type="dxa"/>
            <w:gridSpan w:val="4"/>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水土流失治理度(%)</w:t>
            </w:r>
          </w:p>
        </w:tc>
        <w:tc>
          <w:tcPr>
            <w:tcW w:w="1437" w:type="dxa"/>
            <w:gridSpan w:val="5"/>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97</w:t>
            </w:r>
          </w:p>
        </w:tc>
        <w:tc>
          <w:tcPr>
            <w:tcW w:w="3392" w:type="dxa"/>
            <w:gridSpan w:val="4"/>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土壤流失控制比</w:t>
            </w:r>
          </w:p>
        </w:tc>
        <w:tc>
          <w:tcPr>
            <w:tcW w:w="1460" w:type="dxa"/>
            <w:gridSpan w:val="2"/>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vMerge w:val="continue"/>
            <w:tcMar>
              <w:left w:w="57" w:type="dxa"/>
              <w:right w:w="57" w:type="dxa"/>
            </w:tcMar>
            <w:vAlign w:val="center"/>
          </w:tcPr>
          <w:p>
            <w:pPr>
              <w:snapToGrid w:val="0"/>
              <w:spacing w:line="240" w:lineRule="atLeast"/>
              <w:jc w:val="center"/>
              <w:rPr>
                <w:rFonts w:ascii="Times New Roman" w:hAnsi="Times New Roman" w:eastAsia="仿宋_GB2312"/>
                <w:sz w:val="18"/>
                <w:szCs w:val="18"/>
              </w:rPr>
            </w:pPr>
          </w:p>
        </w:tc>
        <w:tc>
          <w:tcPr>
            <w:tcW w:w="1987" w:type="dxa"/>
            <w:gridSpan w:val="4"/>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渣土防护率(%)</w:t>
            </w:r>
          </w:p>
        </w:tc>
        <w:tc>
          <w:tcPr>
            <w:tcW w:w="1437" w:type="dxa"/>
            <w:gridSpan w:val="5"/>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92</w:t>
            </w:r>
          </w:p>
        </w:tc>
        <w:tc>
          <w:tcPr>
            <w:tcW w:w="3392" w:type="dxa"/>
            <w:gridSpan w:val="4"/>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表土保护率(%)</w:t>
            </w:r>
          </w:p>
        </w:tc>
        <w:tc>
          <w:tcPr>
            <w:tcW w:w="1460" w:type="dxa"/>
            <w:gridSpan w:val="2"/>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432" w:type="dxa"/>
            <w:gridSpan w:val="3"/>
            <w:vMerge w:val="continue"/>
            <w:tcMar>
              <w:left w:w="57" w:type="dxa"/>
              <w:right w:w="57" w:type="dxa"/>
            </w:tcMar>
            <w:vAlign w:val="center"/>
          </w:tcPr>
          <w:p>
            <w:pPr>
              <w:snapToGrid w:val="0"/>
              <w:spacing w:line="240" w:lineRule="atLeast"/>
              <w:jc w:val="center"/>
              <w:rPr>
                <w:rFonts w:ascii="Times New Roman" w:hAnsi="Times New Roman" w:eastAsia="仿宋_GB2312"/>
                <w:sz w:val="18"/>
                <w:szCs w:val="18"/>
              </w:rPr>
            </w:pPr>
          </w:p>
        </w:tc>
        <w:tc>
          <w:tcPr>
            <w:tcW w:w="1987" w:type="dxa"/>
            <w:gridSpan w:val="4"/>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林草植被恢复率(%)</w:t>
            </w:r>
          </w:p>
        </w:tc>
        <w:tc>
          <w:tcPr>
            <w:tcW w:w="1437" w:type="dxa"/>
            <w:gridSpan w:val="5"/>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97</w:t>
            </w:r>
          </w:p>
        </w:tc>
        <w:tc>
          <w:tcPr>
            <w:tcW w:w="3392" w:type="dxa"/>
            <w:gridSpan w:val="4"/>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林草覆盖率(%)</w:t>
            </w:r>
          </w:p>
        </w:tc>
        <w:tc>
          <w:tcPr>
            <w:tcW w:w="1460" w:type="dxa"/>
            <w:gridSpan w:val="2"/>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401" w:type="dxa"/>
            <w:vMerge w:val="restart"/>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防治措施</w:t>
            </w:r>
          </w:p>
        </w:tc>
        <w:tc>
          <w:tcPr>
            <w:tcW w:w="1294" w:type="dxa"/>
            <w:gridSpan w:val="3"/>
            <w:vAlign w:val="center"/>
          </w:tcPr>
          <w:p>
            <w:pPr>
              <w:snapToGrid w:val="0"/>
              <w:spacing w:line="240" w:lineRule="atLeast"/>
              <w:ind w:left="-105" w:leftChars="-50" w:right="-105" w:rightChars="-50"/>
              <w:jc w:val="center"/>
              <w:rPr>
                <w:rFonts w:ascii="Times New Roman" w:hAnsi="Times New Roman" w:eastAsia="仿宋_GB2312"/>
                <w:sz w:val="18"/>
                <w:szCs w:val="18"/>
              </w:rPr>
            </w:pPr>
            <w:r>
              <w:rPr>
                <w:rFonts w:ascii="Times New Roman" w:hAnsi="Times New Roman" w:eastAsia="仿宋_GB2312"/>
                <w:sz w:val="18"/>
                <w:szCs w:val="18"/>
              </w:rPr>
              <w:t>防治分区</w:t>
            </w:r>
          </w:p>
        </w:tc>
        <w:tc>
          <w:tcPr>
            <w:tcW w:w="2593" w:type="dxa"/>
            <w:gridSpan w:val="5"/>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工程措施</w:t>
            </w:r>
          </w:p>
        </w:tc>
        <w:tc>
          <w:tcPr>
            <w:tcW w:w="2436" w:type="dxa"/>
            <w:gridSpan w:val="5"/>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植物措施</w:t>
            </w:r>
          </w:p>
        </w:tc>
        <w:tc>
          <w:tcPr>
            <w:tcW w:w="2984" w:type="dxa"/>
            <w:gridSpan w:val="4"/>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401" w:type="dxa"/>
            <w:vMerge w:val="continue"/>
            <w:tcMar>
              <w:left w:w="57" w:type="dxa"/>
              <w:right w:w="57" w:type="dxa"/>
            </w:tcMar>
            <w:vAlign w:val="center"/>
          </w:tcPr>
          <w:p>
            <w:pPr>
              <w:snapToGrid w:val="0"/>
              <w:spacing w:line="240" w:lineRule="atLeast"/>
              <w:jc w:val="center"/>
              <w:rPr>
                <w:rFonts w:ascii="Times New Roman" w:hAnsi="Times New Roman" w:eastAsia="仿宋_GB2312"/>
                <w:sz w:val="18"/>
                <w:szCs w:val="18"/>
              </w:rPr>
            </w:pPr>
          </w:p>
        </w:tc>
        <w:tc>
          <w:tcPr>
            <w:tcW w:w="1294" w:type="dxa"/>
            <w:gridSpan w:val="3"/>
            <w:vAlign w:val="center"/>
          </w:tcPr>
          <w:p>
            <w:pPr>
              <w:snapToGrid w:val="0"/>
              <w:spacing w:line="240" w:lineRule="atLeast"/>
              <w:ind w:left="-105" w:leftChars="-50" w:right="-105" w:rightChars="-50"/>
              <w:jc w:val="center"/>
              <w:rPr>
                <w:rFonts w:ascii="Times New Roman" w:hAnsi="Times New Roman" w:eastAsia="仿宋_GB2312"/>
                <w:sz w:val="18"/>
                <w:szCs w:val="18"/>
              </w:rPr>
            </w:pPr>
            <w:r>
              <w:rPr>
                <w:rFonts w:hint="eastAsia" w:ascii="Times New Roman" w:hAnsi="Times New Roman" w:eastAsia="仿宋_GB2312"/>
                <w:sz w:val="18"/>
                <w:szCs w:val="18"/>
              </w:rPr>
              <w:t>厂区防治区</w:t>
            </w:r>
          </w:p>
        </w:tc>
        <w:tc>
          <w:tcPr>
            <w:tcW w:w="2593" w:type="dxa"/>
            <w:gridSpan w:val="5"/>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bCs/>
                <w:sz w:val="18"/>
                <w:szCs w:val="18"/>
              </w:rPr>
              <w:t>主体已列：</w:t>
            </w:r>
            <w:r>
              <w:rPr>
                <w:rFonts w:hint="eastAsia" w:ascii="Times New Roman" w:hAnsi="Times New Roman" w:eastAsia="仿宋_GB2312"/>
                <w:sz w:val="18"/>
                <w:szCs w:val="18"/>
              </w:rPr>
              <w:t>钢筋混凝土排水管1</w:t>
            </w:r>
            <w:r>
              <w:rPr>
                <w:rFonts w:ascii="Times New Roman" w:hAnsi="Times New Roman" w:eastAsia="仿宋_GB2312"/>
                <w:sz w:val="18"/>
                <w:szCs w:val="18"/>
              </w:rPr>
              <w:t>452</w:t>
            </w:r>
            <w:r>
              <w:rPr>
                <w:rFonts w:hint="eastAsia" w:ascii="仿宋_GB2312" w:hAnsi="Times New Roman" w:eastAsia="仿宋_GB2312"/>
                <w:spacing w:val="-4"/>
                <w:kern w:val="0"/>
                <w:sz w:val="18"/>
                <w:szCs w:val="18"/>
              </w:rPr>
              <w:t>m。</w:t>
            </w:r>
            <w:r>
              <w:rPr>
                <w:rFonts w:ascii="Times New Roman" w:hAnsi="Times New Roman" w:eastAsia="仿宋_GB2312"/>
                <w:sz w:val="18"/>
                <w:szCs w:val="18"/>
              </w:rPr>
              <w:t>方案新增：</w:t>
            </w:r>
            <w:r>
              <w:rPr>
                <w:rFonts w:hint="eastAsia" w:ascii="Times New Roman" w:hAnsi="Times New Roman" w:eastAsia="仿宋_GB2312"/>
                <w:sz w:val="18"/>
                <w:szCs w:val="18"/>
                <w:lang w:val="zh-CN"/>
              </w:rPr>
              <w:t>土地整治</w:t>
            </w:r>
            <w:r>
              <w:rPr>
                <w:rFonts w:ascii="Times New Roman" w:hAnsi="Times New Roman" w:eastAsia="宋体"/>
                <w:sz w:val="18"/>
                <w:szCs w:val="18"/>
              </w:rPr>
              <w:t>0.67hm</w:t>
            </w:r>
            <w:r>
              <w:rPr>
                <w:rFonts w:ascii="Times New Roman" w:hAnsi="Times New Roman" w:eastAsia="宋体"/>
                <w:sz w:val="18"/>
                <w:szCs w:val="18"/>
                <w:vertAlign w:val="superscript"/>
              </w:rPr>
              <w:t>2</w:t>
            </w:r>
            <w:r>
              <w:rPr>
                <w:rFonts w:hint="eastAsia" w:ascii="Times New Roman" w:hAnsi="Times New Roman" w:eastAsia="宋体"/>
                <w:sz w:val="18"/>
                <w:szCs w:val="18"/>
              </w:rPr>
              <w:t>。</w:t>
            </w:r>
          </w:p>
        </w:tc>
        <w:tc>
          <w:tcPr>
            <w:tcW w:w="2436" w:type="dxa"/>
            <w:gridSpan w:val="5"/>
            <w:vAlign w:val="center"/>
          </w:tcPr>
          <w:p>
            <w:pPr>
              <w:snapToGrid w:val="0"/>
              <w:spacing w:line="240" w:lineRule="atLeast"/>
              <w:jc w:val="center"/>
              <w:rPr>
                <w:rFonts w:ascii="Times New Roman" w:hAnsi="Times New Roman" w:eastAsia="仿宋_GB2312"/>
                <w:sz w:val="18"/>
                <w:szCs w:val="18"/>
                <w:lang w:val="zh-CN"/>
              </w:rPr>
            </w:pPr>
            <w:r>
              <w:rPr>
                <w:rFonts w:ascii="Times New Roman" w:hAnsi="Times New Roman" w:eastAsia="仿宋_GB2312"/>
                <w:bCs/>
                <w:sz w:val="18"/>
                <w:szCs w:val="18"/>
              </w:rPr>
              <w:t>主体已列：</w:t>
            </w:r>
            <w:r>
              <w:rPr>
                <w:rFonts w:hint="eastAsia" w:ascii="Times New Roman" w:hAnsi="Times New Roman" w:eastAsia="仿宋_GB2312"/>
                <w:spacing w:val="-4"/>
                <w:kern w:val="0"/>
                <w:sz w:val="18"/>
                <w:szCs w:val="18"/>
              </w:rPr>
              <w:t>厂区绿化1</w:t>
            </w:r>
            <w:r>
              <w:rPr>
                <w:rFonts w:ascii="Times New Roman" w:hAnsi="Times New Roman" w:eastAsia="仿宋_GB2312"/>
                <w:spacing w:val="-4"/>
                <w:kern w:val="0"/>
                <w:sz w:val="18"/>
                <w:szCs w:val="18"/>
              </w:rPr>
              <w:t>2800</w:t>
            </w:r>
            <w:r>
              <w:rPr>
                <w:rFonts w:hint="eastAsia" w:ascii="Times New Roman" w:hAnsi="Times New Roman" w:eastAsia="仿宋_GB2312"/>
                <w:spacing w:val="-4"/>
                <w:kern w:val="0"/>
                <w:sz w:val="18"/>
                <w:szCs w:val="18"/>
              </w:rPr>
              <w:t>m</w:t>
            </w:r>
            <w:r>
              <w:rPr>
                <w:rFonts w:ascii="Times New Roman" w:hAnsi="Times New Roman" w:eastAsia="仿宋_GB2312"/>
                <w:spacing w:val="-4"/>
                <w:kern w:val="0"/>
                <w:sz w:val="18"/>
                <w:szCs w:val="18"/>
                <w:vertAlign w:val="superscript"/>
              </w:rPr>
              <w:t>2</w:t>
            </w:r>
            <w:r>
              <w:rPr>
                <w:rFonts w:hint="eastAsia" w:ascii="Times New Roman" w:hAnsi="Times New Roman" w:eastAsia="仿宋_GB2312"/>
                <w:sz w:val="18"/>
                <w:szCs w:val="18"/>
                <w:lang w:val="zh-CN"/>
              </w:rPr>
              <w:t>。</w:t>
            </w:r>
          </w:p>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方案新增：</w:t>
            </w:r>
            <w:r>
              <w:rPr>
                <w:rFonts w:hint="eastAsia" w:ascii="Times New Roman" w:hAnsi="Times New Roman" w:eastAsia="仿宋_GB2312"/>
                <w:sz w:val="18"/>
                <w:szCs w:val="18"/>
                <w:lang w:val="zh-CN"/>
              </w:rPr>
              <w:t>撒播种草</w:t>
            </w:r>
            <w:r>
              <w:rPr>
                <w:rFonts w:ascii="仿宋_GB2312" w:hAnsi="Times New Roman" w:eastAsia="宋体"/>
                <w:sz w:val="18"/>
                <w:szCs w:val="18"/>
              </w:rPr>
              <w:t>6700m</w:t>
            </w:r>
            <w:r>
              <w:rPr>
                <w:rFonts w:ascii="仿宋_GB2312" w:hAnsi="Times New Roman" w:eastAsia="宋体"/>
                <w:sz w:val="18"/>
                <w:szCs w:val="18"/>
                <w:vertAlign w:val="superscript"/>
              </w:rPr>
              <w:t>2</w:t>
            </w:r>
            <w:r>
              <w:rPr>
                <w:rFonts w:hint="eastAsia" w:ascii="Times New Roman" w:hAnsi="Times New Roman" w:eastAsia="仿宋_GB2312"/>
                <w:sz w:val="18"/>
                <w:szCs w:val="18"/>
                <w:lang w:val="zh-CN"/>
              </w:rPr>
              <w:t>。</w:t>
            </w:r>
          </w:p>
        </w:tc>
        <w:tc>
          <w:tcPr>
            <w:tcW w:w="2984" w:type="dxa"/>
            <w:gridSpan w:val="4"/>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方案新增：</w:t>
            </w:r>
            <w:r>
              <w:rPr>
                <w:rFonts w:hint="eastAsia" w:ascii="Times New Roman" w:hAnsi="Times New Roman" w:eastAsia="仿宋_GB2312"/>
                <w:sz w:val="18"/>
                <w:szCs w:val="18"/>
                <w:lang w:val="zh-CN"/>
              </w:rPr>
              <w:t>临时排水</w:t>
            </w:r>
            <w:r>
              <w:rPr>
                <w:rFonts w:ascii="Times New Roman" w:hAnsi="Times New Roman" w:eastAsia="仿宋_GB2312"/>
                <w:sz w:val="18"/>
                <w:szCs w:val="18"/>
              </w:rPr>
              <w:t>580</w:t>
            </w:r>
            <w:r>
              <w:rPr>
                <w:rFonts w:hint="eastAsia" w:ascii="Times New Roman" w:hAnsi="Times New Roman" w:eastAsia="仿宋_GB2312"/>
                <w:sz w:val="18"/>
                <w:szCs w:val="18"/>
              </w:rPr>
              <w:t>m</w:t>
            </w:r>
            <w:r>
              <w:rPr>
                <w:rFonts w:hint="eastAsia" w:ascii="Times New Roman" w:hAnsi="Times New Roman" w:eastAsia="仿宋_GB2312"/>
                <w:sz w:val="18"/>
                <w:szCs w:val="18"/>
                <w:lang w:val="zh-CN"/>
              </w:rPr>
              <w:t>、临时沉沙池2座、临时覆盖</w:t>
            </w:r>
            <w:r>
              <w:rPr>
                <w:rFonts w:ascii="Times New Roman" w:hAnsi="Times New Roman" w:eastAsia="仿宋_GB2312"/>
                <w:sz w:val="18"/>
                <w:szCs w:val="18"/>
              </w:rPr>
              <w:t>3</w:t>
            </w:r>
            <w:r>
              <w:rPr>
                <w:rFonts w:hint="eastAsia" w:ascii="Times New Roman" w:hAnsi="Times New Roman" w:eastAsia="仿宋_GB2312"/>
                <w:sz w:val="18"/>
                <w:szCs w:val="18"/>
              </w:rPr>
              <w:t>00</w:t>
            </w:r>
            <w:r>
              <w:rPr>
                <w:rFonts w:ascii="Times New Roman" w:hAnsi="Times New Roman" w:eastAsia="仿宋_GB2312"/>
                <w:sz w:val="18"/>
                <w:szCs w:val="18"/>
              </w:rPr>
              <w:t>0</w:t>
            </w:r>
            <w:r>
              <w:rPr>
                <w:rFonts w:hint="eastAsia" w:ascii="Times New Roman" w:hAnsi="Times New Roman" w:eastAsia="仿宋_GB2312"/>
                <w:sz w:val="18"/>
                <w:szCs w:val="18"/>
              </w:rPr>
              <w:t>0m</w:t>
            </w:r>
            <w:r>
              <w:rPr>
                <w:rFonts w:hint="eastAsia" w:ascii="Times New Roman" w:hAnsi="Times New Roman" w:eastAsia="仿宋_GB2312"/>
                <w:sz w:val="18"/>
                <w:szCs w:val="18"/>
                <w:vertAlign w:val="superscript"/>
              </w:rPr>
              <w:t>2</w:t>
            </w:r>
            <w:r>
              <w:rPr>
                <w:rFonts w:hint="eastAsia" w:ascii="Times New Roman" w:hAnsi="Times New Roman" w:eastAsia="仿宋_GB2312"/>
                <w:sz w:val="18"/>
                <w:szCs w:val="1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401" w:type="dxa"/>
            <w:vMerge w:val="continue"/>
            <w:tcMar>
              <w:left w:w="57" w:type="dxa"/>
              <w:right w:w="57" w:type="dxa"/>
            </w:tcMar>
            <w:vAlign w:val="center"/>
          </w:tcPr>
          <w:p>
            <w:pPr>
              <w:snapToGrid w:val="0"/>
              <w:spacing w:line="240" w:lineRule="atLeast"/>
              <w:jc w:val="center"/>
              <w:rPr>
                <w:rFonts w:ascii="Times New Roman" w:hAnsi="Times New Roman" w:eastAsia="仿宋_GB2312"/>
                <w:sz w:val="18"/>
                <w:szCs w:val="18"/>
              </w:rPr>
            </w:pPr>
          </w:p>
        </w:tc>
        <w:tc>
          <w:tcPr>
            <w:tcW w:w="1294" w:type="dxa"/>
            <w:gridSpan w:val="3"/>
            <w:vAlign w:val="center"/>
          </w:tcPr>
          <w:p>
            <w:pPr>
              <w:snapToGrid w:val="0"/>
              <w:spacing w:line="240" w:lineRule="atLeast"/>
              <w:ind w:left="-105" w:leftChars="-50" w:right="-105" w:rightChars="-50"/>
              <w:jc w:val="center"/>
              <w:rPr>
                <w:rFonts w:ascii="Times New Roman" w:hAnsi="Times New Roman" w:eastAsia="仿宋_GB2312"/>
                <w:sz w:val="18"/>
                <w:szCs w:val="18"/>
              </w:rPr>
            </w:pPr>
            <w:r>
              <w:rPr>
                <w:rFonts w:hint="eastAsia" w:ascii="Times New Roman" w:hAnsi="Times New Roman" w:eastAsia="仿宋_GB2312"/>
                <w:sz w:val="18"/>
                <w:szCs w:val="18"/>
              </w:rPr>
              <w:t>预留用地防治区</w:t>
            </w:r>
          </w:p>
        </w:tc>
        <w:tc>
          <w:tcPr>
            <w:tcW w:w="2593" w:type="dxa"/>
            <w:gridSpan w:val="5"/>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方案新增：</w:t>
            </w:r>
            <w:r>
              <w:rPr>
                <w:rFonts w:hint="eastAsia" w:ascii="Times New Roman" w:hAnsi="Times New Roman" w:eastAsia="仿宋_GB2312"/>
                <w:sz w:val="18"/>
                <w:szCs w:val="18"/>
                <w:lang w:val="zh-CN"/>
              </w:rPr>
              <w:t>土地整治</w:t>
            </w:r>
            <w:r>
              <w:rPr>
                <w:rFonts w:ascii="Times New Roman" w:hAnsi="Times New Roman" w:eastAsia="宋体"/>
                <w:sz w:val="18"/>
                <w:szCs w:val="18"/>
              </w:rPr>
              <w:t>7.46hm</w:t>
            </w:r>
            <w:r>
              <w:rPr>
                <w:rFonts w:ascii="Times New Roman" w:hAnsi="Times New Roman" w:eastAsia="宋体"/>
                <w:sz w:val="18"/>
                <w:szCs w:val="18"/>
                <w:vertAlign w:val="superscript"/>
              </w:rPr>
              <w:t>2</w:t>
            </w:r>
            <w:r>
              <w:rPr>
                <w:rFonts w:hint="eastAsia" w:ascii="Times New Roman" w:hAnsi="Times New Roman" w:eastAsia="仿宋_GB2312"/>
                <w:sz w:val="18"/>
                <w:szCs w:val="18"/>
              </w:rPr>
              <w:t>，</w:t>
            </w:r>
          </w:p>
        </w:tc>
        <w:tc>
          <w:tcPr>
            <w:tcW w:w="2436" w:type="dxa"/>
            <w:gridSpan w:val="5"/>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方案新增：</w:t>
            </w:r>
            <w:r>
              <w:rPr>
                <w:rFonts w:hint="eastAsia" w:ascii="Times New Roman" w:hAnsi="Times New Roman" w:eastAsia="仿宋_GB2312"/>
                <w:sz w:val="18"/>
                <w:szCs w:val="18"/>
                <w:lang w:val="zh-CN"/>
              </w:rPr>
              <w:t>撒播种草</w:t>
            </w:r>
            <w:r>
              <w:rPr>
                <w:rFonts w:ascii="仿宋_GB2312" w:hAnsi="Times New Roman" w:eastAsia="宋体"/>
                <w:sz w:val="18"/>
                <w:szCs w:val="18"/>
              </w:rPr>
              <w:t>74600m</w:t>
            </w:r>
            <w:r>
              <w:rPr>
                <w:rFonts w:ascii="仿宋_GB2312" w:hAnsi="Times New Roman" w:eastAsia="宋体"/>
                <w:sz w:val="18"/>
                <w:szCs w:val="18"/>
                <w:vertAlign w:val="superscript"/>
              </w:rPr>
              <w:t>2</w:t>
            </w:r>
            <w:r>
              <w:rPr>
                <w:rFonts w:hint="eastAsia" w:ascii="Times New Roman" w:hAnsi="Times New Roman" w:eastAsia="仿宋_GB2312"/>
                <w:sz w:val="18"/>
                <w:szCs w:val="18"/>
              </w:rPr>
              <w:t>，</w:t>
            </w:r>
          </w:p>
        </w:tc>
        <w:tc>
          <w:tcPr>
            <w:tcW w:w="2984" w:type="dxa"/>
            <w:gridSpan w:val="4"/>
            <w:vAlign w:val="center"/>
          </w:tcPr>
          <w:p>
            <w:pPr>
              <w:snapToGrid w:val="0"/>
              <w:spacing w:line="240" w:lineRule="atLeast"/>
              <w:jc w:val="center"/>
              <w:rPr>
                <w:rFonts w:ascii="Times New Roman" w:hAnsi="Times New Roman" w:eastAsia="仿宋_GB2312"/>
                <w:sz w:val="18"/>
                <w:szCs w:val="18"/>
                <w:lang w:val="zh-CN"/>
              </w:rPr>
            </w:pPr>
            <w:r>
              <w:rPr>
                <w:rFonts w:ascii="Times New Roman" w:hAnsi="Times New Roman" w:eastAsia="仿宋_GB2312"/>
                <w:sz w:val="18"/>
                <w:szCs w:val="18"/>
              </w:rPr>
              <w:t>方案新增：</w:t>
            </w:r>
            <w:r>
              <w:rPr>
                <w:rFonts w:hint="eastAsia" w:ascii="Times New Roman" w:hAnsi="Times New Roman" w:eastAsia="仿宋_GB2312"/>
                <w:sz w:val="18"/>
                <w:szCs w:val="18"/>
                <w:lang w:val="zh-CN"/>
              </w:rPr>
              <w:t>临时排水沟5</w:t>
            </w:r>
            <w:r>
              <w:rPr>
                <w:rFonts w:ascii="Times New Roman" w:hAnsi="Times New Roman" w:eastAsia="仿宋_GB2312"/>
                <w:sz w:val="18"/>
                <w:szCs w:val="18"/>
                <w:lang w:val="zh-CN"/>
              </w:rPr>
              <w:t>60</w:t>
            </w:r>
            <w:r>
              <w:rPr>
                <w:rFonts w:hint="eastAsia" w:ascii="Times New Roman" w:hAnsi="Times New Roman" w:eastAsia="仿宋_GB2312"/>
                <w:sz w:val="18"/>
                <w:szCs w:val="18"/>
                <w:lang w:val="zh-CN"/>
              </w:rPr>
              <w:t>m、临时沉沙池2座、</w:t>
            </w:r>
            <w:r>
              <w:rPr>
                <w:rFonts w:hint="eastAsia" w:ascii="Times New Roman" w:hAnsi="Times New Roman" w:eastAsia="仿宋_GB2312"/>
                <w:spacing w:val="-4"/>
                <w:kern w:val="0"/>
                <w:sz w:val="18"/>
                <w:szCs w:val="18"/>
              </w:rPr>
              <w:t>临时绿化</w:t>
            </w:r>
            <w:r>
              <w:rPr>
                <w:rFonts w:ascii="Times New Roman" w:hAnsi="Times New Roman" w:eastAsia="仿宋_GB2312"/>
                <w:spacing w:val="-4"/>
                <w:kern w:val="0"/>
                <w:sz w:val="18"/>
                <w:szCs w:val="18"/>
              </w:rPr>
              <w:t>800</w:t>
            </w:r>
            <w:r>
              <w:rPr>
                <w:rFonts w:hint="eastAsia" w:ascii="Times New Roman" w:hAnsi="Times New Roman" w:eastAsia="仿宋_GB2312"/>
                <w:spacing w:val="-4"/>
                <w:kern w:val="0"/>
                <w:sz w:val="18"/>
                <w:szCs w:val="18"/>
              </w:rPr>
              <w:t>m</w:t>
            </w:r>
            <w:r>
              <w:rPr>
                <w:rFonts w:ascii="Times New Roman" w:hAnsi="Times New Roman" w:eastAsia="仿宋_GB2312"/>
                <w:spacing w:val="-4"/>
                <w:kern w:val="0"/>
                <w:sz w:val="18"/>
                <w:szCs w:val="18"/>
                <w:vertAlign w:val="superscript"/>
              </w:rPr>
              <w:t>2</w:t>
            </w:r>
            <w:r>
              <w:rPr>
                <w:rFonts w:hint="eastAsia" w:ascii="Times New Roman" w:hAnsi="Times New Roman" w:eastAsia="仿宋_GB2312"/>
                <w:sz w:val="18"/>
                <w:szCs w:val="18"/>
                <w:lang w:val="zh-CN"/>
              </w:rPr>
              <w:t>。</w:t>
            </w:r>
          </w:p>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方案新增：</w:t>
            </w:r>
            <w:r>
              <w:rPr>
                <w:rFonts w:hint="eastAsia" w:ascii="Times New Roman" w:hAnsi="Times New Roman" w:eastAsia="仿宋_GB2312"/>
                <w:sz w:val="18"/>
                <w:szCs w:val="18"/>
                <w:lang w:val="zh-CN"/>
              </w:rPr>
              <w:t>临时排水</w:t>
            </w:r>
            <w:r>
              <w:rPr>
                <w:rFonts w:ascii="Times New Roman" w:hAnsi="Times New Roman" w:eastAsia="仿宋_GB2312"/>
                <w:sz w:val="18"/>
                <w:szCs w:val="18"/>
              </w:rPr>
              <w:t>1360</w:t>
            </w:r>
            <w:r>
              <w:rPr>
                <w:rFonts w:hint="eastAsia" w:ascii="Times New Roman" w:hAnsi="Times New Roman" w:eastAsia="仿宋_GB2312"/>
                <w:sz w:val="18"/>
                <w:szCs w:val="18"/>
              </w:rPr>
              <w:t>m</w:t>
            </w:r>
            <w:r>
              <w:rPr>
                <w:rFonts w:hint="eastAsia" w:ascii="Times New Roman" w:hAnsi="Times New Roman" w:eastAsia="仿宋_GB2312"/>
                <w:sz w:val="18"/>
                <w:szCs w:val="18"/>
                <w:lang w:val="zh-CN"/>
              </w:rPr>
              <w:t>、临时沉沙池</w:t>
            </w:r>
            <w:r>
              <w:rPr>
                <w:rFonts w:ascii="Times New Roman" w:hAnsi="Times New Roman" w:eastAsia="仿宋_GB2312"/>
                <w:sz w:val="18"/>
                <w:szCs w:val="18"/>
                <w:lang w:val="zh-CN"/>
              </w:rPr>
              <w:t>5</w:t>
            </w:r>
            <w:r>
              <w:rPr>
                <w:rFonts w:hint="eastAsia" w:ascii="Times New Roman" w:hAnsi="Times New Roman" w:eastAsia="仿宋_GB2312"/>
                <w:sz w:val="18"/>
                <w:szCs w:val="18"/>
                <w:lang w:val="zh-CN"/>
              </w:rPr>
              <w:t>座、临时覆盖</w:t>
            </w:r>
            <w:r>
              <w:rPr>
                <w:rFonts w:ascii="Times New Roman" w:hAnsi="Times New Roman" w:eastAsia="仿宋_GB2312"/>
                <w:sz w:val="18"/>
                <w:szCs w:val="18"/>
              </w:rPr>
              <w:t>26</w:t>
            </w:r>
            <w:r>
              <w:rPr>
                <w:rFonts w:hint="eastAsia" w:ascii="Times New Roman" w:hAnsi="Times New Roman" w:eastAsia="仿宋_GB2312"/>
                <w:sz w:val="18"/>
                <w:szCs w:val="18"/>
              </w:rPr>
              <w:t>0</w:t>
            </w:r>
            <w:r>
              <w:rPr>
                <w:rFonts w:ascii="Times New Roman" w:hAnsi="Times New Roman" w:eastAsia="仿宋_GB2312"/>
                <w:sz w:val="18"/>
                <w:szCs w:val="18"/>
              </w:rPr>
              <w:t>0</w:t>
            </w:r>
            <w:r>
              <w:rPr>
                <w:rFonts w:hint="eastAsia" w:ascii="Times New Roman" w:hAnsi="Times New Roman" w:eastAsia="仿宋_GB2312"/>
                <w:sz w:val="18"/>
                <w:szCs w:val="18"/>
              </w:rPr>
              <w:t>0m</w:t>
            </w:r>
            <w:r>
              <w:rPr>
                <w:rFonts w:hint="eastAsia" w:ascii="Times New Roman" w:hAnsi="Times New Roman" w:eastAsia="仿宋_GB2312"/>
                <w:sz w:val="18"/>
                <w:szCs w:val="18"/>
                <w:vertAlign w:val="superscript"/>
              </w:rPr>
              <w:t>2</w:t>
            </w:r>
            <w:r>
              <w:rPr>
                <w:rFonts w:hint="eastAsia" w:ascii="Times New Roman" w:hAnsi="Times New Roman" w:eastAsia="仿宋_GB2312"/>
                <w:sz w:val="18"/>
                <w:szCs w:val="1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401" w:type="dxa"/>
            <w:vMerge w:val="continue"/>
            <w:tcMar>
              <w:left w:w="57" w:type="dxa"/>
              <w:right w:w="57" w:type="dxa"/>
            </w:tcMar>
            <w:vAlign w:val="center"/>
          </w:tcPr>
          <w:p>
            <w:pPr>
              <w:snapToGrid w:val="0"/>
              <w:spacing w:line="240" w:lineRule="atLeast"/>
              <w:jc w:val="center"/>
              <w:rPr>
                <w:rFonts w:ascii="Times New Roman" w:hAnsi="Times New Roman" w:eastAsia="仿宋_GB2312"/>
                <w:sz w:val="18"/>
                <w:szCs w:val="18"/>
              </w:rPr>
            </w:pPr>
          </w:p>
        </w:tc>
        <w:tc>
          <w:tcPr>
            <w:tcW w:w="1294" w:type="dxa"/>
            <w:gridSpan w:val="3"/>
            <w:vAlign w:val="center"/>
          </w:tcPr>
          <w:p>
            <w:pPr>
              <w:snapToGrid w:val="0"/>
              <w:spacing w:line="240" w:lineRule="atLeast"/>
              <w:ind w:left="-105" w:leftChars="-50" w:right="-105" w:rightChars="-50"/>
              <w:jc w:val="center"/>
              <w:rPr>
                <w:rFonts w:ascii="Times New Roman" w:hAnsi="Times New Roman" w:eastAsia="仿宋_GB2312"/>
                <w:sz w:val="18"/>
                <w:szCs w:val="18"/>
              </w:rPr>
            </w:pPr>
            <w:r>
              <w:rPr>
                <w:rFonts w:hint="eastAsia" w:ascii="Times New Roman" w:hAnsi="Times New Roman" w:eastAsia="仿宋_GB2312"/>
                <w:sz w:val="18"/>
                <w:szCs w:val="18"/>
              </w:rPr>
              <w:t>取水管线防治区</w:t>
            </w:r>
          </w:p>
        </w:tc>
        <w:tc>
          <w:tcPr>
            <w:tcW w:w="2593" w:type="dxa"/>
            <w:gridSpan w:val="5"/>
            <w:vAlign w:val="center"/>
          </w:tcPr>
          <w:p>
            <w:pPr>
              <w:snapToGrid w:val="0"/>
              <w:spacing w:line="240" w:lineRule="atLeast"/>
              <w:jc w:val="center"/>
              <w:rPr>
                <w:rFonts w:ascii="Times New Roman" w:hAnsi="Times New Roman" w:eastAsia="仿宋_GB2312"/>
                <w:bCs/>
                <w:sz w:val="18"/>
                <w:szCs w:val="18"/>
              </w:rPr>
            </w:pPr>
            <w:r>
              <w:rPr>
                <w:rFonts w:ascii="Times New Roman" w:hAnsi="Times New Roman" w:eastAsia="仿宋_GB2312"/>
                <w:bCs/>
                <w:sz w:val="18"/>
                <w:szCs w:val="18"/>
              </w:rPr>
              <w:t>主体已列：</w:t>
            </w:r>
            <w:r>
              <w:rPr>
                <w:rFonts w:hint="eastAsia" w:ascii="仿宋_GB2312" w:hAnsi="Times New Roman" w:eastAsia="宋体"/>
                <w:sz w:val="18"/>
                <w:szCs w:val="18"/>
              </w:rPr>
              <w:t>恢复路边沟1560m</w:t>
            </w:r>
            <w:r>
              <w:rPr>
                <w:rFonts w:hint="eastAsia" w:ascii="Times New Roman" w:hAnsi="Times New Roman" w:eastAsia="仿宋_GB2312"/>
                <w:sz w:val="18"/>
                <w:szCs w:val="18"/>
                <w:lang w:val="zh-CN"/>
              </w:rPr>
              <w:t>。</w:t>
            </w:r>
          </w:p>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方案新增：</w:t>
            </w:r>
            <w:r>
              <w:rPr>
                <w:rFonts w:ascii="仿宋_GB2312" w:hAnsi="Times New Roman" w:eastAsia="宋体"/>
                <w:sz w:val="18"/>
                <w:szCs w:val="18"/>
              </w:rPr>
              <w:t>表土剥离0.25万m</w:t>
            </w:r>
            <w:r>
              <w:rPr>
                <w:rFonts w:ascii="Times New Roman" w:hAnsi="Times New Roman" w:eastAsia="仿宋_GB2312"/>
                <w:sz w:val="18"/>
                <w:szCs w:val="18"/>
                <w:vertAlign w:val="superscript"/>
              </w:rPr>
              <w:t>3</w:t>
            </w:r>
            <w:r>
              <w:rPr>
                <w:rFonts w:hint="eastAsia" w:ascii="仿宋_GB2312" w:hAnsi="Times New Roman" w:eastAsia="宋体"/>
                <w:sz w:val="18"/>
                <w:szCs w:val="18"/>
              </w:rPr>
              <w:t>、</w:t>
            </w:r>
            <w:r>
              <w:rPr>
                <w:rFonts w:hint="eastAsia" w:ascii="Times New Roman" w:hAnsi="Times New Roman" w:eastAsia="仿宋_GB2312"/>
                <w:sz w:val="18"/>
                <w:szCs w:val="18"/>
                <w:lang w:val="zh-CN"/>
              </w:rPr>
              <w:t>土地整治</w:t>
            </w:r>
            <w:r>
              <w:rPr>
                <w:rFonts w:ascii="Times New Roman" w:hAnsi="Times New Roman" w:eastAsia="宋体"/>
                <w:sz w:val="18"/>
                <w:szCs w:val="18"/>
              </w:rPr>
              <w:t>2.74hm</w:t>
            </w:r>
            <w:r>
              <w:rPr>
                <w:rFonts w:ascii="Times New Roman" w:hAnsi="Times New Roman" w:eastAsia="宋体"/>
                <w:sz w:val="18"/>
                <w:szCs w:val="18"/>
                <w:vertAlign w:val="superscript"/>
              </w:rPr>
              <w:t>2</w:t>
            </w:r>
            <w:r>
              <w:rPr>
                <w:rFonts w:hint="eastAsia" w:ascii="Times New Roman" w:hAnsi="Times New Roman" w:eastAsia="仿宋_GB2312"/>
                <w:sz w:val="18"/>
                <w:szCs w:val="18"/>
                <w:lang w:val="zh-CN"/>
              </w:rPr>
              <w:t>。</w:t>
            </w:r>
          </w:p>
        </w:tc>
        <w:tc>
          <w:tcPr>
            <w:tcW w:w="2436" w:type="dxa"/>
            <w:gridSpan w:val="5"/>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方案新增：</w:t>
            </w:r>
            <w:r>
              <w:rPr>
                <w:rFonts w:hint="eastAsia" w:ascii="Times New Roman" w:hAnsi="Times New Roman" w:eastAsia="仿宋_GB2312"/>
                <w:sz w:val="18"/>
                <w:szCs w:val="18"/>
                <w:lang w:val="zh-CN"/>
              </w:rPr>
              <w:t>撒播种草</w:t>
            </w:r>
            <w:r>
              <w:rPr>
                <w:rFonts w:ascii="仿宋_GB2312" w:hAnsi="Times New Roman" w:eastAsia="宋体"/>
                <w:sz w:val="18"/>
                <w:szCs w:val="18"/>
              </w:rPr>
              <w:t>27400m</w:t>
            </w:r>
            <w:r>
              <w:rPr>
                <w:rFonts w:ascii="仿宋_GB2312" w:hAnsi="Times New Roman" w:eastAsia="宋体"/>
                <w:sz w:val="18"/>
                <w:szCs w:val="18"/>
                <w:vertAlign w:val="superscript"/>
              </w:rPr>
              <w:t>2</w:t>
            </w:r>
            <w:r>
              <w:rPr>
                <w:rFonts w:hint="eastAsia" w:ascii="Times New Roman" w:hAnsi="Times New Roman" w:eastAsia="仿宋_GB2312"/>
                <w:sz w:val="18"/>
                <w:szCs w:val="18"/>
              </w:rPr>
              <w:t>。</w:t>
            </w:r>
          </w:p>
        </w:tc>
        <w:tc>
          <w:tcPr>
            <w:tcW w:w="2984" w:type="dxa"/>
            <w:gridSpan w:val="4"/>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方案新增：</w:t>
            </w:r>
            <w:r>
              <w:rPr>
                <w:rFonts w:hint="eastAsia" w:ascii="Times New Roman" w:hAnsi="Times New Roman" w:eastAsia="仿宋_GB2312"/>
                <w:sz w:val="18"/>
                <w:szCs w:val="18"/>
                <w:lang w:val="zh-CN"/>
              </w:rPr>
              <w:t>临时拦挡6</w:t>
            </w:r>
            <w:r>
              <w:rPr>
                <w:rFonts w:ascii="Times New Roman" w:hAnsi="Times New Roman" w:eastAsia="仿宋_GB2312"/>
                <w:sz w:val="18"/>
                <w:szCs w:val="18"/>
                <w:lang w:val="zh-CN"/>
              </w:rPr>
              <w:t>040</w:t>
            </w:r>
            <w:r>
              <w:rPr>
                <w:rFonts w:hint="eastAsia" w:ascii="Times New Roman" w:hAnsi="Times New Roman" w:eastAsia="仿宋_GB2312"/>
                <w:sz w:val="18"/>
                <w:szCs w:val="18"/>
              </w:rPr>
              <w:t>m</w:t>
            </w:r>
            <w:r>
              <w:rPr>
                <w:rFonts w:hint="eastAsia" w:ascii="Times New Roman" w:hAnsi="Times New Roman" w:eastAsia="仿宋_GB2312"/>
                <w:sz w:val="18"/>
                <w:szCs w:val="18"/>
                <w:lang w:val="zh-CN"/>
              </w:rPr>
              <w:t>、临时覆盖</w:t>
            </w:r>
            <w:r>
              <w:rPr>
                <w:rFonts w:ascii="Times New Roman" w:hAnsi="Times New Roman" w:eastAsia="仿宋_GB2312"/>
                <w:sz w:val="18"/>
                <w:szCs w:val="18"/>
              </w:rPr>
              <w:t>17</w:t>
            </w:r>
            <w:r>
              <w:rPr>
                <w:rFonts w:hint="eastAsia" w:ascii="Times New Roman" w:hAnsi="Times New Roman" w:eastAsia="仿宋_GB2312"/>
                <w:sz w:val="18"/>
                <w:szCs w:val="18"/>
              </w:rPr>
              <w:t>0</w:t>
            </w:r>
            <w:r>
              <w:rPr>
                <w:rFonts w:ascii="Times New Roman" w:hAnsi="Times New Roman" w:eastAsia="仿宋_GB2312"/>
                <w:sz w:val="18"/>
                <w:szCs w:val="18"/>
              </w:rPr>
              <w:t>0</w:t>
            </w:r>
            <w:r>
              <w:rPr>
                <w:rFonts w:hint="eastAsia" w:ascii="Times New Roman" w:hAnsi="Times New Roman" w:eastAsia="仿宋_GB2312"/>
                <w:sz w:val="18"/>
                <w:szCs w:val="18"/>
              </w:rPr>
              <w:t>0m</w:t>
            </w:r>
            <w:r>
              <w:rPr>
                <w:rFonts w:hint="eastAsia" w:ascii="Times New Roman" w:hAnsi="Times New Roman" w:eastAsia="仿宋_GB2312"/>
                <w:sz w:val="18"/>
                <w:szCs w:val="18"/>
                <w:vertAlign w:val="superscript"/>
              </w:rPr>
              <w:t>2</w:t>
            </w:r>
            <w:r>
              <w:rPr>
                <w:rFonts w:hint="eastAsia" w:ascii="Times New Roman" w:hAnsi="Times New Roman" w:eastAsia="仿宋_GB2312"/>
                <w:sz w:val="18"/>
                <w:szCs w:val="1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401" w:type="dxa"/>
            <w:vMerge w:val="continue"/>
            <w:tcMar>
              <w:left w:w="57" w:type="dxa"/>
              <w:right w:w="57" w:type="dxa"/>
            </w:tcMar>
            <w:vAlign w:val="center"/>
          </w:tcPr>
          <w:p>
            <w:pPr>
              <w:snapToGrid w:val="0"/>
              <w:spacing w:line="240" w:lineRule="atLeast"/>
              <w:jc w:val="center"/>
              <w:rPr>
                <w:rFonts w:ascii="Times New Roman" w:hAnsi="Times New Roman" w:eastAsia="仿宋_GB2312"/>
                <w:sz w:val="18"/>
                <w:szCs w:val="18"/>
              </w:rPr>
            </w:pPr>
          </w:p>
        </w:tc>
        <w:tc>
          <w:tcPr>
            <w:tcW w:w="1294" w:type="dxa"/>
            <w:gridSpan w:val="3"/>
            <w:vAlign w:val="center"/>
          </w:tcPr>
          <w:p>
            <w:pPr>
              <w:snapToGrid w:val="0"/>
              <w:spacing w:line="240" w:lineRule="atLeast"/>
              <w:ind w:left="-105" w:leftChars="-50" w:right="-105" w:rightChars="-50"/>
              <w:jc w:val="center"/>
              <w:rPr>
                <w:rFonts w:ascii="Times New Roman" w:hAnsi="Times New Roman" w:eastAsia="仿宋_GB2312"/>
                <w:sz w:val="18"/>
                <w:szCs w:val="18"/>
              </w:rPr>
            </w:pPr>
            <w:r>
              <w:rPr>
                <w:rFonts w:hint="eastAsia" w:ascii="Times New Roman" w:hAnsi="Times New Roman" w:eastAsia="仿宋_GB2312"/>
                <w:sz w:val="18"/>
                <w:szCs w:val="18"/>
              </w:rPr>
              <w:t>临时堆管场防治区</w:t>
            </w:r>
          </w:p>
        </w:tc>
        <w:tc>
          <w:tcPr>
            <w:tcW w:w="2593" w:type="dxa"/>
            <w:gridSpan w:val="5"/>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方案新增：</w:t>
            </w:r>
            <w:r>
              <w:rPr>
                <w:rFonts w:hint="eastAsia" w:ascii="Times New Roman" w:hAnsi="Times New Roman" w:eastAsia="仿宋_GB2312"/>
                <w:sz w:val="18"/>
                <w:szCs w:val="18"/>
                <w:lang w:val="zh-CN"/>
              </w:rPr>
              <w:t>土地整治</w:t>
            </w:r>
            <w:r>
              <w:rPr>
                <w:rFonts w:ascii="Times New Roman" w:hAnsi="Times New Roman" w:eastAsia="宋体"/>
                <w:sz w:val="18"/>
                <w:szCs w:val="18"/>
              </w:rPr>
              <w:t>0.40hm</w:t>
            </w:r>
            <w:r>
              <w:rPr>
                <w:rFonts w:ascii="Times New Roman" w:hAnsi="Times New Roman" w:eastAsia="宋体"/>
                <w:sz w:val="18"/>
                <w:szCs w:val="18"/>
                <w:vertAlign w:val="superscript"/>
              </w:rPr>
              <w:t>2</w:t>
            </w:r>
            <w:r>
              <w:rPr>
                <w:rFonts w:hint="eastAsia" w:ascii="Times New Roman" w:hAnsi="Times New Roman" w:eastAsia="仿宋_GB2312"/>
                <w:sz w:val="18"/>
                <w:szCs w:val="18"/>
              </w:rPr>
              <w:t>。</w:t>
            </w:r>
          </w:p>
        </w:tc>
        <w:tc>
          <w:tcPr>
            <w:tcW w:w="2436" w:type="dxa"/>
            <w:gridSpan w:val="5"/>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方案新增：</w:t>
            </w:r>
            <w:r>
              <w:rPr>
                <w:rFonts w:hint="eastAsia" w:ascii="Times New Roman" w:hAnsi="Times New Roman" w:eastAsia="仿宋_GB2312"/>
                <w:sz w:val="18"/>
                <w:szCs w:val="18"/>
                <w:lang w:val="zh-CN"/>
              </w:rPr>
              <w:t>撒播种草</w:t>
            </w:r>
            <w:r>
              <w:rPr>
                <w:rFonts w:ascii="仿宋_GB2312" w:hAnsi="Times New Roman" w:eastAsia="宋体"/>
                <w:sz w:val="18"/>
                <w:szCs w:val="18"/>
              </w:rPr>
              <w:t>4000m</w:t>
            </w:r>
            <w:r>
              <w:rPr>
                <w:rFonts w:ascii="仿宋_GB2312" w:hAnsi="Times New Roman" w:eastAsia="宋体"/>
                <w:sz w:val="18"/>
                <w:szCs w:val="18"/>
                <w:vertAlign w:val="superscript"/>
              </w:rPr>
              <w:t>2</w:t>
            </w:r>
            <w:r>
              <w:rPr>
                <w:rFonts w:hint="eastAsia" w:ascii="Times New Roman" w:hAnsi="Times New Roman" w:eastAsia="仿宋_GB2312"/>
                <w:sz w:val="18"/>
                <w:szCs w:val="18"/>
                <w:lang w:val="zh-CN"/>
              </w:rPr>
              <w:t>。</w:t>
            </w:r>
          </w:p>
        </w:tc>
        <w:tc>
          <w:tcPr>
            <w:tcW w:w="2984" w:type="dxa"/>
            <w:gridSpan w:val="4"/>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方案新增：</w:t>
            </w:r>
            <w:r>
              <w:rPr>
                <w:rFonts w:hint="eastAsia" w:ascii="Times New Roman" w:hAnsi="Times New Roman" w:eastAsia="仿宋_GB2312"/>
                <w:sz w:val="18"/>
                <w:szCs w:val="18"/>
                <w:lang w:val="zh-CN"/>
              </w:rPr>
              <w:t>临时措施为临时排水</w:t>
            </w:r>
            <w:r>
              <w:rPr>
                <w:rFonts w:ascii="Times New Roman" w:hAnsi="Times New Roman" w:eastAsia="仿宋_GB2312"/>
                <w:sz w:val="18"/>
                <w:szCs w:val="18"/>
              </w:rPr>
              <w:t>400</w:t>
            </w:r>
            <w:r>
              <w:rPr>
                <w:rFonts w:hint="eastAsia" w:ascii="Times New Roman" w:hAnsi="Times New Roman" w:eastAsia="仿宋_GB2312"/>
                <w:sz w:val="18"/>
                <w:szCs w:val="18"/>
              </w:rPr>
              <w:t>m</w:t>
            </w:r>
            <w:r>
              <w:rPr>
                <w:rFonts w:hint="eastAsia" w:ascii="Times New Roman" w:hAnsi="Times New Roman" w:eastAsia="仿宋_GB2312"/>
                <w:sz w:val="18"/>
                <w:szCs w:val="18"/>
                <w:lang w:val="zh-CN"/>
              </w:rPr>
              <w:t>、临时沉沙池</w:t>
            </w:r>
            <w:r>
              <w:rPr>
                <w:rFonts w:ascii="Times New Roman" w:hAnsi="Times New Roman" w:eastAsia="仿宋_GB2312"/>
                <w:sz w:val="18"/>
                <w:szCs w:val="18"/>
                <w:lang w:val="zh-CN"/>
              </w:rPr>
              <w:t>2</w:t>
            </w:r>
            <w:r>
              <w:rPr>
                <w:rFonts w:hint="eastAsia" w:ascii="Times New Roman" w:hAnsi="Times New Roman" w:eastAsia="仿宋_GB2312"/>
                <w:sz w:val="18"/>
                <w:szCs w:val="18"/>
                <w:lang w:val="zh-CN"/>
              </w:rPr>
              <w:t>座、临时铺垫3</w:t>
            </w:r>
            <w:r>
              <w:rPr>
                <w:rFonts w:ascii="Times New Roman" w:hAnsi="Times New Roman" w:eastAsia="仿宋_GB2312"/>
                <w:sz w:val="18"/>
                <w:szCs w:val="18"/>
                <w:lang w:val="zh-CN"/>
              </w:rPr>
              <w:t>600</w:t>
            </w:r>
            <w:r>
              <w:rPr>
                <w:rFonts w:hint="eastAsia" w:ascii="Times New Roman" w:hAnsi="Times New Roman" w:eastAsia="仿宋_GB2312"/>
                <w:sz w:val="18"/>
                <w:szCs w:val="18"/>
              </w:rPr>
              <w:t>m</w:t>
            </w:r>
            <w:r>
              <w:rPr>
                <w:rFonts w:hint="eastAsia" w:ascii="Times New Roman" w:hAnsi="Times New Roman" w:eastAsia="仿宋_GB2312"/>
                <w:sz w:val="18"/>
                <w:szCs w:val="18"/>
                <w:vertAlign w:val="superscript"/>
              </w:rPr>
              <w:t>2</w:t>
            </w:r>
            <w:r>
              <w:rPr>
                <w:rFonts w:hint="eastAsia" w:ascii="Times New Roman" w:hAnsi="Times New Roman" w:eastAsia="仿宋_GB2312"/>
                <w:sz w:val="18"/>
                <w:szCs w:val="1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401" w:type="dxa"/>
            <w:vMerge w:val="continue"/>
            <w:tcMar>
              <w:left w:w="57" w:type="dxa"/>
              <w:right w:w="57" w:type="dxa"/>
            </w:tcMar>
            <w:vAlign w:val="center"/>
          </w:tcPr>
          <w:p>
            <w:pPr>
              <w:snapToGrid w:val="0"/>
              <w:spacing w:line="240" w:lineRule="atLeast"/>
              <w:jc w:val="center"/>
              <w:rPr>
                <w:rFonts w:ascii="Times New Roman" w:hAnsi="Times New Roman" w:eastAsia="仿宋_GB2312"/>
                <w:sz w:val="18"/>
                <w:szCs w:val="18"/>
                <w:highlight w:val="yellow"/>
              </w:rPr>
            </w:pPr>
          </w:p>
        </w:tc>
        <w:tc>
          <w:tcPr>
            <w:tcW w:w="1294" w:type="dxa"/>
            <w:gridSpan w:val="3"/>
            <w:vAlign w:val="center"/>
          </w:tcPr>
          <w:p>
            <w:pPr>
              <w:snapToGrid w:val="0"/>
              <w:spacing w:line="240" w:lineRule="atLeast"/>
              <w:ind w:left="-105" w:leftChars="-50" w:right="-105" w:rightChars="-50"/>
              <w:jc w:val="center"/>
              <w:rPr>
                <w:rFonts w:ascii="Times New Roman" w:hAnsi="Times New Roman" w:eastAsia="仿宋_GB2312"/>
                <w:sz w:val="18"/>
                <w:szCs w:val="18"/>
              </w:rPr>
            </w:pPr>
            <w:r>
              <w:rPr>
                <w:rFonts w:ascii="Times New Roman" w:hAnsi="Times New Roman" w:eastAsia="仿宋_GB2312"/>
                <w:sz w:val="18"/>
                <w:szCs w:val="18"/>
              </w:rPr>
              <w:t>投资（万元）</w:t>
            </w:r>
          </w:p>
        </w:tc>
        <w:tc>
          <w:tcPr>
            <w:tcW w:w="2593" w:type="dxa"/>
            <w:gridSpan w:val="5"/>
            <w:tcMar>
              <w:left w:w="57" w:type="dxa"/>
              <w:right w:w="57" w:type="dxa"/>
            </w:tcMar>
            <w:vAlign w:val="center"/>
          </w:tcPr>
          <w:p>
            <w:pPr>
              <w:snapToGrid w:val="0"/>
              <w:spacing w:line="240" w:lineRule="exact"/>
              <w:rPr>
                <w:rFonts w:ascii="Times New Roman" w:hAnsi="Times New Roman" w:eastAsia="仿宋_GB2312"/>
                <w:sz w:val="18"/>
                <w:szCs w:val="18"/>
              </w:rPr>
            </w:pPr>
            <w:r>
              <w:rPr>
                <w:rFonts w:ascii="Times New Roman" w:hAnsi="Times New Roman" w:eastAsia="仿宋_GB2312"/>
                <w:sz w:val="18"/>
                <w:szCs w:val="18"/>
              </w:rPr>
              <w:t>主体</w:t>
            </w:r>
            <w:r>
              <w:rPr>
                <w:rFonts w:hint="eastAsia" w:ascii="Times New Roman" w:hAnsi="Times New Roman" w:eastAsia="仿宋_GB2312"/>
                <w:sz w:val="18"/>
                <w:szCs w:val="18"/>
              </w:rPr>
              <w:t>已列：246.89</w:t>
            </w:r>
          </w:p>
          <w:p>
            <w:pPr>
              <w:snapToGrid w:val="0"/>
              <w:spacing w:line="240" w:lineRule="exact"/>
              <w:rPr>
                <w:rFonts w:ascii="Times New Roman" w:hAnsi="Times New Roman" w:eastAsia="仿宋_GB2312"/>
                <w:sz w:val="18"/>
                <w:szCs w:val="18"/>
              </w:rPr>
            </w:pPr>
            <w:r>
              <w:rPr>
                <w:rFonts w:ascii="Times New Roman" w:hAnsi="Times New Roman" w:eastAsia="仿宋_GB2312"/>
                <w:sz w:val="18"/>
                <w:szCs w:val="18"/>
                <w:lang w:val="zh-CN"/>
              </w:rPr>
              <w:t>方案新增</w:t>
            </w:r>
            <w:r>
              <w:rPr>
                <w:rFonts w:ascii="Times New Roman" w:hAnsi="Times New Roman" w:eastAsia="仿宋_GB2312"/>
                <w:sz w:val="18"/>
                <w:szCs w:val="18"/>
              </w:rPr>
              <w:t>：</w:t>
            </w:r>
            <w:r>
              <w:rPr>
                <w:rFonts w:hint="eastAsia" w:ascii="Times New Roman" w:hAnsi="Times New Roman" w:eastAsia="仿宋_GB2312"/>
                <w:sz w:val="18"/>
                <w:szCs w:val="18"/>
              </w:rPr>
              <w:t>29.91</w:t>
            </w:r>
          </w:p>
        </w:tc>
        <w:tc>
          <w:tcPr>
            <w:tcW w:w="2436" w:type="dxa"/>
            <w:gridSpan w:val="5"/>
            <w:vAlign w:val="center"/>
          </w:tcPr>
          <w:p>
            <w:pPr>
              <w:snapToGrid w:val="0"/>
              <w:spacing w:line="240" w:lineRule="exact"/>
              <w:rPr>
                <w:rFonts w:ascii="Times New Roman" w:hAnsi="Times New Roman" w:eastAsia="仿宋_GB2312"/>
                <w:sz w:val="18"/>
                <w:szCs w:val="18"/>
              </w:rPr>
            </w:pPr>
            <w:r>
              <w:rPr>
                <w:rFonts w:ascii="Times New Roman" w:hAnsi="Times New Roman" w:eastAsia="仿宋_GB2312"/>
                <w:sz w:val="18"/>
                <w:szCs w:val="18"/>
              </w:rPr>
              <w:t>主体</w:t>
            </w:r>
            <w:r>
              <w:rPr>
                <w:rFonts w:hint="eastAsia" w:ascii="Times New Roman" w:hAnsi="Times New Roman" w:eastAsia="仿宋_GB2312"/>
                <w:sz w:val="18"/>
                <w:szCs w:val="18"/>
              </w:rPr>
              <w:t>已列：116.92</w:t>
            </w:r>
          </w:p>
          <w:p>
            <w:pPr>
              <w:snapToGrid w:val="0"/>
              <w:spacing w:line="240" w:lineRule="exact"/>
              <w:rPr>
                <w:rFonts w:ascii="Times New Roman" w:hAnsi="Times New Roman" w:eastAsia="仿宋_GB2312"/>
                <w:sz w:val="18"/>
                <w:szCs w:val="18"/>
              </w:rPr>
            </w:pPr>
            <w:r>
              <w:rPr>
                <w:rFonts w:ascii="Times New Roman" w:hAnsi="Times New Roman" w:eastAsia="仿宋_GB2312"/>
                <w:sz w:val="18"/>
                <w:szCs w:val="18"/>
                <w:lang w:val="zh-CN"/>
              </w:rPr>
              <w:t>方案新增</w:t>
            </w:r>
            <w:r>
              <w:rPr>
                <w:rFonts w:ascii="Times New Roman" w:hAnsi="Times New Roman" w:eastAsia="仿宋_GB2312"/>
                <w:sz w:val="18"/>
                <w:szCs w:val="18"/>
              </w:rPr>
              <w:t>：</w:t>
            </w:r>
            <w:r>
              <w:rPr>
                <w:rFonts w:hint="eastAsia" w:ascii="Times New Roman" w:hAnsi="Times New Roman" w:eastAsia="仿宋_GB2312"/>
                <w:sz w:val="18"/>
                <w:szCs w:val="18"/>
              </w:rPr>
              <w:t>6.28</w:t>
            </w:r>
          </w:p>
        </w:tc>
        <w:tc>
          <w:tcPr>
            <w:tcW w:w="2984" w:type="dxa"/>
            <w:gridSpan w:val="4"/>
            <w:vAlign w:val="center"/>
          </w:tcPr>
          <w:p>
            <w:pPr>
              <w:snapToGrid w:val="0"/>
              <w:spacing w:line="240" w:lineRule="exact"/>
              <w:rPr>
                <w:rFonts w:ascii="Times New Roman" w:hAnsi="Times New Roman" w:eastAsia="仿宋_GB2312"/>
                <w:sz w:val="18"/>
                <w:szCs w:val="18"/>
              </w:rPr>
            </w:pPr>
            <w:r>
              <w:rPr>
                <w:rFonts w:ascii="Times New Roman" w:hAnsi="Times New Roman" w:eastAsia="仿宋_GB2312"/>
                <w:sz w:val="18"/>
                <w:szCs w:val="18"/>
              </w:rPr>
              <w:t>主体</w:t>
            </w:r>
            <w:r>
              <w:rPr>
                <w:rFonts w:hint="eastAsia" w:ascii="Times New Roman" w:hAnsi="Times New Roman" w:eastAsia="仿宋_GB2312"/>
                <w:sz w:val="18"/>
                <w:szCs w:val="18"/>
              </w:rPr>
              <w:t>已列</w:t>
            </w:r>
            <w:r>
              <w:rPr>
                <w:rFonts w:ascii="Times New Roman" w:hAnsi="Times New Roman" w:eastAsia="仿宋_GB2312"/>
                <w:sz w:val="18"/>
                <w:szCs w:val="18"/>
              </w:rPr>
              <w:t>：</w:t>
            </w:r>
            <w:r>
              <w:rPr>
                <w:rFonts w:hint="eastAsia" w:ascii="Times New Roman" w:hAnsi="Times New Roman" w:eastAsia="仿宋_GB2312"/>
                <w:sz w:val="18"/>
                <w:szCs w:val="18"/>
              </w:rPr>
              <w:t>12.50</w:t>
            </w:r>
          </w:p>
          <w:p>
            <w:pPr>
              <w:snapToGrid w:val="0"/>
              <w:spacing w:line="240" w:lineRule="exact"/>
              <w:rPr>
                <w:rFonts w:ascii="Times New Roman" w:hAnsi="Times New Roman" w:eastAsia="仿宋_GB2312"/>
                <w:sz w:val="18"/>
                <w:szCs w:val="18"/>
              </w:rPr>
            </w:pPr>
            <w:r>
              <w:rPr>
                <w:rFonts w:ascii="Times New Roman" w:hAnsi="Times New Roman" w:eastAsia="仿宋_GB2312"/>
                <w:sz w:val="18"/>
                <w:szCs w:val="18"/>
                <w:lang w:val="zh-CN"/>
              </w:rPr>
              <w:t>方案新增</w:t>
            </w:r>
            <w:r>
              <w:rPr>
                <w:rFonts w:ascii="Times New Roman" w:hAnsi="Times New Roman" w:eastAsia="仿宋_GB2312"/>
                <w:sz w:val="18"/>
                <w:szCs w:val="18"/>
              </w:rPr>
              <w:t>：</w:t>
            </w:r>
            <w:r>
              <w:rPr>
                <w:rFonts w:hint="eastAsia" w:ascii="Times New Roman" w:hAnsi="Times New Roman" w:eastAsia="仿宋_GB2312"/>
                <w:sz w:val="18"/>
                <w:szCs w:val="18"/>
              </w:rPr>
              <w:t>101.06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95" w:type="dxa"/>
            <w:gridSpan w:val="4"/>
            <w:tcMar>
              <w:left w:w="57" w:type="dxa"/>
              <w:right w:w="57" w:type="dxa"/>
            </w:tcMar>
            <w:vAlign w:val="center"/>
          </w:tcPr>
          <w:p>
            <w:pPr>
              <w:widowControl/>
              <w:adjustRightInd w:val="0"/>
              <w:snapToGrid w:val="0"/>
              <w:jc w:val="center"/>
              <w:rPr>
                <w:rFonts w:ascii="Times New Roman" w:hAnsi="Times New Roman" w:eastAsia="仿宋_GB2312"/>
                <w:sz w:val="18"/>
                <w:szCs w:val="18"/>
              </w:rPr>
            </w:pPr>
            <w:r>
              <w:rPr>
                <w:rFonts w:ascii="Times New Roman" w:hAnsi="Times New Roman" w:eastAsia="仿宋_GB2312"/>
                <w:sz w:val="18"/>
                <w:szCs w:val="18"/>
              </w:rPr>
              <w:t>水土保持总投资（万元）</w:t>
            </w:r>
          </w:p>
        </w:tc>
        <w:tc>
          <w:tcPr>
            <w:tcW w:w="2593" w:type="dxa"/>
            <w:gridSpan w:val="5"/>
            <w:tcMar>
              <w:left w:w="57" w:type="dxa"/>
              <w:right w:w="57" w:type="dxa"/>
            </w:tcMar>
            <w:vAlign w:val="center"/>
          </w:tcPr>
          <w:p>
            <w:pPr>
              <w:widowControl/>
              <w:adjustRightInd w:val="0"/>
              <w:snapToGrid w:val="0"/>
              <w:jc w:val="center"/>
              <w:rPr>
                <w:rFonts w:ascii="Times New Roman" w:hAnsi="Times New Roman" w:eastAsia="仿宋_GB2312"/>
                <w:sz w:val="18"/>
                <w:szCs w:val="18"/>
              </w:rPr>
            </w:pPr>
            <w:r>
              <w:rPr>
                <w:rFonts w:hint="eastAsia" w:ascii="Times New Roman" w:hAnsi="Times New Roman" w:eastAsia="仿宋_GB2312"/>
                <w:sz w:val="18"/>
                <w:szCs w:val="18"/>
              </w:rPr>
              <w:t>620.58</w:t>
            </w:r>
            <w:r>
              <w:rPr>
                <w:rFonts w:ascii="Times New Roman" w:hAnsi="Times New Roman" w:eastAsia="仿宋_GB2312"/>
                <w:sz w:val="18"/>
                <w:szCs w:val="18"/>
              </w:rPr>
              <w:t>(方案新增</w:t>
            </w:r>
            <w:r>
              <w:rPr>
                <w:rFonts w:hint="eastAsia" w:ascii="Times New Roman" w:hAnsi="Times New Roman" w:eastAsia="仿宋_GB2312"/>
                <w:sz w:val="18"/>
                <w:szCs w:val="18"/>
              </w:rPr>
              <w:t>244.27</w:t>
            </w:r>
            <w:r>
              <w:rPr>
                <w:rFonts w:ascii="Times New Roman" w:hAnsi="Times New Roman" w:eastAsia="仿宋_GB2312"/>
                <w:sz w:val="18"/>
                <w:szCs w:val="18"/>
              </w:rPr>
              <w:t>）</w:t>
            </w:r>
          </w:p>
        </w:tc>
        <w:tc>
          <w:tcPr>
            <w:tcW w:w="2436" w:type="dxa"/>
            <w:gridSpan w:val="5"/>
            <w:vAlign w:val="center"/>
          </w:tcPr>
          <w:p>
            <w:pPr>
              <w:widowControl/>
              <w:adjustRightInd w:val="0"/>
              <w:snapToGrid w:val="0"/>
              <w:jc w:val="center"/>
              <w:rPr>
                <w:rFonts w:ascii="Times New Roman" w:hAnsi="Times New Roman" w:eastAsia="仿宋_GB2312"/>
                <w:sz w:val="18"/>
                <w:szCs w:val="18"/>
              </w:rPr>
            </w:pPr>
            <w:r>
              <w:rPr>
                <w:rFonts w:ascii="Times New Roman" w:hAnsi="Times New Roman" w:eastAsia="仿宋_GB2312"/>
                <w:sz w:val="18"/>
                <w:szCs w:val="18"/>
              </w:rPr>
              <w:t>独立费（万元）</w:t>
            </w:r>
          </w:p>
        </w:tc>
        <w:tc>
          <w:tcPr>
            <w:tcW w:w="2984" w:type="dxa"/>
            <w:gridSpan w:val="4"/>
            <w:vAlign w:val="center"/>
          </w:tcPr>
          <w:p>
            <w:pPr>
              <w:widowControl/>
              <w:adjustRightInd w:val="0"/>
              <w:snapToGrid w:val="0"/>
              <w:jc w:val="center"/>
              <w:rPr>
                <w:rFonts w:ascii="Times New Roman" w:hAnsi="Times New Roman" w:eastAsia="仿宋_GB2312"/>
                <w:sz w:val="18"/>
                <w:szCs w:val="18"/>
              </w:rPr>
            </w:pPr>
            <w:r>
              <w:rPr>
                <w:rFonts w:hint="eastAsia" w:ascii="Times New Roman" w:hAnsi="Times New Roman" w:eastAsia="仿宋_GB2312"/>
                <w:sz w:val="18"/>
                <w:szCs w:val="18"/>
              </w:rPr>
              <w:t>50.19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95" w:type="dxa"/>
            <w:gridSpan w:val="4"/>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监理费(万元)</w:t>
            </w:r>
          </w:p>
        </w:tc>
        <w:tc>
          <w:tcPr>
            <w:tcW w:w="1034" w:type="dxa"/>
            <w:gridSpan w:val="2"/>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4.72</w:t>
            </w:r>
          </w:p>
        </w:tc>
        <w:tc>
          <w:tcPr>
            <w:tcW w:w="1559" w:type="dxa"/>
            <w:gridSpan w:val="3"/>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监测费（万元）</w:t>
            </w:r>
          </w:p>
        </w:tc>
        <w:tc>
          <w:tcPr>
            <w:tcW w:w="2436" w:type="dxa"/>
            <w:gridSpan w:val="5"/>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16.02</w:t>
            </w:r>
          </w:p>
        </w:tc>
        <w:tc>
          <w:tcPr>
            <w:tcW w:w="1580" w:type="dxa"/>
            <w:gridSpan w:val="3"/>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补偿费（万元）</w:t>
            </w:r>
          </w:p>
        </w:tc>
        <w:tc>
          <w:tcPr>
            <w:tcW w:w="1404" w:type="dxa"/>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28.60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312" w:type="dxa"/>
            <w:gridSpan w:val="2"/>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方案编制单位</w:t>
            </w:r>
          </w:p>
        </w:tc>
        <w:tc>
          <w:tcPr>
            <w:tcW w:w="3260" w:type="dxa"/>
            <w:gridSpan w:val="9"/>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重庆市水利电力建筑勘测设计研究院有限公司</w:t>
            </w:r>
          </w:p>
        </w:tc>
        <w:tc>
          <w:tcPr>
            <w:tcW w:w="1701"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建设单位</w:t>
            </w:r>
          </w:p>
        </w:tc>
        <w:tc>
          <w:tcPr>
            <w:tcW w:w="3435" w:type="dxa"/>
            <w:gridSpan w:val="5"/>
            <w:vAlign w:val="center"/>
          </w:tcPr>
          <w:p>
            <w:pPr>
              <w:jc w:val="center"/>
              <w:rPr>
                <w:rFonts w:ascii="Times New Roman" w:hAnsi="Times New Roman" w:eastAsia="仿宋_GB2312"/>
                <w:sz w:val="18"/>
                <w:szCs w:val="18"/>
              </w:rPr>
            </w:pPr>
            <w:r>
              <w:rPr>
                <w:rFonts w:ascii="Times New Roman" w:hAnsi="Times New Roman" w:eastAsia="仿宋_GB2312"/>
                <w:spacing w:val="-6"/>
                <w:sz w:val="18"/>
                <w:szCs w:val="18"/>
              </w:rPr>
              <w:t>重庆天泰热力有限公司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312" w:type="dxa"/>
            <w:gridSpan w:val="2"/>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法定代表人</w:t>
            </w:r>
          </w:p>
        </w:tc>
        <w:tc>
          <w:tcPr>
            <w:tcW w:w="3260" w:type="dxa"/>
            <w:gridSpan w:val="9"/>
            <w:vAlign w:val="center"/>
          </w:tcPr>
          <w:p>
            <w:pPr>
              <w:snapToGrid w:val="0"/>
              <w:spacing w:line="240" w:lineRule="atLeast"/>
              <w:jc w:val="center"/>
              <w:rPr>
                <w:rFonts w:ascii="Times New Roman" w:hAnsi="Times New Roman" w:eastAsia="仿宋_GB2312"/>
                <w:sz w:val="18"/>
                <w:szCs w:val="18"/>
              </w:rPr>
            </w:pPr>
            <w:r>
              <w:rPr>
                <w:rFonts w:hint="eastAsia" w:ascii="Times New Roman" w:hAnsi="Times New Roman" w:eastAsia="仿宋_GB2312"/>
                <w:sz w:val="18"/>
                <w:szCs w:val="18"/>
              </w:rPr>
              <w:t>黄实</w:t>
            </w:r>
          </w:p>
        </w:tc>
        <w:tc>
          <w:tcPr>
            <w:tcW w:w="1701"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法定代表人</w:t>
            </w:r>
          </w:p>
        </w:tc>
        <w:tc>
          <w:tcPr>
            <w:tcW w:w="3435" w:type="dxa"/>
            <w:gridSpan w:val="5"/>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胡荣权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312" w:type="dxa"/>
            <w:gridSpan w:val="2"/>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地址</w:t>
            </w:r>
          </w:p>
        </w:tc>
        <w:tc>
          <w:tcPr>
            <w:tcW w:w="3260" w:type="dxa"/>
            <w:gridSpan w:val="9"/>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重庆市渝北区太湖西路2号2栋18-14</w:t>
            </w:r>
          </w:p>
        </w:tc>
        <w:tc>
          <w:tcPr>
            <w:tcW w:w="1701"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地址</w:t>
            </w:r>
          </w:p>
        </w:tc>
        <w:tc>
          <w:tcPr>
            <w:tcW w:w="3435" w:type="dxa"/>
            <w:gridSpan w:val="5"/>
            <w:vAlign w:val="center"/>
          </w:tcPr>
          <w:p>
            <w:pPr>
              <w:jc w:val="center"/>
              <w:rPr>
                <w:rFonts w:ascii="Times New Roman" w:hAnsi="Times New Roman" w:eastAsia="仿宋_GB2312"/>
                <w:sz w:val="18"/>
                <w:szCs w:val="18"/>
              </w:rPr>
            </w:pPr>
            <w:r>
              <w:rPr>
                <w:rFonts w:hint="eastAsia" w:ascii="Times New Roman" w:hAnsi="Times New Roman" w:eastAsia="仿宋_GB2312"/>
                <w:spacing w:val="-10"/>
                <w:sz w:val="18"/>
                <w:szCs w:val="18"/>
              </w:rPr>
              <w:t>重庆市永川区松溉镇松江村34幢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312" w:type="dxa"/>
            <w:gridSpan w:val="2"/>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邮编</w:t>
            </w:r>
          </w:p>
        </w:tc>
        <w:tc>
          <w:tcPr>
            <w:tcW w:w="3260" w:type="dxa"/>
            <w:gridSpan w:val="9"/>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400020</w:t>
            </w:r>
          </w:p>
        </w:tc>
        <w:tc>
          <w:tcPr>
            <w:tcW w:w="1701"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邮编</w:t>
            </w:r>
          </w:p>
        </w:tc>
        <w:tc>
          <w:tcPr>
            <w:tcW w:w="3435" w:type="dxa"/>
            <w:gridSpan w:val="5"/>
            <w:vAlign w:val="center"/>
          </w:tcPr>
          <w:p>
            <w:pPr>
              <w:jc w:val="center"/>
              <w:rPr>
                <w:rFonts w:ascii="Times New Roman" w:hAnsi="Times New Roman" w:eastAsia="仿宋_GB2312"/>
                <w:sz w:val="18"/>
                <w:szCs w:val="18"/>
              </w:rPr>
            </w:pPr>
            <w:r>
              <w:rPr>
                <w:rFonts w:ascii="Times New Roman" w:hAnsi="Times New Roman" w:eastAsia="仿宋_GB2312"/>
                <w:sz w:val="18"/>
                <w:szCs w:val="18"/>
              </w:rPr>
              <w:t>402186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312" w:type="dxa"/>
            <w:gridSpan w:val="2"/>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联系人及电话</w:t>
            </w:r>
          </w:p>
        </w:tc>
        <w:tc>
          <w:tcPr>
            <w:tcW w:w="3260" w:type="dxa"/>
            <w:gridSpan w:val="9"/>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傅凯 15</w:t>
            </w:r>
            <w:r>
              <w:rPr>
                <w:rFonts w:hint="eastAsia" w:ascii="Times New Roman" w:hAnsi="Times New Roman" w:eastAsia="仿宋_GB2312"/>
                <w:sz w:val="18"/>
                <w:szCs w:val="18"/>
                <w:lang w:val="en-US" w:eastAsia="zh"/>
              </w:rPr>
              <w:t>***</w:t>
            </w:r>
            <w:r>
              <w:rPr>
                <w:rFonts w:ascii="Times New Roman" w:hAnsi="Times New Roman" w:eastAsia="仿宋_GB2312"/>
                <w:sz w:val="18"/>
                <w:szCs w:val="18"/>
              </w:rPr>
              <w:t>01</w:t>
            </w:r>
          </w:p>
        </w:tc>
        <w:tc>
          <w:tcPr>
            <w:tcW w:w="1701"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联系人及电话</w:t>
            </w:r>
          </w:p>
        </w:tc>
        <w:tc>
          <w:tcPr>
            <w:tcW w:w="3435" w:type="dxa"/>
            <w:gridSpan w:val="5"/>
            <w:vAlign w:val="center"/>
          </w:tcPr>
          <w:p>
            <w:pPr>
              <w:jc w:val="center"/>
              <w:rPr>
                <w:rFonts w:ascii="Times New Roman" w:hAnsi="Times New Roman" w:eastAsia="仿宋_GB2312"/>
                <w:sz w:val="18"/>
                <w:szCs w:val="18"/>
              </w:rPr>
            </w:pPr>
            <w:r>
              <w:rPr>
                <w:rFonts w:hint="eastAsia" w:ascii="Times New Roman" w:hAnsi="Times New Roman" w:eastAsia="仿宋_GB2312"/>
                <w:spacing w:val="-10"/>
                <w:sz w:val="18"/>
                <w:szCs w:val="18"/>
              </w:rPr>
              <w:t xml:space="preserve">夏橙林 </w:t>
            </w:r>
            <w:r>
              <w:rPr>
                <w:rFonts w:hint="eastAsia" w:ascii="Times New Roman" w:hAnsi="Times New Roman" w:eastAsia="仿宋_GB2312"/>
                <w:sz w:val="18"/>
                <w:szCs w:val="18"/>
              </w:rPr>
              <w:t>1</w:t>
            </w:r>
            <w:r>
              <w:rPr>
                <w:rFonts w:ascii="Times New Roman" w:hAnsi="Times New Roman" w:eastAsia="仿宋_GB2312"/>
                <w:sz w:val="18"/>
                <w:szCs w:val="18"/>
              </w:rPr>
              <w:t>9</w:t>
            </w:r>
            <w:r>
              <w:rPr>
                <w:rFonts w:hint="eastAsia" w:ascii="Times New Roman" w:hAnsi="Times New Roman" w:eastAsia="仿宋_GB2312"/>
                <w:sz w:val="18"/>
                <w:szCs w:val="18"/>
                <w:lang w:val="en-US" w:eastAsia="zh"/>
              </w:rPr>
              <w:t>***</w:t>
            </w:r>
            <w:r>
              <w:rPr>
                <w:rFonts w:ascii="Times New Roman" w:hAnsi="Times New Roman" w:eastAsia="仿宋_GB2312"/>
                <w:sz w:val="18"/>
                <w:szCs w:val="18"/>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312" w:type="dxa"/>
            <w:gridSpan w:val="2"/>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传真</w:t>
            </w:r>
          </w:p>
        </w:tc>
        <w:tc>
          <w:tcPr>
            <w:tcW w:w="3260" w:type="dxa"/>
            <w:gridSpan w:val="9"/>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sz w:val="18"/>
                <w:szCs w:val="18"/>
              </w:rPr>
              <w:t>023-88</w:t>
            </w:r>
            <w:r>
              <w:rPr>
                <w:rFonts w:hint="eastAsia" w:ascii="Times New Roman" w:hAnsi="Times New Roman" w:eastAsia="仿宋_GB2312"/>
                <w:sz w:val="18"/>
                <w:szCs w:val="18"/>
                <w:lang w:val="en-US" w:eastAsia="zh"/>
              </w:rPr>
              <w:t>***</w:t>
            </w:r>
            <w:r>
              <w:rPr>
                <w:rFonts w:ascii="Times New Roman" w:hAnsi="Times New Roman" w:eastAsia="仿宋_GB2312"/>
                <w:sz w:val="18"/>
                <w:szCs w:val="18"/>
              </w:rPr>
              <w:t>55</w:t>
            </w:r>
          </w:p>
        </w:tc>
        <w:tc>
          <w:tcPr>
            <w:tcW w:w="1701"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传真</w:t>
            </w:r>
          </w:p>
        </w:tc>
        <w:tc>
          <w:tcPr>
            <w:tcW w:w="3435" w:type="dxa"/>
            <w:gridSpan w:val="5"/>
            <w:vAlign w:val="center"/>
          </w:tcPr>
          <w:p>
            <w:pPr>
              <w:jc w:val="center"/>
              <w:rPr>
                <w:rFonts w:ascii="Times New Roman" w:hAnsi="Times New Roman"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312" w:type="dxa"/>
            <w:gridSpan w:val="2"/>
            <w:tcMar>
              <w:left w:w="57" w:type="dxa"/>
              <w:right w:w="57" w:type="dxa"/>
            </w:tcMar>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电子信箱</w:t>
            </w:r>
          </w:p>
        </w:tc>
        <w:tc>
          <w:tcPr>
            <w:tcW w:w="3260" w:type="dxa"/>
            <w:gridSpan w:val="9"/>
            <w:vAlign w:val="center"/>
          </w:tcPr>
          <w:p>
            <w:pPr>
              <w:jc w:val="center"/>
              <w:rPr>
                <w:rFonts w:ascii="Times New Roman" w:hAnsi="Times New Roman" w:eastAsia="仿宋_GB2312"/>
                <w:sz w:val="18"/>
                <w:szCs w:val="18"/>
              </w:rPr>
            </w:pPr>
            <w:r>
              <w:rPr>
                <w:rFonts w:ascii="Times New Roman" w:hAnsi="Times New Roman" w:eastAsia="仿宋_GB2312"/>
                <w:sz w:val="18"/>
                <w:szCs w:val="18"/>
              </w:rPr>
              <w:t>25</w:t>
            </w:r>
            <w:r>
              <w:rPr>
                <w:rFonts w:hint="eastAsia" w:ascii="Times New Roman" w:hAnsi="Times New Roman" w:eastAsia="仿宋_GB2312"/>
                <w:sz w:val="18"/>
                <w:szCs w:val="18"/>
                <w:lang w:val="en-US" w:eastAsia="zh"/>
              </w:rPr>
              <w:t>***</w:t>
            </w:r>
            <w:r>
              <w:rPr>
                <w:rFonts w:ascii="Times New Roman" w:hAnsi="Times New Roman" w:eastAsia="仿宋_GB2312"/>
                <w:sz w:val="18"/>
                <w:szCs w:val="18"/>
              </w:rPr>
              <w:t>75@qq.com</w:t>
            </w:r>
          </w:p>
        </w:tc>
        <w:tc>
          <w:tcPr>
            <w:tcW w:w="1701" w:type="dxa"/>
            <w:gridSpan w:val="2"/>
            <w:vAlign w:val="center"/>
          </w:tcPr>
          <w:p>
            <w:pPr>
              <w:snapToGrid w:val="0"/>
              <w:spacing w:line="240" w:lineRule="atLeast"/>
              <w:jc w:val="center"/>
              <w:rPr>
                <w:rFonts w:ascii="Times New Roman" w:hAnsi="Times New Roman" w:eastAsia="仿宋_GB2312"/>
                <w:sz w:val="18"/>
                <w:szCs w:val="18"/>
              </w:rPr>
            </w:pPr>
            <w:r>
              <w:rPr>
                <w:rFonts w:ascii="Times New Roman" w:hAnsi="Times New Roman" w:eastAsia="仿宋_GB2312"/>
                <w:kern w:val="0"/>
                <w:sz w:val="18"/>
                <w:szCs w:val="18"/>
              </w:rPr>
              <w:t>电子信箱</w:t>
            </w:r>
          </w:p>
        </w:tc>
        <w:tc>
          <w:tcPr>
            <w:tcW w:w="3435" w:type="dxa"/>
            <w:gridSpan w:val="5"/>
            <w:vAlign w:val="center"/>
          </w:tcPr>
          <w:p>
            <w:pPr>
              <w:jc w:val="center"/>
              <w:rPr>
                <w:rFonts w:ascii="Times New Roman" w:hAnsi="Times New Roman" w:eastAsia="仿宋_GB2312"/>
                <w:sz w:val="18"/>
                <w:szCs w:val="18"/>
              </w:rPr>
            </w:pPr>
          </w:p>
        </w:tc>
      </w:tr>
    </w:tbl>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pPr>
        <w:spacing w:line="594"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2</w:t>
      </w:r>
    </w:p>
    <w:p>
      <w:pPr>
        <w:spacing w:line="594" w:lineRule="exact"/>
        <w:jc w:val="center"/>
        <w:rPr>
          <w:rFonts w:hint="eastAsia" w:ascii="Times New Roman" w:hAnsi="Times New Roman" w:eastAsia="方正小标宋_GBK"/>
          <w:bCs/>
          <w:sz w:val="44"/>
          <w:szCs w:val="44"/>
          <w:lang w:bidi="ar"/>
        </w:rPr>
      </w:pPr>
    </w:p>
    <w:p>
      <w:pPr>
        <w:spacing w:line="594" w:lineRule="exact"/>
        <w:jc w:val="center"/>
        <w:rPr>
          <w:rFonts w:ascii="Times New Roman" w:hAnsi="Times New Roman" w:eastAsia="方正小标宋_GBK"/>
          <w:bCs/>
          <w:sz w:val="44"/>
          <w:szCs w:val="44"/>
          <w:lang w:bidi="ar"/>
        </w:rPr>
      </w:pPr>
      <w:r>
        <w:rPr>
          <w:rFonts w:hint="eastAsia" w:ascii="Times New Roman" w:hAnsi="Times New Roman" w:eastAsia="方正小标宋_GBK"/>
          <w:bCs/>
          <w:sz w:val="44"/>
          <w:szCs w:val="44"/>
          <w:lang w:bidi="ar"/>
        </w:rPr>
        <w:t>港桥园区“上大压小”热电联产项目水土</w:t>
      </w:r>
    </w:p>
    <w:p>
      <w:pPr>
        <w:spacing w:line="594" w:lineRule="exact"/>
        <w:jc w:val="center"/>
        <w:rPr>
          <w:rFonts w:ascii="Times New Roman" w:hAnsi="Times New Roman" w:eastAsia="方正小标宋_GBK"/>
          <w:bCs/>
          <w:sz w:val="44"/>
          <w:szCs w:val="44"/>
          <w:lang w:bidi="ar"/>
        </w:rPr>
      </w:pPr>
      <w:r>
        <w:rPr>
          <w:rFonts w:hint="eastAsia" w:ascii="Times New Roman" w:hAnsi="Times New Roman" w:eastAsia="方正小标宋_GBK"/>
          <w:bCs/>
          <w:sz w:val="44"/>
          <w:szCs w:val="44"/>
          <w:lang w:bidi="ar"/>
        </w:rPr>
        <w:t>保持方案报告书</w:t>
      </w:r>
      <w:r>
        <w:rPr>
          <w:rFonts w:ascii="Times New Roman" w:hAnsi="Times New Roman" w:eastAsia="方正小标宋_GBK"/>
          <w:sz w:val="44"/>
          <w:szCs w:val="44"/>
        </w:rPr>
        <w:t>专家评审意见</w:t>
      </w:r>
    </w:p>
    <w:p>
      <w:pPr>
        <w:spacing w:line="594" w:lineRule="exact"/>
        <w:ind w:firstLine="200"/>
        <w:rPr>
          <w:rFonts w:ascii="Times New Roman" w:hAnsi="Times New Roman" w:eastAsia="方正小标宋_GBK"/>
          <w:color w:val="FF0000"/>
          <w:sz w:val="44"/>
          <w:szCs w:val="44"/>
        </w:rPr>
      </w:pPr>
    </w:p>
    <w:p>
      <w:pPr>
        <w:spacing w:line="594" w:lineRule="exact"/>
        <w:ind w:firstLine="640" w:firstLineChars="200"/>
        <w:rPr>
          <w:rFonts w:ascii="Times New Roman" w:hAnsi="Times New Roman" w:eastAsia="方正仿宋_GBK"/>
          <w:sz w:val="32"/>
          <w:szCs w:val="32"/>
          <w:lang w:bidi="ar"/>
        </w:rPr>
      </w:pPr>
      <w:r>
        <w:rPr>
          <w:rFonts w:hint="eastAsia" w:ascii="Times New Roman" w:hAnsi="Times New Roman" w:eastAsia="方正仿宋_GBK"/>
          <w:sz w:val="32"/>
          <w:szCs w:val="32"/>
          <w:lang w:bidi="ar"/>
        </w:rPr>
        <w:t>2022年10月10日，</w:t>
      </w:r>
      <w:r>
        <w:rPr>
          <w:rFonts w:ascii="Times New Roman" w:hAnsi="Times New Roman" w:eastAsia="方正仿宋_GBK"/>
          <w:sz w:val="32"/>
          <w:szCs w:val="32"/>
          <w:lang w:bidi="ar"/>
        </w:rPr>
        <w:t>重庆市水利局组织召开了《</w:t>
      </w:r>
      <w:r>
        <w:rPr>
          <w:rFonts w:hint="eastAsia" w:ascii="Times New Roman" w:hAnsi="Times New Roman" w:eastAsia="方正仿宋_GBK"/>
          <w:bCs/>
          <w:sz w:val="32"/>
          <w:szCs w:val="32"/>
          <w:lang w:bidi="ar"/>
        </w:rPr>
        <w:t>港桥园区“上大压小”热电联产项目水土保持方案报告书</w:t>
      </w:r>
      <w:r>
        <w:rPr>
          <w:rFonts w:ascii="Times New Roman" w:hAnsi="Times New Roman" w:eastAsia="方正仿宋_GBK"/>
          <w:sz w:val="32"/>
          <w:szCs w:val="32"/>
          <w:lang w:bidi="ar"/>
        </w:rPr>
        <w:t>》（以下简称《水保方案》）专家评审会。</w:t>
      </w:r>
      <w:r>
        <w:rPr>
          <w:rFonts w:hint="eastAsia" w:ascii="Times New Roman" w:hAnsi="Times New Roman" w:eastAsia="方正仿宋_GBK"/>
          <w:sz w:val="32"/>
          <w:szCs w:val="32"/>
          <w:lang w:bidi="ar"/>
        </w:rPr>
        <w:t>永川区水利局、重庆天泰热力有限公司（以下简称项目法人）、重庆市水利电力建筑勘测设计研究院有限公司（以下简称报告编制单位）</w:t>
      </w:r>
      <w:r>
        <w:rPr>
          <w:rFonts w:ascii="Times New Roman" w:hAnsi="Times New Roman" w:eastAsia="方正仿宋_GBK"/>
          <w:sz w:val="32"/>
          <w:szCs w:val="32"/>
          <w:lang w:bidi="ar"/>
        </w:rPr>
        <w:t>的代表参加了会议。会议成立了专家组，专家组成员会前详细审阅了《水保方案》，与会人员会上认真听取了项目法人和报告编制单位的汇报，进行了深入讨论。根据“渝水〔2018〕267号”</w:t>
      </w:r>
      <w:r>
        <w:rPr>
          <w:rFonts w:hint="eastAsia" w:ascii="Times New Roman" w:hAnsi="Times New Roman" w:eastAsia="方正仿宋_GBK"/>
          <w:sz w:val="32"/>
          <w:szCs w:val="32"/>
          <w:lang w:bidi="ar"/>
        </w:rPr>
        <w:t xml:space="preserve">、 </w:t>
      </w:r>
      <w:r>
        <w:rPr>
          <w:rFonts w:ascii="Times New Roman" w:hAnsi="Times New Roman" w:eastAsia="方正仿宋_GBK"/>
          <w:sz w:val="32"/>
          <w:szCs w:val="32"/>
        </w:rPr>
        <w:t>“</w:t>
      </w:r>
      <w:r>
        <w:rPr>
          <w:rFonts w:hint="eastAsia" w:ascii="Times New Roman" w:hAnsi="Times New Roman" w:eastAsia="方正仿宋_GBK"/>
          <w:sz w:val="32"/>
          <w:szCs w:val="32"/>
        </w:rPr>
        <w:t>水保监〔</w:t>
      </w:r>
      <w:r>
        <w:rPr>
          <w:rFonts w:ascii="Times New Roman" w:hAnsi="Times New Roman" w:eastAsia="方正仿宋_GBK"/>
          <w:sz w:val="32"/>
          <w:szCs w:val="32"/>
        </w:rPr>
        <w:t>2020</w:t>
      </w:r>
      <w:r>
        <w:rPr>
          <w:rFonts w:hint="eastAsia" w:ascii="Times New Roman" w:hAnsi="Times New Roman" w:eastAsia="方正仿宋_GBK"/>
          <w:sz w:val="32"/>
          <w:szCs w:val="32"/>
        </w:rPr>
        <w:t>〕</w:t>
      </w:r>
      <w:r>
        <w:rPr>
          <w:rFonts w:ascii="Times New Roman" w:hAnsi="Times New Roman" w:eastAsia="方正仿宋_GBK"/>
          <w:sz w:val="32"/>
          <w:szCs w:val="32"/>
        </w:rPr>
        <w:t>63</w:t>
      </w:r>
      <w:r>
        <w:rPr>
          <w:rFonts w:hint="eastAsia" w:ascii="Times New Roman" w:hAnsi="Times New Roman" w:eastAsia="方正仿宋_GBK"/>
          <w:sz w:val="32"/>
          <w:szCs w:val="32"/>
        </w:rPr>
        <w:t>号</w:t>
      </w:r>
      <w:r>
        <w:rPr>
          <w:rFonts w:ascii="Times New Roman" w:hAnsi="Times New Roman" w:eastAsia="方正仿宋_GBK"/>
          <w:sz w:val="32"/>
          <w:szCs w:val="32"/>
        </w:rPr>
        <w:t>”</w:t>
      </w:r>
      <w:r>
        <w:rPr>
          <w:rFonts w:hint="eastAsia" w:ascii="Times New Roman" w:hAnsi="Times New Roman" w:eastAsia="方正仿宋_GBK"/>
          <w:sz w:val="32"/>
          <w:szCs w:val="32"/>
          <w:lang w:bidi="ar"/>
        </w:rPr>
        <w:t>和“渝水规范〔2021〕2</w:t>
      </w:r>
      <w:r>
        <w:rPr>
          <w:rFonts w:ascii="Times New Roman" w:hAnsi="Times New Roman" w:eastAsia="方正仿宋_GBK"/>
          <w:sz w:val="32"/>
          <w:szCs w:val="32"/>
          <w:lang w:bidi="ar"/>
        </w:rPr>
        <w:t>号</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专家组对《水保方案》进行了质量评分，质量评定等级合格。报告编制单位会后对《水保方案》进行了修改、补充和完善，项目法人于202</w:t>
      </w:r>
      <w:r>
        <w:rPr>
          <w:rFonts w:hint="eastAsia" w:ascii="Times New Roman" w:hAnsi="Times New Roman" w:eastAsia="方正仿宋_GBK"/>
          <w:sz w:val="32"/>
          <w:szCs w:val="32"/>
          <w:lang w:bidi="ar"/>
        </w:rPr>
        <w:t>2</w:t>
      </w:r>
      <w:r>
        <w:rPr>
          <w:rFonts w:ascii="Times New Roman" w:hAnsi="Times New Roman" w:eastAsia="方正仿宋_GBK"/>
          <w:sz w:val="32"/>
          <w:szCs w:val="32"/>
          <w:lang w:bidi="ar"/>
        </w:rPr>
        <w:t>年</w:t>
      </w:r>
      <w:r>
        <w:rPr>
          <w:rFonts w:hint="eastAsia" w:ascii="Times New Roman" w:hAnsi="Times New Roman" w:eastAsia="方正仿宋_GBK"/>
          <w:sz w:val="32"/>
          <w:szCs w:val="32"/>
          <w:lang w:bidi="ar"/>
        </w:rPr>
        <w:t>11</w:t>
      </w:r>
      <w:r>
        <w:rPr>
          <w:rFonts w:ascii="Times New Roman" w:hAnsi="Times New Roman" w:eastAsia="方正仿宋_GBK"/>
          <w:sz w:val="32"/>
          <w:szCs w:val="32"/>
          <w:lang w:bidi="ar"/>
        </w:rPr>
        <w:t>月</w:t>
      </w:r>
      <w:r>
        <w:rPr>
          <w:rFonts w:hint="eastAsia" w:ascii="Times New Roman" w:hAnsi="Times New Roman" w:eastAsia="方正仿宋_GBK"/>
          <w:sz w:val="32"/>
          <w:szCs w:val="32"/>
          <w:lang w:bidi="ar"/>
        </w:rPr>
        <w:t>8</w:t>
      </w:r>
      <w:r>
        <w:rPr>
          <w:rFonts w:ascii="Times New Roman" w:hAnsi="Times New Roman" w:eastAsia="方正仿宋_GBK"/>
          <w:sz w:val="32"/>
          <w:szCs w:val="32"/>
          <w:lang w:bidi="ar"/>
        </w:rPr>
        <w:t>日</w:t>
      </w:r>
      <w:r>
        <w:rPr>
          <w:rFonts w:ascii="Times New Roman" w:hAnsi="Times New Roman" w:eastAsia="方正仿宋_GBK"/>
          <w:sz w:val="32"/>
          <w:szCs w:val="32"/>
        </w:rPr>
        <w:t>提交</w:t>
      </w:r>
      <w:r>
        <w:rPr>
          <w:rFonts w:ascii="Times New Roman" w:hAnsi="Times New Roman" w:eastAsia="方正仿宋_GBK"/>
          <w:sz w:val="32"/>
          <w:szCs w:val="32"/>
          <w:lang w:bidi="ar"/>
        </w:rPr>
        <w:t>了</w:t>
      </w:r>
      <w:r>
        <w:rPr>
          <w:rFonts w:ascii="Times New Roman" w:hAnsi="Times New Roman" w:eastAsia="方正仿宋_GBK"/>
          <w:bCs/>
          <w:sz w:val="32"/>
          <w:szCs w:val="32"/>
        </w:rPr>
        <w:t>《水保方案》</w:t>
      </w:r>
      <w:r>
        <w:rPr>
          <w:rFonts w:ascii="Times New Roman" w:hAnsi="Times New Roman" w:eastAsia="方正仿宋_GBK"/>
          <w:sz w:val="32"/>
          <w:szCs w:val="32"/>
          <w:lang w:bidi="ar"/>
        </w:rPr>
        <w:t>（报批稿）。经专家组复核，形成专家评审意见如下：</w:t>
      </w:r>
    </w:p>
    <w:p>
      <w:pPr>
        <w:snapToGrid w:val="0"/>
        <w:spacing w:line="594" w:lineRule="exact"/>
        <w:ind w:firstLine="640" w:firstLineChars="200"/>
        <w:jc w:val="left"/>
        <w:rPr>
          <w:rFonts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一、综合说明</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（一）方案编制依据的法律法规、部委规章、规范性文件、规范标准和技术文件及采用的资料基本正确。</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（二）同意方案设计水平年为2023年。</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（三）同意水土流失防治责任范围界定，水土流失防治责任范围面积为20.43hm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（四）同意项目水土流失防治标准执行等级为西南紫色土区建设类项目一级标准。</w:t>
      </w:r>
    </w:p>
    <w:p>
      <w:pPr>
        <w:spacing w:line="550" w:lineRule="exact"/>
        <w:ind w:firstLine="640" w:firstLineChars="200"/>
        <w:rPr>
          <w:rFonts w:ascii="方正仿宋_GBK" w:hAnsi="Calibri" w:eastAsia="方正仿宋_GBK"/>
          <w:bCs/>
          <w:snapToGrid w:val="0"/>
          <w:kern w:val="0"/>
          <w:sz w:val="32"/>
          <w:szCs w:val="32"/>
        </w:rPr>
      </w:pPr>
      <w:r>
        <w:rPr>
          <w:rFonts w:hint="eastAsia" w:ascii="Times New Roman" w:hAnsi="Times New Roman" w:eastAsia="方正仿宋_GBK"/>
          <w:sz w:val="32"/>
          <w:szCs w:val="32"/>
        </w:rPr>
        <w:t>（五）同意水土流失防治目标。其中：水土流失治理度97%，土壤流失控制比1.0，渣土防护率92%，表土保护率92%，林草植被恢复率97%，林草覆盖率25%</w:t>
      </w:r>
      <w:r>
        <w:rPr>
          <w:rFonts w:hint="eastAsia" w:ascii="方正仿宋_GBK" w:hAnsi="Calibri" w:eastAsia="方正仿宋_GBK"/>
          <w:bCs/>
          <w:snapToGrid w:val="0"/>
          <w:kern w:val="0"/>
          <w:sz w:val="32"/>
          <w:szCs w:val="32"/>
        </w:rPr>
        <w:t>。</w:t>
      </w:r>
    </w:p>
    <w:p>
      <w:pPr>
        <w:snapToGrid w:val="0"/>
        <w:spacing w:line="594" w:lineRule="exact"/>
        <w:ind w:firstLine="640" w:firstLineChars="200"/>
        <w:jc w:val="left"/>
        <w:rPr>
          <w:rFonts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二、项目概况</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（一）项目概况阐述基本清楚。</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项目位于永川港桥园区内，行政区划属于永川区朱沱镇和松溉镇。项目建设1台490MW级（M701F4）燃气蒸汽联合循环热电联产机组及相应的设施，由厂区和取水管线两部分组成，项目厂区划分为主厂房区、配电装置区、冷却塔区、水处理设施区、辅助设施区和厂前区共六个功能区。取水管线长6.39km，其中：架空管段0.50km、埋管段5.89km，取水口利用老松溉电厂设在长江边原有取水口，仅对取水设备进行改造。项目配套的电力送出线路、供热管线、燃气线路均单独实施，不纳入本次工程范围。</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项目位于永川港桥园区内，进场前厂区已由园区管委会完成了拆迁安置、专项设施迁建和场平工作。项目总占地面积20.43hm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，其中：永久占地14.73hm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（厂区7.17hm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，预留用地7.46hm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，取水管线0.10hm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），临时占地5.70hm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w:t>
      </w:r>
      <w:r>
        <w:rPr>
          <w:rFonts w:hint="eastAsia" w:ascii="Times New Roman" w:hAnsi="Times New Roman" w:eastAsia="方正仿宋_GBK" w:cs="Times New Roman"/>
          <w:sz w:val="32"/>
          <w:szCs w:val="32"/>
        </w:rPr>
        <w:t>取水管线</w:t>
      </w:r>
      <w:r>
        <w:rPr>
          <w:rFonts w:hint="eastAsia" w:ascii="Times New Roman" w:hAnsi="Times New Roman" w:eastAsia="方正仿宋_GBK"/>
          <w:sz w:val="32"/>
          <w:szCs w:val="32"/>
        </w:rPr>
        <w:t>5</w:t>
      </w:r>
      <w:r>
        <w:rPr>
          <w:rFonts w:hint="eastAsia" w:ascii="Times New Roman" w:hAnsi="Times New Roman" w:eastAsia="方正仿宋_GBK" w:cs="Times New Roman"/>
          <w:sz w:val="32"/>
          <w:szCs w:val="32"/>
        </w:rPr>
        <w:t>.</w:t>
      </w:r>
      <w:r>
        <w:rPr>
          <w:rFonts w:hint="eastAsia" w:ascii="Times New Roman" w:hAnsi="Times New Roman" w:eastAsia="方正仿宋_GBK"/>
          <w:sz w:val="32"/>
          <w:szCs w:val="32"/>
        </w:rPr>
        <w:t>3</w:t>
      </w:r>
      <w:r>
        <w:rPr>
          <w:rFonts w:hint="eastAsia" w:ascii="Times New Roman" w:hAnsi="Times New Roman" w:eastAsia="方正仿宋_GBK" w:cs="Times New Roman"/>
          <w:sz w:val="32"/>
          <w:szCs w:val="32"/>
        </w:rPr>
        <w:t>0hm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lang w:eastAsia="zh-CN"/>
        </w:rPr>
        <w:t>，临时堆管场</w:t>
      </w:r>
      <w:r>
        <w:rPr>
          <w:rFonts w:hint="default" w:ascii="Times New Roman" w:hAnsi="Times New Roman" w:eastAsia="方正仿宋_GBK" w:cs="Times New Roman"/>
          <w:sz w:val="32"/>
          <w:szCs w:val="32"/>
        </w:rPr>
        <w:t>0.</w:t>
      </w:r>
      <w:r>
        <w:rPr>
          <w:rFonts w:hint="eastAsia" w:ascii="Times New Roman" w:hAnsi="Times New Roman" w:eastAsia="方正仿宋_GBK"/>
          <w:sz w:val="32"/>
          <w:szCs w:val="32"/>
        </w:rPr>
        <w:t>4</w:t>
      </w:r>
      <w:r>
        <w:rPr>
          <w:rFonts w:hint="default" w:ascii="Times New Roman" w:hAnsi="Times New Roman" w:eastAsia="方正仿宋_GBK" w:cs="Times New Roman"/>
          <w:sz w:val="32"/>
          <w:szCs w:val="32"/>
        </w:rPr>
        <w:t>0</w:t>
      </w:r>
      <w:r>
        <w:rPr>
          <w:rFonts w:hint="eastAsia" w:ascii="Times New Roman" w:hAnsi="Times New Roman" w:eastAsia="方正仿宋_GBK"/>
          <w:sz w:val="32"/>
          <w:szCs w:val="32"/>
        </w:rPr>
        <w:t>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w:t>
      </w:r>
      <w:r>
        <w:rPr>
          <w:rFonts w:hint="eastAsia" w:ascii="Times New Roman" w:hAnsi="Times New Roman" w:eastAsia="方正仿宋_GBK" w:cs="Times New Roman"/>
          <w:sz w:val="32"/>
          <w:szCs w:val="32"/>
        </w:rPr>
        <w:t>）</w:t>
      </w:r>
      <w:r>
        <w:rPr>
          <w:rFonts w:hint="eastAsia" w:ascii="Times New Roman" w:hAnsi="Times New Roman" w:eastAsia="方正仿宋_GBK"/>
          <w:sz w:val="32"/>
          <w:szCs w:val="32"/>
        </w:rPr>
        <w:t>。本工程挖方量7.22万m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，填方量7.22万m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，无余方和借方。项目进出场道路利用现有道路，厂区部分临时工程全部布设在预留用地范围内，管线部分设2处临时堆管场。</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项目总工期14个月，已于2022年9月进场，计划2023年10月完工。项目概算总投资116895万元，其中土建投资20165万元，建设资金由项目法人自筹和银行贷款。</w:t>
      </w:r>
    </w:p>
    <w:p>
      <w:pPr>
        <w:spacing w:line="550" w:lineRule="exact"/>
        <w:ind w:firstLine="640" w:firstLineChars="200"/>
        <w:rPr>
          <w:rFonts w:ascii="方正仿宋_GBK" w:hAnsi="Calibri" w:eastAsia="方正仿宋_GBK"/>
          <w:bCs/>
          <w:snapToGrid w:val="0"/>
          <w:kern w:val="0"/>
          <w:sz w:val="32"/>
          <w:szCs w:val="32"/>
        </w:rPr>
      </w:pPr>
      <w:r>
        <w:rPr>
          <w:rFonts w:hint="eastAsia" w:ascii="Times New Roman" w:hAnsi="Times New Roman" w:eastAsia="方正仿宋_GBK"/>
          <w:sz w:val="32"/>
          <w:szCs w:val="32"/>
          <w:lang w:bidi="ar"/>
        </w:rPr>
        <w:t>（二）项目区自然概况阐述基本清楚</w:t>
      </w:r>
      <w:r>
        <w:rPr>
          <w:rFonts w:ascii="方正仿宋_GBK" w:hAnsi="Calibri" w:eastAsia="方正仿宋_GBK"/>
          <w:bCs/>
          <w:snapToGrid w:val="0"/>
          <w:kern w:val="0"/>
          <w:sz w:val="32"/>
          <w:szCs w:val="32"/>
        </w:rPr>
        <w:t>。</w:t>
      </w:r>
    </w:p>
    <w:p>
      <w:pPr>
        <w:snapToGrid w:val="0"/>
        <w:spacing w:line="594" w:lineRule="exact"/>
        <w:ind w:firstLine="640" w:firstLineChars="200"/>
        <w:jc w:val="left"/>
        <w:rPr>
          <w:rFonts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三、</w:t>
      </w:r>
      <w:r>
        <w:rPr>
          <w:rFonts w:hint="eastAsia" w:ascii="方正黑体_GBK" w:hAnsi="Calibri" w:eastAsia="方正黑体_GBK"/>
          <w:bCs/>
          <w:snapToGrid w:val="0"/>
          <w:kern w:val="0"/>
          <w:sz w:val="32"/>
          <w:szCs w:val="32"/>
        </w:rPr>
        <w:t>项目水土保持</w:t>
      </w:r>
      <w:r>
        <w:rPr>
          <w:rFonts w:ascii="方正黑体_GBK" w:hAnsi="Calibri" w:eastAsia="方正黑体_GBK"/>
          <w:bCs/>
          <w:snapToGrid w:val="0"/>
          <w:kern w:val="0"/>
          <w:sz w:val="32"/>
          <w:szCs w:val="32"/>
        </w:rPr>
        <w:t>评价</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（一）基本同意主体工程选址（线）水土保持评价。</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（二）基本同意项目建设方案、工程占地、土石方平衡、施工方法等水土保持评价。</w:t>
      </w:r>
    </w:p>
    <w:p>
      <w:pPr>
        <w:spacing w:line="550" w:lineRule="exact"/>
        <w:ind w:firstLine="640" w:firstLineChars="200"/>
        <w:rPr>
          <w:rFonts w:ascii="方正仿宋_GBK" w:hAnsi="Calibri" w:eastAsia="方正仿宋_GBK"/>
          <w:snapToGrid w:val="0"/>
          <w:spacing w:val="-6"/>
          <w:kern w:val="0"/>
          <w:sz w:val="32"/>
          <w:szCs w:val="32"/>
        </w:rPr>
      </w:pPr>
      <w:r>
        <w:rPr>
          <w:rFonts w:hint="eastAsia" w:ascii="Times New Roman" w:hAnsi="Times New Roman" w:eastAsia="方正仿宋_GBK"/>
          <w:sz w:val="32"/>
          <w:szCs w:val="32"/>
        </w:rPr>
        <w:t>（三）基本同意主体工程设计中的水土保持措施评价及界定</w:t>
      </w:r>
      <w:r>
        <w:rPr>
          <w:rFonts w:ascii="方正仿宋_GBK" w:hAnsi="Calibri" w:eastAsia="方正仿宋_GBK"/>
          <w:bCs/>
          <w:snapToGrid w:val="0"/>
          <w:kern w:val="0"/>
          <w:sz w:val="32"/>
          <w:szCs w:val="32"/>
        </w:rPr>
        <w:t>。</w:t>
      </w:r>
    </w:p>
    <w:p>
      <w:pPr>
        <w:snapToGrid w:val="0"/>
        <w:spacing w:line="594" w:lineRule="exact"/>
        <w:ind w:firstLine="640" w:firstLineChars="200"/>
        <w:jc w:val="left"/>
        <w:rPr>
          <w:rFonts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四、</w:t>
      </w:r>
      <w:r>
        <w:rPr>
          <w:rFonts w:ascii="方正黑体_GBK" w:hAnsi="Calibri" w:eastAsia="方正黑体_GBK"/>
          <w:bCs/>
          <w:snapToGrid w:val="0"/>
          <w:kern w:val="0"/>
          <w:sz w:val="32"/>
          <w:szCs w:val="32"/>
        </w:rPr>
        <w:t>水土流失</w:t>
      </w:r>
      <w:r>
        <w:rPr>
          <w:rFonts w:hint="eastAsia" w:ascii="方正黑体_GBK" w:hAnsi="Calibri" w:eastAsia="方正黑体_GBK"/>
          <w:bCs/>
          <w:snapToGrid w:val="0"/>
          <w:kern w:val="0"/>
          <w:sz w:val="32"/>
          <w:szCs w:val="32"/>
        </w:rPr>
        <w:t>分析</w:t>
      </w:r>
      <w:r>
        <w:rPr>
          <w:rFonts w:ascii="方正黑体_GBK" w:hAnsi="Calibri" w:eastAsia="方正黑体_GBK"/>
          <w:bCs/>
          <w:snapToGrid w:val="0"/>
          <w:kern w:val="0"/>
          <w:sz w:val="32"/>
          <w:szCs w:val="32"/>
        </w:rPr>
        <w:t>与预测</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（一）基本同意对项目水土流失现状及影响分析。</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（二）基本同意项目建设扰动地表面积19.09hm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，损毁植被面积3.14hm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（三）基本同意土壤流失量预测方法及结果，工程建设可能造成的土壤流失总量为1771t，新增土壤流失量为589t。</w:t>
      </w:r>
    </w:p>
    <w:p>
      <w:pPr>
        <w:snapToGrid w:val="0"/>
        <w:spacing w:line="594" w:lineRule="exact"/>
        <w:ind w:firstLine="640" w:firstLineChars="200"/>
        <w:jc w:val="left"/>
        <w:rPr>
          <w:rFonts w:ascii="方正仿宋_GBK" w:hAnsi="Calibri" w:eastAsia="方正仿宋_GBK"/>
          <w:bCs/>
          <w:snapToGrid w:val="0"/>
          <w:kern w:val="0"/>
          <w:sz w:val="32"/>
          <w:szCs w:val="32"/>
        </w:rPr>
      </w:pPr>
      <w:r>
        <w:rPr>
          <w:rFonts w:hint="eastAsia" w:ascii="Times New Roman" w:hAnsi="Times New Roman" w:eastAsia="方正仿宋_GBK"/>
          <w:sz w:val="32"/>
          <w:szCs w:val="32"/>
        </w:rPr>
        <w:t>（四）基本同意水土流失的危害分析和指导性意见</w:t>
      </w:r>
      <w:r>
        <w:rPr>
          <w:rFonts w:ascii="方正仿宋_GBK" w:hAnsi="Calibri" w:eastAsia="方正仿宋_GBK"/>
          <w:bCs/>
          <w:snapToGrid w:val="0"/>
          <w:kern w:val="0"/>
          <w:sz w:val="32"/>
          <w:szCs w:val="32"/>
        </w:rPr>
        <w:t>。</w:t>
      </w:r>
    </w:p>
    <w:p>
      <w:pPr>
        <w:snapToGrid w:val="0"/>
        <w:spacing w:line="594" w:lineRule="exact"/>
        <w:ind w:firstLine="640" w:firstLineChars="200"/>
        <w:jc w:val="left"/>
        <w:rPr>
          <w:rFonts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五、</w:t>
      </w:r>
      <w:r>
        <w:rPr>
          <w:rFonts w:hint="eastAsia" w:ascii="方正黑体_GBK" w:hAnsi="Calibri" w:eastAsia="方正黑体_GBK"/>
          <w:bCs/>
          <w:snapToGrid w:val="0"/>
          <w:kern w:val="0"/>
          <w:sz w:val="32"/>
          <w:szCs w:val="32"/>
        </w:rPr>
        <w:t>水土保持措施</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（一）基本同意项目划分为厂区、预留用地、取水管线和堆管场4个水土流失防治区。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（二）基本同意由主体工程设计的水土保持措施和方案新增的水土保持措施所组成的水土流失防治措施体系。</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（三）基本同意各防治区防治措施布局、方案新增水土保持措施典型设计。</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1.厂区防治区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施工前，沿厂区外围布设临时排水沟，排水沟出口经沉沙池后汇入市政雨水管网。施工中，对建筑物基础以及厂区管网开挖的临时边坡和松散堆渣进行临时覆盖，在建筑物周边及道路两侧修建雨水管网。施工后期，对厂区内进行景观绿化，对厂区围墙外永久占地范围经土地整治后采取撒播种草防护。</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2.预留用地防治区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施工前，在施工办公生活区周边以及施工区周边布设临时排水沟，排水沟出口经沉沙池后汇入市政雨水管网，对计划不扰动的预留用地范围采取撒播种草防护。施工中，对扰动的裸露地表采取临时覆盖。施工后期，对预留用地施工扰动范围进行土地整治，在建设的过渡期间采取撒播种草防护。</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3.取水管线防治区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施工前，剥离取水管线埋管开挖范围以及架空管永久占地范围内的表土，表土堆放在管线施工作业带一侧并进行防护。施工中，采用无纺布对管线开挖裸露的土质坡面和松散的临时堆渣进行覆盖；在沿河段以及其它较陡段临时堆放的回填土石方下边坡设置临时拦挡，在沿道路段两侧设钢挡板临时围挡，同时要求对开挖的土石方与表土分层堆放、分层回填。施工后期，对埋管临时占地进行土地整治后根据原地貌恢复植被，对损坏的道路边沟进行恢复。</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4.临时堆管场防治区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堆管前，在堆管场周边布设临时排水沟，对堆管区域的表土采取铺垫保护。堆管结束后，对堆管场临时占地进行土地整治后恢复草地。</w:t>
      </w:r>
    </w:p>
    <w:p>
      <w:pPr>
        <w:snapToGrid w:val="0"/>
        <w:spacing w:line="594" w:lineRule="exact"/>
        <w:ind w:firstLine="640" w:firstLineChars="200"/>
        <w:jc w:val="left"/>
        <w:rPr>
          <w:rFonts w:ascii="方正仿宋_GBK" w:hAnsi="Times New Roman" w:eastAsia="方正仿宋_GBK"/>
          <w:bCs/>
          <w:snapToGrid w:val="0"/>
          <w:kern w:val="0"/>
          <w:sz w:val="32"/>
          <w:szCs w:val="32"/>
        </w:rPr>
      </w:pPr>
      <w:r>
        <w:rPr>
          <w:rFonts w:hint="eastAsia" w:ascii="Times New Roman" w:hAnsi="Times New Roman" w:eastAsia="方正仿宋_GBK"/>
          <w:sz w:val="32"/>
          <w:szCs w:val="32"/>
        </w:rPr>
        <w:t>（四）水土保持施工组织设计基本可行</w:t>
      </w:r>
      <w:r>
        <w:rPr>
          <w:rFonts w:ascii="方正仿宋_GBK" w:hAnsi="Times New Roman" w:eastAsia="方正仿宋_GBK"/>
          <w:bCs/>
          <w:snapToGrid w:val="0"/>
          <w:kern w:val="0"/>
          <w:sz w:val="32"/>
          <w:szCs w:val="32"/>
        </w:rPr>
        <w:t>。</w:t>
      </w:r>
    </w:p>
    <w:p>
      <w:pPr>
        <w:snapToGrid w:val="0"/>
        <w:spacing w:line="594" w:lineRule="exact"/>
        <w:ind w:firstLine="640" w:firstLineChars="200"/>
        <w:jc w:val="left"/>
        <w:rPr>
          <w:rFonts w:ascii="方正黑体_GBK" w:hAnsi="Calibri" w:eastAsia="方正黑体_GBK"/>
          <w:bCs/>
          <w:snapToGrid w:val="0"/>
          <w:kern w:val="0"/>
          <w:sz w:val="32"/>
          <w:szCs w:val="32"/>
        </w:rPr>
      </w:pPr>
      <w:r>
        <w:rPr>
          <w:rFonts w:hint="eastAsia" w:ascii="方正黑体_GBK" w:hAnsi="Calibri" w:eastAsia="方正黑体_GBK"/>
          <w:bCs/>
          <w:snapToGrid w:val="0"/>
          <w:kern w:val="0"/>
          <w:sz w:val="32"/>
          <w:szCs w:val="32"/>
        </w:rPr>
        <w:t>六</w:t>
      </w:r>
      <w:r>
        <w:rPr>
          <w:rFonts w:ascii="方正黑体_GBK" w:hAnsi="Calibri" w:eastAsia="方正黑体_GBK"/>
          <w:bCs/>
          <w:snapToGrid w:val="0"/>
          <w:kern w:val="0"/>
          <w:sz w:val="32"/>
          <w:szCs w:val="32"/>
        </w:rPr>
        <w:t>、</w:t>
      </w:r>
      <w:r>
        <w:rPr>
          <w:rFonts w:hint="eastAsia" w:ascii="方正黑体_GBK" w:hAnsi="Calibri" w:eastAsia="方正黑体_GBK"/>
          <w:bCs/>
          <w:snapToGrid w:val="0"/>
          <w:kern w:val="0"/>
          <w:sz w:val="32"/>
          <w:szCs w:val="32"/>
        </w:rPr>
        <w:t>水土保持监测</w:t>
      </w:r>
    </w:p>
    <w:p>
      <w:pPr>
        <w:snapToGrid w:val="0"/>
        <w:spacing w:line="594" w:lineRule="exact"/>
        <w:ind w:firstLine="640" w:firstLineChars="200"/>
        <w:jc w:val="left"/>
        <w:rPr>
          <w:rFonts w:ascii="方正仿宋_GBK" w:hAnsi="Calibri" w:eastAsia="方正仿宋_GBK"/>
          <w:bCs/>
          <w:snapToGrid w:val="0"/>
          <w:color w:val="000000"/>
          <w:kern w:val="0"/>
          <w:sz w:val="32"/>
          <w:szCs w:val="32"/>
        </w:rPr>
      </w:pPr>
      <w:r>
        <w:rPr>
          <w:rFonts w:ascii="方正仿宋_GBK" w:hAnsi="Calibri" w:eastAsia="方正仿宋_GBK"/>
          <w:bCs/>
          <w:snapToGrid w:val="0"/>
          <w:color w:val="000000"/>
          <w:kern w:val="0"/>
          <w:sz w:val="32"/>
          <w:szCs w:val="32"/>
        </w:rPr>
        <w:t>基本同意水土保持监测方案。</w:t>
      </w:r>
    </w:p>
    <w:p>
      <w:pPr>
        <w:snapToGrid w:val="0"/>
        <w:spacing w:line="594" w:lineRule="exact"/>
        <w:ind w:firstLine="640" w:firstLineChars="200"/>
        <w:jc w:val="left"/>
        <w:rPr>
          <w:rFonts w:ascii="方正黑体_GBK" w:hAnsi="Calibri" w:eastAsia="方正黑体_GBK"/>
          <w:bCs/>
          <w:snapToGrid w:val="0"/>
          <w:kern w:val="0"/>
          <w:sz w:val="32"/>
          <w:szCs w:val="32"/>
        </w:rPr>
      </w:pPr>
      <w:r>
        <w:rPr>
          <w:rFonts w:hint="eastAsia" w:ascii="方正黑体_GBK" w:hAnsi="Calibri" w:eastAsia="方正黑体_GBK"/>
          <w:bCs/>
          <w:snapToGrid w:val="0"/>
          <w:kern w:val="0"/>
          <w:sz w:val="32"/>
          <w:szCs w:val="32"/>
        </w:rPr>
        <w:t>七、水土保持投资</w:t>
      </w:r>
      <w:r>
        <w:rPr>
          <w:rFonts w:ascii="方正黑体_GBK" w:hAnsi="Calibri" w:eastAsia="方正黑体_GBK"/>
          <w:bCs/>
          <w:snapToGrid w:val="0"/>
          <w:kern w:val="0"/>
          <w:sz w:val="32"/>
          <w:szCs w:val="32"/>
        </w:rPr>
        <w:t>估算及效益分析</w:t>
      </w:r>
    </w:p>
    <w:p>
      <w:pPr>
        <w:snapToGrid w:val="0"/>
        <w:spacing w:line="594" w:lineRule="exact"/>
        <w:ind w:firstLine="640" w:firstLineChars="200"/>
        <w:jc w:val="left"/>
        <w:rPr>
          <w:rFonts w:ascii="方正仿宋_GBK" w:hAnsi="Calibri" w:eastAsia="方正仿宋_GBK"/>
          <w:bCs/>
          <w:snapToGrid w:val="0"/>
          <w:color w:val="000000"/>
          <w:kern w:val="0"/>
          <w:sz w:val="32"/>
          <w:szCs w:val="32"/>
        </w:rPr>
      </w:pPr>
      <w:r>
        <w:rPr>
          <w:rFonts w:hint="eastAsia" w:ascii="方正仿宋_GBK" w:hAnsi="Calibri" w:eastAsia="方正仿宋_GBK"/>
          <w:bCs/>
          <w:snapToGrid w:val="0"/>
          <w:color w:val="000000"/>
          <w:kern w:val="0"/>
          <w:sz w:val="32"/>
          <w:szCs w:val="32"/>
        </w:rPr>
        <w:t>（一）投资估算编制依据正确，费用及定额选择基本合理，编制深度基本满足规范要求。</w:t>
      </w:r>
    </w:p>
    <w:p>
      <w:pPr>
        <w:snapToGrid w:val="0"/>
        <w:spacing w:line="594" w:lineRule="exact"/>
        <w:ind w:firstLine="640" w:firstLineChars="200"/>
        <w:jc w:val="left"/>
        <w:rPr>
          <w:rFonts w:ascii="方正仿宋_GBK" w:hAnsi="Calibri" w:eastAsia="方正仿宋_GBK"/>
          <w:bCs/>
          <w:snapToGrid w:val="0"/>
          <w:color w:val="000000"/>
          <w:kern w:val="0"/>
          <w:sz w:val="32"/>
          <w:szCs w:val="32"/>
        </w:rPr>
      </w:pPr>
      <w:r>
        <w:rPr>
          <w:rFonts w:hint="eastAsia" w:ascii="方正仿宋_GBK" w:hAnsi="Calibri" w:eastAsia="方正仿宋_GBK"/>
          <w:bCs/>
          <w:snapToGrid w:val="0"/>
          <w:color w:val="000000"/>
          <w:kern w:val="0"/>
          <w:sz w:val="32"/>
          <w:szCs w:val="32"/>
        </w:rPr>
        <w:t>（二）</w:t>
      </w:r>
      <w:r>
        <w:rPr>
          <w:rFonts w:ascii="方正仿宋_GBK" w:hAnsi="Calibri" w:eastAsia="方正仿宋_GBK"/>
          <w:bCs/>
          <w:snapToGrid w:val="0"/>
          <w:color w:val="000000"/>
          <w:kern w:val="0"/>
          <w:sz w:val="32"/>
          <w:szCs w:val="32"/>
        </w:rPr>
        <w:t>经审核，</w:t>
      </w:r>
      <w:r>
        <w:rPr>
          <w:rFonts w:hint="eastAsia" w:ascii="Times New Roman" w:hAnsi="Times New Roman" w:eastAsia="方正仿宋_GBK"/>
          <w:sz w:val="32"/>
          <w:szCs w:val="32"/>
        </w:rPr>
        <w:t>水土保持方案工程静态总投资620.58万元，其中：主体已列376.31万元，方案新增244.27万元（其中：工程措施29.91万元，植物措施6.28万元，监测措施16.02万元，施工临时措施101.06万元，独立费用50.19万元，基本预备费12.21万元，水土保持补偿费28.60万元）</w:t>
      </w:r>
      <w:r>
        <w:rPr>
          <w:rFonts w:hint="eastAsia" w:ascii="方正仿宋_GBK" w:hAnsi="Calibri" w:eastAsia="方正仿宋_GBK"/>
          <w:bCs/>
          <w:snapToGrid w:val="0"/>
          <w:color w:val="000000"/>
          <w:kern w:val="0"/>
          <w:sz w:val="32"/>
          <w:szCs w:val="32"/>
        </w:rPr>
        <w:t>。</w:t>
      </w:r>
    </w:p>
    <w:p>
      <w:pPr>
        <w:snapToGrid w:val="0"/>
        <w:spacing w:line="594" w:lineRule="exact"/>
        <w:ind w:firstLine="640" w:firstLineChars="200"/>
        <w:jc w:val="left"/>
        <w:rPr>
          <w:rFonts w:ascii="方正仿宋_GBK" w:hAnsi="Calibri" w:eastAsia="方正仿宋_GBK"/>
          <w:bCs/>
          <w:snapToGrid w:val="0"/>
          <w:color w:val="000000"/>
          <w:kern w:val="0"/>
          <w:sz w:val="32"/>
          <w:szCs w:val="32"/>
        </w:rPr>
      </w:pPr>
      <w:r>
        <w:rPr>
          <w:rFonts w:ascii="方正仿宋_GBK" w:hAnsi="Calibri" w:eastAsia="方正仿宋_GBK"/>
          <w:bCs/>
          <w:snapToGrid w:val="0"/>
          <w:color w:val="000000"/>
          <w:kern w:val="0"/>
          <w:sz w:val="32"/>
          <w:szCs w:val="32"/>
        </w:rPr>
        <w:t>（三）效益分析方法正确，分析结果基本合理。</w:t>
      </w:r>
    </w:p>
    <w:p>
      <w:pPr>
        <w:snapToGrid w:val="0"/>
        <w:spacing w:line="594" w:lineRule="exact"/>
        <w:ind w:firstLine="640" w:firstLineChars="200"/>
        <w:jc w:val="left"/>
        <w:rPr>
          <w:rFonts w:ascii="方正黑体_GBK" w:hAnsi="Calibri" w:eastAsia="方正黑体_GBK"/>
          <w:bCs/>
          <w:snapToGrid w:val="0"/>
          <w:kern w:val="0"/>
          <w:sz w:val="32"/>
          <w:szCs w:val="32"/>
        </w:rPr>
      </w:pPr>
      <w:r>
        <w:rPr>
          <w:rFonts w:hint="eastAsia" w:ascii="方正黑体_GBK" w:hAnsi="Calibri" w:eastAsia="方正黑体_GBK"/>
          <w:bCs/>
          <w:snapToGrid w:val="0"/>
          <w:kern w:val="0"/>
          <w:sz w:val="32"/>
          <w:szCs w:val="32"/>
        </w:rPr>
        <w:t>八</w:t>
      </w:r>
      <w:r>
        <w:rPr>
          <w:rFonts w:ascii="方正黑体_GBK" w:hAnsi="Calibri" w:eastAsia="方正黑体_GBK"/>
          <w:bCs/>
          <w:snapToGrid w:val="0"/>
          <w:kern w:val="0"/>
          <w:sz w:val="32"/>
          <w:szCs w:val="32"/>
        </w:rPr>
        <w:t>、水土保持管理</w:t>
      </w:r>
    </w:p>
    <w:p>
      <w:pPr>
        <w:rPr>
          <w:rFonts w:ascii="方正仿宋_GBK" w:hAnsi="Calibri" w:eastAsia="方正仿宋_GBK"/>
          <w:bCs/>
          <w:snapToGrid w:val="0"/>
          <w:color w:val="000000"/>
          <w:kern w:val="0"/>
          <w:sz w:val="32"/>
          <w:szCs w:val="32"/>
        </w:rPr>
      </w:pPr>
      <w:r>
        <w:rPr>
          <w:rFonts w:hint="eastAsia" w:ascii="方正仿宋_GBK" w:hAnsi="Calibri" w:eastAsia="方正仿宋_GBK"/>
          <w:bCs/>
          <w:snapToGrid w:val="0"/>
          <w:color w:val="000000"/>
          <w:kern w:val="0"/>
          <w:sz w:val="32"/>
          <w:szCs w:val="32"/>
        </w:rPr>
        <w:t>基本同意方案中提出的组织管理、后续设计、水土保持监测、水土保持监理、水土保持施工、水土保持设施验收等水土保持管理要求。</w:t>
      </w:r>
    </w:p>
    <w:p>
      <w:pPr>
        <w:pStyle w:val="12"/>
      </w:pPr>
    </w:p>
    <w:p>
      <w:pPr>
        <w:pStyle w:val="12"/>
      </w:pPr>
    </w:p>
    <w:p>
      <w:pPr>
        <w:pStyle w:val="12"/>
      </w:pPr>
    </w:p>
    <w:p>
      <w:pPr>
        <w:widowControl/>
        <w:spacing w:line="600" w:lineRule="exact"/>
        <w:ind w:left="1380" w:leftChars="200" w:hanging="960" w:hangingChars="300"/>
        <w:rPr>
          <w:rFonts w:ascii="Times New Roman" w:hAnsi="Times New Roman" w:eastAsia="方正仿宋_GBK"/>
          <w:sz w:val="32"/>
          <w:szCs w:val="32"/>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港桥园区“上大压小”热电联产项目水土保持方案投资估算</w:t>
      </w:r>
      <w:r>
        <w:rPr>
          <w:rFonts w:hint="eastAsia" w:ascii="Times New Roman" w:hAnsi="Times New Roman" w:eastAsia="方正仿宋_GBK"/>
          <w:sz w:val="32"/>
          <w:szCs w:val="32"/>
        </w:rPr>
        <w:t>审核表</w:t>
      </w:r>
    </w:p>
    <w:p>
      <w:pPr>
        <w:pStyle w:val="12"/>
        <w:spacing w:line="600" w:lineRule="exact"/>
        <w:ind w:firstLine="0" w:firstLineChars="0"/>
        <w:rPr>
          <w:rFonts w:eastAsia="方正仿宋_GBK"/>
          <w:color w:val="auto"/>
          <w:sz w:val="32"/>
          <w:szCs w:val="32"/>
        </w:rPr>
      </w:pPr>
    </w:p>
    <w:p>
      <w:pPr>
        <w:pStyle w:val="12"/>
        <w:spacing w:line="600" w:lineRule="exact"/>
        <w:ind w:firstLine="5120" w:firstLineChars="1600"/>
        <w:rPr>
          <w:color w:val="auto"/>
        </w:rPr>
      </w:pPr>
      <w:r>
        <w:rPr>
          <w:rFonts w:eastAsia="方正仿宋_GBK"/>
          <w:color w:val="auto"/>
          <w:sz w:val="32"/>
          <w:szCs w:val="32"/>
        </w:rPr>
        <w:drawing>
          <wp:anchor distT="0" distB="0" distL="114300" distR="114300" simplePos="0" relativeHeight="251659264" behindDoc="0" locked="0" layoutInCell="1" allowOverlap="1">
            <wp:simplePos x="0" y="0"/>
            <wp:positionH relativeFrom="column">
              <wp:posOffset>4368165</wp:posOffset>
            </wp:positionH>
            <wp:positionV relativeFrom="paragraph">
              <wp:posOffset>-12700</wp:posOffset>
            </wp:positionV>
            <wp:extent cx="1266825" cy="4667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66825" cy="466725"/>
                    </a:xfrm>
                    <a:prstGeom prst="rect">
                      <a:avLst/>
                    </a:prstGeom>
                    <a:noFill/>
                  </pic:spPr>
                </pic:pic>
              </a:graphicData>
            </a:graphic>
          </wp:anchor>
        </w:drawing>
      </w:r>
      <w:r>
        <w:rPr>
          <w:rFonts w:eastAsia="方正仿宋_GBK"/>
          <w:color w:val="auto"/>
          <w:sz w:val="32"/>
          <w:szCs w:val="32"/>
        </w:rPr>
        <w:t>专家组组长：</w:t>
      </w:r>
    </w:p>
    <w:p>
      <w:pPr>
        <w:pStyle w:val="12"/>
        <w:spacing w:line="600" w:lineRule="exact"/>
        <w:ind w:firstLine="5600" w:firstLineChars="1750"/>
        <w:rPr>
          <w:rFonts w:eastAsia="方正仿宋_GBK"/>
          <w:color w:val="auto"/>
          <w:sz w:val="32"/>
          <w:szCs w:val="32"/>
        </w:rPr>
      </w:pPr>
      <w:r>
        <w:rPr>
          <w:rFonts w:hint="eastAsia" w:eastAsia="方正仿宋_GBK"/>
          <w:color w:val="auto"/>
          <w:sz w:val="32"/>
          <w:szCs w:val="32"/>
        </w:rPr>
        <w:t>2022年11月14日</w:t>
      </w:r>
    </w:p>
    <w:p>
      <w:pPr>
        <w:widowControl/>
        <w:jc w:val="left"/>
        <w:rPr>
          <w:rFonts w:ascii="Times New Roman" w:hAnsi="Times New Roman" w:eastAsia="方正仿宋_GBK"/>
          <w:kern w:val="0"/>
          <w:sz w:val="32"/>
          <w:szCs w:val="32"/>
        </w:rPr>
      </w:pPr>
      <w:r>
        <w:rPr>
          <w:rFonts w:eastAsia="方正仿宋_GBK"/>
          <w:sz w:val="32"/>
          <w:szCs w:val="32"/>
        </w:rPr>
        <w:br w:type="page"/>
      </w:r>
    </w:p>
    <w:p>
      <w:pPr>
        <w:spacing w:line="400" w:lineRule="exact"/>
        <w:rPr>
          <w:rFonts w:ascii="方正黑体_GBK" w:hAnsi="Times New Roman" w:eastAsia="方正黑体_GBK"/>
          <w:kern w:val="0"/>
          <w:sz w:val="32"/>
          <w:szCs w:val="32"/>
        </w:rPr>
      </w:pPr>
      <w:r>
        <w:rPr>
          <w:rFonts w:hint="eastAsia" w:ascii="方正黑体_GBK" w:hAnsi="Times New Roman" w:eastAsia="方正黑体_GBK"/>
          <w:sz w:val="32"/>
          <w:szCs w:val="32"/>
        </w:rPr>
        <w:t>附件</w:t>
      </w:r>
    </w:p>
    <w:p>
      <w:pPr>
        <w:spacing w:line="400" w:lineRule="exact"/>
        <w:jc w:val="center"/>
        <w:rPr>
          <w:rFonts w:ascii="方正黑体_GBK" w:hAnsi="Times New Roman" w:eastAsia="方正黑体_GBK"/>
          <w:kern w:val="0"/>
          <w:sz w:val="30"/>
          <w:szCs w:val="30"/>
        </w:rPr>
      </w:pPr>
      <w:r>
        <w:rPr>
          <w:rFonts w:hint="eastAsia" w:ascii="方正小标宋_GBK" w:hAnsi="Times New Roman" w:eastAsia="方正小标宋_GBK"/>
          <w:bCs/>
          <w:sz w:val="30"/>
          <w:szCs w:val="30"/>
        </w:rPr>
        <w:t>港桥园区“上大压小”热电联产项目水土保持方案投资估算审核表</w:t>
      </w:r>
    </w:p>
    <w:p>
      <w:pPr>
        <w:spacing w:line="400" w:lineRule="exact"/>
        <w:jc w:val="right"/>
        <w:rPr>
          <w:rFonts w:ascii="Times New Roman" w:hAnsi="Times New Roman" w:eastAsia="宋体"/>
          <w:kern w:val="0"/>
          <w:sz w:val="16"/>
          <w:szCs w:val="16"/>
          <w:lang w:bidi="ar"/>
        </w:rPr>
      </w:pPr>
      <w:r>
        <w:rPr>
          <w:rFonts w:hint="eastAsia" w:ascii="Times New Roman" w:hAnsi="Times New Roman" w:eastAsia="宋体"/>
          <w:kern w:val="0"/>
          <w:sz w:val="16"/>
          <w:szCs w:val="16"/>
          <w:lang w:bidi="ar"/>
        </w:rPr>
        <w:t>单位</w:t>
      </w:r>
      <w:r>
        <w:rPr>
          <w:rFonts w:ascii="Times New Roman" w:hAnsi="Times New Roman" w:eastAsia="宋体"/>
          <w:kern w:val="0"/>
          <w:sz w:val="16"/>
          <w:szCs w:val="16"/>
          <w:lang w:bidi="ar"/>
        </w:rPr>
        <w:t>：万元</w:t>
      </w:r>
    </w:p>
    <w:tbl>
      <w:tblPr>
        <w:tblStyle w:val="9"/>
        <w:tblW w:w="5292"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65"/>
        <w:gridCol w:w="2543"/>
        <w:gridCol w:w="994"/>
        <w:gridCol w:w="941"/>
        <w:gridCol w:w="920"/>
        <w:gridCol w:w="1069"/>
        <w:gridCol w:w="928"/>
        <w:gridCol w:w="961"/>
        <w:gridCol w:w="7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vMerge w:val="restart"/>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序号</w:t>
            </w:r>
          </w:p>
        </w:tc>
        <w:tc>
          <w:tcPr>
            <w:tcW w:w="1300" w:type="pct"/>
            <w:vMerge w:val="restart"/>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工程或费用名称</w:t>
            </w:r>
          </w:p>
        </w:tc>
        <w:tc>
          <w:tcPr>
            <w:tcW w:w="1460" w:type="pct"/>
            <w:gridSpan w:val="3"/>
            <w:vAlign w:val="center"/>
          </w:tcPr>
          <w:p>
            <w:pPr>
              <w:widowControl/>
              <w:jc w:val="center"/>
              <w:textAlignment w:val="center"/>
              <w:rPr>
                <w:rFonts w:ascii="Times New Roman" w:hAnsi="Times New Roman" w:eastAsia="宋体"/>
                <w:szCs w:val="21"/>
              </w:rPr>
            </w:pPr>
            <w:r>
              <w:rPr>
                <w:rFonts w:ascii="Times New Roman" w:hAnsi="Times New Roman" w:eastAsia="宋体"/>
                <w:szCs w:val="21"/>
              </w:rPr>
              <w:t>设计投资（万元）</w:t>
            </w:r>
          </w:p>
        </w:tc>
        <w:tc>
          <w:tcPr>
            <w:tcW w:w="1514" w:type="pct"/>
            <w:gridSpan w:val="3"/>
            <w:vAlign w:val="center"/>
          </w:tcPr>
          <w:p>
            <w:pPr>
              <w:widowControl/>
              <w:jc w:val="center"/>
              <w:textAlignment w:val="center"/>
              <w:rPr>
                <w:rFonts w:ascii="Times New Roman" w:hAnsi="Times New Roman" w:eastAsia="宋体"/>
                <w:kern w:val="0"/>
                <w:szCs w:val="21"/>
                <w:lang w:bidi="ar"/>
              </w:rPr>
            </w:pPr>
            <w:r>
              <w:rPr>
                <w:rFonts w:ascii="Times New Roman" w:hAnsi="Times New Roman" w:eastAsia="宋体"/>
                <w:szCs w:val="21"/>
              </w:rPr>
              <w:t>审核投资（万元）</w:t>
            </w:r>
          </w:p>
        </w:tc>
        <w:tc>
          <w:tcPr>
            <w:tcW w:w="383" w:type="pct"/>
            <w:vMerge w:val="restart"/>
            <w:vAlign w:val="center"/>
          </w:tcPr>
          <w:p>
            <w:pPr>
              <w:widowControl/>
              <w:jc w:val="center"/>
              <w:textAlignment w:val="center"/>
              <w:rPr>
                <w:rFonts w:ascii="Times New Roman" w:hAnsi="Times New Roman" w:eastAsia="宋体"/>
                <w:kern w:val="0"/>
                <w:szCs w:val="21"/>
                <w:lang w:bidi="ar"/>
              </w:rPr>
            </w:pPr>
            <w:r>
              <w:rPr>
                <w:rFonts w:ascii="Times New Roman" w:hAnsi="Times New Roman" w:eastAsia="宋体"/>
                <w:kern w:val="0"/>
                <w:szCs w:val="21"/>
                <w:lang w:bidi="ar"/>
              </w:rPr>
              <w:t>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vMerge w:val="continue"/>
            <w:vAlign w:val="center"/>
          </w:tcPr>
          <w:p>
            <w:pPr>
              <w:widowControl/>
              <w:jc w:val="center"/>
              <w:textAlignment w:val="center"/>
              <w:rPr>
                <w:rFonts w:ascii="Times New Roman" w:hAnsi="Times New Roman" w:eastAsia="宋体"/>
                <w:kern w:val="0"/>
                <w:szCs w:val="21"/>
                <w:lang w:bidi="ar"/>
              </w:rPr>
            </w:pPr>
          </w:p>
        </w:tc>
        <w:tc>
          <w:tcPr>
            <w:tcW w:w="1300" w:type="pct"/>
            <w:vMerge w:val="continue"/>
            <w:vAlign w:val="center"/>
          </w:tcPr>
          <w:p>
            <w:pPr>
              <w:widowControl/>
              <w:jc w:val="center"/>
              <w:textAlignment w:val="center"/>
              <w:rPr>
                <w:rFonts w:ascii="Times New Roman" w:hAnsi="Times New Roman" w:eastAsia="宋体"/>
                <w:kern w:val="0"/>
                <w:szCs w:val="21"/>
                <w:lang w:bidi="ar"/>
              </w:rPr>
            </w:pPr>
          </w:p>
        </w:tc>
        <w:tc>
          <w:tcPr>
            <w:tcW w:w="508" w:type="pct"/>
            <w:vAlign w:val="center"/>
          </w:tcPr>
          <w:p>
            <w:pPr>
              <w:ind w:left="-105" w:leftChars="-50" w:right="-105" w:rightChars="-50"/>
              <w:jc w:val="center"/>
              <w:textAlignment w:val="center"/>
              <w:rPr>
                <w:rFonts w:ascii="Times New Roman" w:hAnsi="Times New Roman" w:eastAsia="宋体"/>
                <w:szCs w:val="21"/>
              </w:rPr>
            </w:pPr>
            <w:r>
              <w:rPr>
                <w:rFonts w:ascii="Times New Roman" w:hAnsi="Times New Roman" w:eastAsia="宋体"/>
                <w:szCs w:val="21"/>
              </w:rPr>
              <w:t>方案新增</w:t>
            </w:r>
          </w:p>
        </w:tc>
        <w:tc>
          <w:tcPr>
            <w:tcW w:w="481" w:type="pct"/>
            <w:vAlign w:val="center"/>
          </w:tcPr>
          <w:p>
            <w:pPr>
              <w:widowControl/>
              <w:ind w:left="-105" w:leftChars="-50" w:right="-105" w:rightChars="-50"/>
              <w:jc w:val="center"/>
              <w:textAlignment w:val="center"/>
              <w:rPr>
                <w:rFonts w:ascii="Times New Roman" w:hAnsi="Times New Roman" w:eastAsia="宋体"/>
                <w:szCs w:val="21"/>
              </w:rPr>
            </w:pPr>
            <w:r>
              <w:rPr>
                <w:rFonts w:ascii="Times New Roman" w:hAnsi="Times New Roman" w:eastAsia="宋体"/>
                <w:szCs w:val="21"/>
              </w:rPr>
              <w:t>主体已列</w:t>
            </w:r>
          </w:p>
        </w:tc>
        <w:tc>
          <w:tcPr>
            <w:tcW w:w="470" w:type="pct"/>
            <w:vAlign w:val="center"/>
          </w:tcPr>
          <w:p>
            <w:pPr>
              <w:widowControl/>
              <w:ind w:left="-105" w:leftChars="-50" w:right="-105" w:rightChars="-50"/>
              <w:jc w:val="center"/>
              <w:textAlignment w:val="center"/>
              <w:rPr>
                <w:rFonts w:ascii="Times New Roman" w:hAnsi="Times New Roman" w:eastAsia="宋体"/>
                <w:szCs w:val="21"/>
              </w:rPr>
            </w:pPr>
            <w:r>
              <w:rPr>
                <w:rFonts w:ascii="Times New Roman" w:hAnsi="Times New Roman" w:eastAsia="宋体"/>
                <w:szCs w:val="21"/>
              </w:rPr>
              <w:t>合计</w:t>
            </w:r>
          </w:p>
        </w:tc>
        <w:tc>
          <w:tcPr>
            <w:tcW w:w="547" w:type="pct"/>
            <w:vAlign w:val="center"/>
          </w:tcPr>
          <w:p>
            <w:pPr>
              <w:widowControl/>
              <w:ind w:left="-105" w:leftChars="-50" w:right="-105" w:rightChars="-50"/>
              <w:jc w:val="center"/>
              <w:textAlignment w:val="center"/>
              <w:rPr>
                <w:rFonts w:ascii="Times New Roman" w:hAnsi="Times New Roman" w:eastAsia="宋体"/>
                <w:kern w:val="0"/>
                <w:szCs w:val="21"/>
                <w:lang w:bidi="ar"/>
              </w:rPr>
            </w:pPr>
            <w:r>
              <w:rPr>
                <w:rFonts w:ascii="Times New Roman" w:hAnsi="Times New Roman" w:eastAsia="宋体"/>
                <w:szCs w:val="21"/>
              </w:rPr>
              <w:t>方案新增</w:t>
            </w:r>
          </w:p>
        </w:tc>
        <w:tc>
          <w:tcPr>
            <w:tcW w:w="475" w:type="pct"/>
            <w:vAlign w:val="center"/>
          </w:tcPr>
          <w:p>
            <w:pPr>
              <w:widowControl/>
              <w:ind w:left="-105" w:leftChars="-50" w:right="-105" w:rightChars="-50"/>
              <w:jc w:val="center"/>
              <w:textAlignment w:val="center"/>
              <w:rPr>
                <w:rFonts w:ascii="Times New Roman" w:hAnsi="Times New Roman" w:eastAsia="宋体"/>
                <w:kern w:val="0"/>
                <w:szCs w:val="21"/>
                <w:lang w:bidi="ar"/>
              </w:rPr>
            </w:pPr>
            <w:r>
              <w:rPr>
                <w:rFonts w:ascii="Times New Roman" w:hAnsi="Times New Roman" w:eastAsia="宋体"/>
                <w:szCs w:val="21"/>
              </w:rPr>
              <w:t>主体已列</w:t>
            </w:r>
          </w:p>
        </w:tc>
        <w:tc>
          <w:tcPr>
            <w:tcW w:w="491" w:type="pct"/>
            <w:vAlign w:val="center"/>
          </w:tcPr>
          <w:p>
            <w:pPr>
              <w:widowControl/>
              <w:ind w:left="-105" w:leftChars="-50" w:right="-105" w:rightChars="-50"/>
              <w:jc w:val="center"/>
              <w:textAlignment w:val="center"/>
              <w:rPr>
                <w:rFonts w:ascii="Times New Roman" w:hAnsi="Times New Roman" w:eastAsia="宋体"/>
                <w:kern w:val="0"/>
                <w:szCs w:val="21"/>
                <w:lang w:bidi="ar"/>
              </w:rPr>
            </w:pPr>
            <w:r>
              <w:rPr>
                <w:rFonts w:ascii="Times New Roman" w:hAnsi="Times New Roman" w:eastAsia="宋体"/>
                <w:szCs w:val="21"/>
              </w:rPr>
              <w:t>合计</w:t>
            </w:r>
          </w:p>
        </w:tc>
        <w:tc>
          <w:tcPr>
            <w:tcW w:w="383" w:type="pct"/>
            <w:vMerge w:val="continue"/>
            <w:vAlign w:val="center"/>
          </w:tcPr>
          <w:p>
            <w:pPr>
              <w:widowControl/>
              <w:jc w:val="center"/>
              <w:textAlignment w:val="center"/>
              <w:rPr>
                <w:rFonts w:ascii="Times New Roman" w:hAnsi="Times New Roman" w:eastAsia="宋体"/>
                <w:kern w:val="0"/>
                <w:szCs w:val="21"/>
                <w:lang w:bidi="ar"/>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一</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第一部分 工程措施</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29.91</w:t>
            </w:r>
          </w:p>
        </w:tc>
        <w:tc>
          <w:tcPr>
            <w:tcW w:w="481"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246.89</w:t>
            </w: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276.80</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29.91</w:t>
            </w:r>
          </w:p>
        </w:tc>
        <w:tc>
          <w:tcPr>
            <w:tcW w:w="475"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246.89</w:t>
            </w: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276.80</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1</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厂区防治区</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2.18</w:t>
            </w:r>
          </w:p>
        </w:tc>
        <w:tc>
          <w:tcPr>
            <w:tcW w:w="481"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222.64</w:t>
            </w: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224.82</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2.18</w:t>
            </w:r>
          </w:p>
        </w:tc>
        <w:tc>
          <w:tcPr>
            <w:tcW w:w="475"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222.64</w:t>
            </w: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224.82</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2</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预留用地防治区</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23.76</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23.76</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23.76</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23.76</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3</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取水管线防治区</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3.40</w:t>
            </w:r>
          </w:p>
        </w:tc>
        <w:tc>
          <w:tcPr>
            <w:tcW w:w="481"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24.25</w:t>
            </w: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27.65</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3.40</w:t>
            </w:r>
          </w:p>
        </w:tc>
        <w:tc>
          <w:tcPr>
            <w:tcW w:w="475"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24.25</w:t>
            </w: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27.65</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4</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临时堆管场防治区</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0.57</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0.57</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0.57</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0.57</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二</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第二部分 植物措施</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6.28</w:t>
            </w:r>
          </w:p>
        </w:tc>
        <w:tc>
          <w:tcPr>
            <w:tcW w:w="481"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116.92</w:t>
            </w: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123.20</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6.28</w:t>
            </w:r>
          </w:p>
        </w:tc>
        <w:tc>
          <w:tcPr>
            <w:tcW w:w="475"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116.92</w:t>
            </w: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123.20</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1</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厂区防治区</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0.37</w:t>
            </w:r>
          </w:p>
        </w:tc>
        <w:tc>
          <w:tcPr>
            <w:tcW w:w="481"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116.92</w:t>
            </w: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117.29</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0.37</w:t>
            </w:r>
          </w:p>
        </w:tc>
        <w:tc>
          <w:tcPr>
            <w:tcW w:w="475"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116.92</w:t>
            </w: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117.29</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2</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预留用地防治区</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4.16</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4.16</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4.16</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4.16</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3</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取水管线防治区</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1.53</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1.53</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1.53</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1.53</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4</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临时堆管场防治区</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0.22</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0.22</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0.22</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0.22</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三</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第三部分 监测措施</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16.02</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16.02</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16.02</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16.02</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1</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设备折旧费</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0.99</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0.99</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0.99</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0.99</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2</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消耗性材料费</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0.86</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0.86</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0.86</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0.86</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3</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监测运行费</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14.17</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14.17</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14.17</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14.17</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2"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四</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第四部分 施工临时措施</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101.06</w:t>
            </w:r>
          </w:p>
        </w:tc>
        <w:tc>
          <w:tcPr>
            <w:tcW w:w="481"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12.50</w:t>
            </w: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113.56</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101.06</w:t>
            </w:r>
          </w:p>
        </w:tc>
        <w:tc>
          <w:tcPr>
            <w:tcW w:w="475"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12.50</w:t>
            </w: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113.56</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1</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厂区防治区</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15.14</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15.14</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15.14</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15.14</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2"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2</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预留用地防治区</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19.97</w:t>
            </w:r>
          </w:p>
        </w:tc>
        <w:tc>
          <w:tcPr>
            <w:tcW w:w="481"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12.50</w:t>
            </w: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32.47</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19.97</w:t>
            </w:r>
          </w:p>
        </w:tc>
        <w:tc>
          <w:tcPr>
            <w:tcW w:w="475"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12.50</w:t>
            </w: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32.47</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3</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取水管线防治区</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62.36</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62.36</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62.36</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62.36</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2"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4</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临时堆管场防治区</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2.87</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2.87</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2.87</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2.87</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5</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其他临时工程</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0.72</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0.72</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0.72</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0.72</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五</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第五部分 独立费用</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50.19</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50.19</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50.19</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50.19</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1</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技术咨询费</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41.14</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41.14</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41.14</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41.14</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2</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工程管理费</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9.05</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9.05</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9.05</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9.05</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kern w:val="0"/>
                <w:szCs w:val="21"/>
                <w:lang w:bidi="ar"/>
              </w:rPr>
            </w:pPr>
            <w:r>
              <w:rPr>
                <w:rFonts w:hint="eastAsia" w:ascii="宋体" w:hAnsi="宋体" w:eastAsia="宋体" w:cs="宋体"/>
                <w:kern w:val="0"/>
                <w:szCs w:val="21"/>
                <w:lang w:bidi="ar"/>
              </w:rPr>
              <w:t>Ⅰ</w:t>
            </w:r>
          </w:p>
        </w:tc>
        <w:tc>
          <w:tcPr>
            <w:tcW w:w="1300" w:type="pct"/>
            <w:noWrap/>
            <w:vAlign w:val="center"/>
          </w:tcPr>
          <w:p>
            <w:pPr>
              <w:widowControl/>
              <w:textAlignment w:val="center"/>
              <w:rPr>
                <w:rFonts w:ascii="Times New Roman" w:hAnsi="Times New Roman" w:eastAsia="宋体"/>
                <w:kern w:val="0"/>
                <w:szCs w:val="21"/>
                <w:lang w:bidi="ar"/>
              </w:rPr>
            </w:pPr>
            <w:r>
              <w:rPr>
                <w:rFonts w:ascii="Times New Roman" w:hAnsi="Times New Roman" w:eastAsia="宋体"/>
                <w:kern w:val="0"/>
                <w:szCs w:val="21"/>
                <w:lang w:bidi="ar"/>
              </w:rPr>
              <w:t>一至五部分合计</w:t>
            </w:r>
          </w:p>
        </w:tc>
        <w:tc>
          <w:tcPr>
            <w:tcW w:w="508" w:type="pct"/>
            <w:noWrap/>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203.46</w:t>
            </w:r>
          </w:p>
        </w:tc>
        <w:tc>
          <w:tcPr>
            <w:tcW w:w="481" w:type="pct"/>
            <w:noWrap/>
            <w:vAlign w:val="center"/>
          </w:tcPr>
          <w:p>
            <w:pPr>
              <w:jc w:val="center"/>
              <w:rPr>
                <w:rFonts w:ascii="Times New Roman" w:hAnsi="Times New Roman" w:eastAsia="宋体"/>
                <w:sz w:val="18"/>
                <w:szCs w:val="18"/>
              </w:rPr>
            </w:pPr>
            <w:r>
              <w:rPr>
                <w:rFonts w:ascii="Times New Roman" w:hAnsi="Times New Roman" w:eastAsia="宋体"/>
                <w:kern w:val="0"/>
                <w:sz w:val="18"/>
                <w:szCs w:val="18"/>
                <w:lang w:bidi="ar"/>
              </w:rPr>
              <w:t>376.31</w:t>
            </w:r>
          </w:p>
        </w:tc>
        <w:tc>
          <w:tcPr>
            <w:tcW w:w="470" w:type="pct"/>
            <w:noWrap/>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579.77</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203.46</w:t>
            </w:r>
          </w:p>
        </w:tc>
        <w:tc>
          <w:tcPr>
            <w:tcW w:w="475"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376.31</w:t>
            </w: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579.77</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hint="eastAsia" w:ascii="宋体" w:hAnsi="宋体" w:eastAsia="宋体" w:cs="宋体"/>
                <w:kern w:val="0"/>
                <w:szCs w:val="21"/>
                <w:lang w:bidi="ar"/>
              </w:rPr>
              <w:t>Ⅱ</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基本预备费</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12.21</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12.21</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12.21</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12.21</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40" w:type="pct"/>
            <w:noWrap/>
            <w:vAlign w:val="center"/>
          </w:tcPr>
          <w:p>
            <w:pPr>
              <w:widowControl/>
              <w:jc w:val="center"/>
              <w:textAlignment w:val="center"/>
              <w:rPr>
                <w:rFonts w:ascii="Times New Roman" w:hAnsi="Times New Roman" w:eastAsia="宋体"/>
                <w:szCs w:val="21"/>
              </w:rPr>
            </w:pPr>
            <w:r>
              <w:rPr>
                <w:rFonts w:hint="eastAsia" w:ascii="宋体" w:hAnsi="宋体" w:eastAsia="宋体" w:cs="宋体"/>
                <w:kern w:val="0"/>
                <w:szCs w:val="21"/>
                <w:lang w:bidi="ar"/>
              </w:rPr>
              <w:t>Ⅲ</w:t>
            </w:r>
          </w:p>
        </w:tc>
        <w:tc>
          <w:tcPr>
            <w:tcW w:w="1300" w:type="pct"/>
            <w:noWrap/>
            <w:vAlign w:val="center"/>
          </w:tcPr>
          <w:p>
            <w:pPr>
              <w:widowControl/>
              <w:textAlignment w:val="center"/>
              <w:rPr>
                <w:rFonts w:ascii="Times New Roman" w:hAnsi="Times New Roman" w:eastAsia="宋体"/>
                <w:szCs w:val="21"/>
              </w:rPr>
            </w:pPr>
            <w:r>
              <w:rPr>
                <w:rFonts w:ascii="Times New Roman" w:hAnsi="Times New Roman" w:eastAsia="宋体"/>
                <w:kern w:val="0"/>
                <w:szCs w:val="21"/>
                <w:lang w:bidi="ar"/>
              </w:rPr>
              <w:t>水土保持补偿费</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28.60</w:t>
            </w:r>
          </w:p>
        </w:tc>
        <w:tc>
          <w:tcPr>
            <w:tcW w:w="481" w:type="pct"/>
            <w:noWrap/>
            <w:vAlign w:val="center"/>
          </w:tcPr>
          <w:p>
            <w:pPr>
              <w:jc w:val="center"/>
              <w:rPr>
                <w:rFonts w:ascii="Times New Roman" w:hAnsi="Times New Roman" w:eastAsia="宋体"/>
                <w:sz w:val="18"/>
                <w:szCs w:val="18"/>
              </w:rPr>
            </w:pP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28.60</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28.60</w:t>
            </w:r>
          </w:p>
        </w:tc>
        <w:tc>
          <w:tcPr>
            <w:tcW w:w="475" w:type="pct"/>
            <w:vAlign w:val="center"/>
          </w:tcPr>
          <w:p>
            <w:pPr>
              <w:widowControl/>
              <w:jc w:val="center"/>
              <w:textAlignment w:val="center"/>
              <w:rPr>
                <w:rFonts w:ascii="Times New Roman" w:hAnsi="Times New Roman" w:eastAsia="宋体"/>
                <w:kern w:val="0"/>
                <w:sz w:val="18"/>
                <w:szCs w:val="18"/>
                <w:lang w:bidi="ar"/>
              </w:rPr>
            </w:pP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28.60</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640" w:type="pct"/>
            <w:gridSpan w:val="2"/>
            <w:noWrap/>
            <w:vAlign w:val="center"/>
          </w:tcPr>
          <w:p>
            <w:pPr>
              <w:widowControl/>
              <w:jc w:val="center"/>
              <w:textAlignment w:val="center"/>
              <w:rPr>
                <w:rFonts w:ascii="Times New Roman" w:hAnsi="Times New Roman" w:eastAsia="宋体"/>
                <w:szCs w:val="21"/>
              </w:rPr>
            </w:pPr>
            <w:r>
              <w:rPr>
                <w:rFonts w:ascii="Times New Roman" w:hAnsi="Times New Roman" w:eastAsia="宋体"/>
                <w:kern w:val="0"/>
                <w:szCs w:val="21"/>
                <w:lang w:bidi="ar"/>
              </w:rPr>
              <w:t>总投资（</w:t>
            </w:r>
            <w:r>
              <w:rPr>
                <w:rFonts w:hint="eastAsia" w:ascii="宋体" w:hAnsi="宋体" w:eastAsia="宋体" w:cs="宋体"/>
                <w:kern w:val="0"/>
                <w:szCs w:val="21"/>
                <w:lang w:bidi="ar"/>
              </w:rPr>
              <w:t>Ⅰ</w:t>
            </w:r>
            <w:r>
              <w:rPr>
                <w:rFonts w:ascii="Times New Roman" w:hAnsi="Times New Roman" w:eastAsia="宋体"/>
                <w:kern w:val="0"/>
                <w:szCs w:val="21"/>
                <w:lang w:bidi="ar"/>
              </w:rPr>
              <w:t>+</w:t>
            </w:r>
            <w:r>
              <w:rPr>
                <w:rFonts w:hint="eastAsia" w:ascii="宋体" w:hAnsi="宋体" w:eastAsia="宋体" w:cs="宋体"/>
                <w:kern w:val="0"/>
                <w:szCs w:val="21"/>
                <w:lang w:bidi="ar"/>
              </w:rPr>
              <w:t>Ⅱ</w:t>
            </w:r>
            <w:r>
              <w:rPr>
                <w:rFonts w:ascii="Times New Roman" w:hAnsi="Times New Roman" w:eastAsia="宋体"/>
                <w:kern w:val="0"/>
                <w:szCs w:val="21"/>
                <w:lang w:bidi="ar"/>
              </w:rPr>
              <w:t>+</w:t>
            </w:r>
            <w:r>
              <w:rPr>
                <w:rFonts w:hint="eastAsia" w:ascii="宋体" w:hAnsi="宋体" w:eastAsia="宋体" w:cs="宋体"/>
                <w:kern w:val="0"/>
                <w:szCs w:val="21"/>
                <w:lang w:bidi="ar"/>
              </w:rPr>
              <w:t>Ⅲ</w:t>
            </w:r>
            <w:r>
              <w:rPr>
                <w:rFonts w:ascii="Times New Roman" w:hAnsi="Times New Roman" w:eastAsia="宋体"/>
                <w:kern w:val="0"/>
                <w:szCs w:val="21"/>
                <w:lang w:bidi="ar"/>
              </w:rPr>
              <w:t>）</w:t>
            </w:r>
          </w:p>
        </w:tc>
        <w:tc>
          <w:tcPr>
            <w:tcW w:w="508"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244.27</w:t>
            </w:r>
          </w:p>
        </w:tc>
        <w:tc>
          <w:tcPr>
            <w:tcW w:w="481"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376.31</w:t>
            </w:r>
          </w:p>
        </w:tc>
        <w:tc>
          <w:tcPr>
            <w:tcW w:w="470" w:type="pct"/>
            <w:noWrap/>
            <w:vAlign w:val="center"/>
          </w:tcPr>
          <w:p>
            <w:pPr>
              <w:widowControl/>
              <w:jc w:val="center"/>
              <w:textAlignment w:val="center"/>
              <w:rPr>
                <w:rFonts w:ascii="Times New Roman" w:hAnsi="Times New Roman" w:eastAsia="宋体"/>
                <w:sz w:val="18"/>
                <w:szCs w:val="18"/>
              </w:rPr>
            </w:pPr>
            <w:r>
              <w:rPr>
                <w:rFonts w:ascii="Times New Roman" w:hAnsi="Times New Roman" w:eastAsia="宋体"/>
                <w:kern w:val="0"/>
                <w:sz w:val="18"/>
                <w:szCs w:val="18"/>
                <w:lang w:bidi="ar"/>
              </w:rPr>
              <w:t>620.58</w:t>
            </w:r>
          </w:p>
        </w:tc>
        <w:tc>
          <w:tcPr>
            <w:tcW w:w="547"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244.27</w:t>
            </w:r>
          </w:p>
        </w:tc>
        <w:tc>
          <w:tcPr>
            <w:tcW w:w="475"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376.31</w:t>
            </w:r>
          </w:p>
        </w:tc>
        <w:tc>
          <w:tcPr>
            <w:tcW w:w="491" w:type="pct"/>
            <w:vAlign w:val="center"/>
          </w:tcPr>
          <w:p>
            <w:pPr>
              <w:widowControl/>
              <w:jc w:val="center"/>
              <w:textAlignment w:val="center"/>
              <w:rPr>
                <w:rFonts w:ascii="Times New Roman" w:hAnsi="Times New Roman" w:eastAsia="宋体"/>
                <w:kern w:val="0"/>
                <w:sz w:val="18"/>
                <w:szCs w:val="18"/>
                <w:lang w:bidi="ar"/>
              </w:rPr>
            </w:pPr>
            <w:r>
              <w:rPr>
                <w:rFonts w:ascii="Times New Roman" w:hAnsi="Times New Roman" w:eastAsia="宋体"/>
                <w:kern w:val="0"/>
                <w:sz w:val="18"/>
                <w:szCs w:val="18"/>
                <w:lang w:bidi="ar"/>
              </w:rPr>
              <w:t>620.58</w:t>
            </w:r>
          </w:p>
        </w:tc>
        <w:tc>
          <w:tcPr>
            <w:tcW w:w="383" w:type="pct"/>
            <w:vAlign w:val="center"/>
          </w:tcPr>
          <w:p>
            <w:pPr>
              <w:widowControl/>
              <w:jc w:val="center"/>
              <w:textAlignment w:val="center"/>
              <w:rPr>
                <w:rFonts w:ascii="Times New Roman" w:hAnsi="Times New Roman" w:eastAsia="宋体"/>
                <w:kern w:val="0"/>
                <w:sz w:val="18"/>
                <w:szCs w:val="18"/>
                <w:lang w:bidi="ar"/>
              </w:rPr>
            </w:pPr>
            <w:r>
              <w:rPr>
                <w:rFonts w:hint="eastAsia" w:ascii="Times New Roman" w:hAnsi="Times New Roman" w:eastAsia="宋体"/>
                <w:kern w:val="0"/>
                <w:sz w:val="18"/>
                <w:szCs w:val="18"/>
                <w:lang w:bidi="ar"/>
              </w:rPr>
              <w:t>0</w:t>
            </w:r>
          </w:p>
        </w:tc>
      </w:tr>
    </w:tbl>
    <w:p>
      <w:pPr>
        <w:pStyle w:val="12"/>
        <w:ind w:firstLine="4480" w:firstLineChars="1400"/>
        <w:rPr>
          <w:rFonts w:eastAsia="方正仿宋_GBK"/>
          <w:color w:val="auto"/>
          <w:sz w:val="32"/>
          <w:szCs w:val="32"/>
        </w:rPr>
      </w:pPr>
    </w:p>
    <w:sectPr>
      <w:footerReference r:id="rId3" w:type="default"/>
      <w:footerReference r:id="rId4"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82088"/>
    <w:rsid w:val="00096CEE"/>
    <w:rsid w:val="000B0CF9"/>
    <w:rsid w:val="000B68B0"/>
    <w:rsid w:val="000D0BAC"/>
    <w:rsid w:val="000E314B"/>
    <w:rsid w:val="000E69AF"/>
    <w:rsid w:val="000F3345"/>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00A7"/>
    <w:rsid w:val="003412AC"/>
    <w:rsid w:val="00345138"/>
    <w:rsid w:val="003661C7"/>
    <w:rsid w:val="003718D7"/>
    <w:rsid w:val="003863F5"/>
    <w:rsid w:val="003D5855"/>
    <w:rsid w:val="003F6C1C"/>
    <w:rsid w:val="00415008"/>
    <w:rsid w:val="00416BE9"/>
    <w:rsid w:val="0042712E"/>
    <w:rsid w:val="004306F2"/>
    <w:rsid w:val="00443C83"/>
    <w:rsid w:val="00450581"/>
    <w:rsid w:val="00474189"/>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0BE"/>
    <w:rsid w:val="009A4F89"/>
    <w:rsid w:val="009B6F90"/>
    <w:rsid w:val="009C6F88"/>
    <w:rsid w:val="009E0ABA"/>
    <w:rsid w:val="009E10A6"/>
    <w:rsid w:val="009F130B"/>
    <w:rsid w:val="00A26738"/>
    <w:rsid w:val="00A43487"/>
    <w:rsid w:val="00A43587"/>
    <w:rsid w:val="00A45B4C"/>
    <w:rsid w:val="00A45E80"/>
    <w:rsid w:val="00A45E96"/>
    <w:rsid w:val="00A7428E"/>
    <w:rsid w:val="00A916D0"/>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6282D"/>
    <w:rsid w:val="00CA7B96"/>
    <w:rsid w:val="00CC005B"/>
    <w:rsid w:val="00CC09DB"/>
    <w:rsid w:val="00CC1700"/>
    <w:rsid w:val="00CD4B52"/>
    <w:rsid w:val="00D15928"/>
    <w:rsid w:val="00D214BE"/>
    <w:rsid w:val="00D3164C"/>
    <w:rsid w:val="00D716DF"/>
    <w:rsid w:val="00D735B9"/>
    <w:rsid w:val="00D8100B"/>
    <w:rsid w:val="00D81059"/>
    <w:rsid w:val="00D83A6F"/>
    <w:rsid w:val="00D87C75"/>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BD6CF5C"/>
    <w:rsid w:val="2DFB35DB"/>
    <w:rsid w:val="335CB453"/>
    <w:rsid w:val="3AFFCB52"/>
    <w:rsid w:val="3F375DE8"/>
    <w:rsid w:val="477FA31C"/>
    <w:rsid w:val="4DDB96E2"/>
    <w:rsid w:val="5BEF1A8D"/>
    <w:rsid w:val="67C85268"/>
    <w:rsid w:val="67FF4FD2"/>
    <w:rsid w:val="6D7BE9D6"/>
    <w:rsid w:val="6F6A1B7A"/>
    <w:rsid w:val="6F9D9EF8"/>
    <w:rsid w:val="6FDFF66C"/>
    <w:rsid w:val="74DF411A"/>
    <w:rsid w:val="75D3ABC5"/>
    <w:rsid w:val="7CF5B894"/>
    <w:rsid w:val="7DABE936"/>
    <w:rsid w:val="7DDFF8A4"/>
    <w:rsid w:val="7DF37FA8"/>
    <w:rsid w:val="7F7BD41E"/>
    <w:rsid w:val="924DD4D8"/>
    <w:rsid w:val="96FE9EFE"/>
    <w:rsid w:val="9D1BC888"/>
    <w:rsid w:val="B44E5B6F"/>
    <w:rsid w:val="B4A764D5"/>
    <w:rsid w:val="B9BF9788"/>
    <w:rsid w:val="BEFE32AD"/>
    <w:rsid w:val="DED782E6"/>
    <w:rsid w:val="DF7F9546"/>
    <w:rsid w:val="F2FE282B"/>
    <w:rsid w:val="F3FB0845"/>
    <w:rsid w:val="F3FED0B4"/>
    <w:rsid w:val="F9FD29CF"/>
    <w:rsid w:val="FCF75F16"/>
    <w:rsid w:val="FD1FB08C"/>
    <w:rsid w:val="FDE419AA"/>
    <w:rsid w:val="FF7E7199"/>
    <w:rsid w:val="FFBC3BE3"/>
    <w:rsid w:val="FFD5B995"/>
    <w:rsid w:val="FFFF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next w:val="1"/>
    <w:qFormat/>
    <w:uiPriority w:val="0"/>
    <w:pPr>
      <w:keepNext/>
      <w:keepLines/>
      <w:adjustRightInd w:val="0"/>
      <w:snapToGrid w:val="0"/>
      <w:spacing w:before="120" w:after="120" w:line="460" w:lineRule="atLeast"/>
      <w:outlineLvl w:val="2"/>
    </w:pPr>
    <w:rPr>
      <w:rFonts w:ascii="宋体" w:hAnsi="宋体" w:eastAsia="宋体" w:cs="Times New Roman"/>
      <w:b/>
      <w:kern w:val="2"/>
      <w:sz w:val="24"/>
      <w:lang w:val="en-US" w:eastAsia="zh-CN" w:bidi="ar-SA"/>
    </w:rPr>
  </w:style>
  <w:style w:type="paragraph" w:styleId="3">
    <w:name w:val="heading 4"/>
    <w:next w:val="4"/>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First Indent"/>
    <w:qFormat/>
    <w:uiPriority w:val="0"/>
    <w:pPr>
      <w:widowControl w:val="0"/>
      <w:spacing w:after="120"/>
      <w:ind w:firstLine="420" w:firstLineChars="100"/>
      <w:jc w:val="both"/>
    </w:pPr>
    <w:rPr>
      <w:rFonts w:ascii="Calibri" w:hAnsi="Calibri" w:eastAsia="宋体" w:cs="仿宋"/>
      <w:color w:val="000000"/>
      <w:kern w:val="2"/>
      <w:sz w:val="24"/>
      <w:szCs w:val="24"/>
      <w:lang w:val="en-US" w:eastAsia="zh-CN" w:bidi="ar-SA"/>
    </w:rPr>
  </w:style>
  <w:style w:type="paragraph" w:styleId="5">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6">
    <w:name w:val="Body Text Indent"/>
    <w:basedOn w:val="1"/>
    <w:link w:val="17"/>
    <w:semiHidden/>
    <w:unhideWhenUsed/>
    <w:qFormat/>
    <w:uiPriority w:val="99"/>
    <w:pPr>
      <w:spacing w:after="120"/>
      <w:ind w:left="420" w:leftChars="200"/>
    </w:p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字符"/>
    <w:link w:val="8"/>
    <w:qFormat/>
    <w:uiPriority w:val="99"/>
    <w:rPr>
      <w:sz w:val="18"/>
      <w:szCs w:val="18"/>
    </w:rPr>
  </w:style>
  <w:style w:type="character" w:customStyle="1" w:styleId="15">
    <w:name w:val="页脚 字符"/>
    <w:link w:val="7"/>
    <w:qFormat/>
    <w:uiPriority w:val="99"/>
    <w:rPr>
      <w:sz w:val="18"/>
      <w:szCs w:val="18"/>
    </w:rPr>
  </w:style>
  <w:style w:type="paragraph" w:customStyle="1" w:styleId="16">
    <w:name w:val="0正文"/>
    <w:basedOn w:val="6"/>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7">
    <w:name w:val="正文文本缩进 字符"/>
    <w:basedOn w:val="10"/>
    <w:link w:val="6"/>
    <w:semiHidden/>
    <w:qFormat/>
    <w:uiPriority w:val="99"/>
  </w:style>
  <w:style w:type="character" w:customStyle="1" w:styleId="18">
    <w:name w:val="正文啊 Char"/>
    <w:link w:val="19"/>
    <w:qFormat/>
    <w:uiPriority w:val="0"/>
    <w:rPr>
      <w:rFonts w:ascii="仿宋_GB2312" w:hAnsi="Times New Roman" w:eastAsia="仿宋_GB2312" w:cs="Times New Roman"/>
      <w:kern w:val="0"/>
      <w:sz w:val="28"/>
      <w:szCs w:val="22"/>
      <w:lang w:val="en-US" w:eastAsia="zh-CN" w:bidi="ar-SA"/>
    </w:rPr>
  </w:style>
  <w:style w:type="paragraph" w:customStyle="1" w:styleId="19">
    <w:name w:val="正文啊"/>
    <w:link w:val="18"/>
    <w:qFormat/>
    <w:uiPriority w:val="0"/>
    <w:pPr>
      <w:widowControl w:val="0"/>
      <w:spacing w:line="560" w:lineRule="exact"/>
      <w:ind w:firstLine="560" w:firstLineChars="200"/>
      <w:jc w:val="both"/>
    </w:pPr>
    <w:rPr>
      <w:rFonts w:ascii="仿宋_GB2312" w:hAnsi="Times New Roman" w:eastAsia="仿宋_GB2312" w:cs="Times New Roman"/>
      <w:sz w:val="28"/>
      <w:szCs w:val="22"/>
      <w:lang w:val="en-US" w:eastAsia="zh-CN" w:bidi="ar-SA"/>
    </w:rPr>
  </w:style>
  <w:style w:type="character" w:customStyle="1" w:styleId="20">
    <w:name w:val="font31"/>
    <w:qFormat/>
    <w:uiPriority w:val="0"/>
    <w:rPr>
      <w:rFonts w:hint="default" w:ascii="Times New Roman" w:hAnsi="Times New Roman" w:cs="Times New Roman"/>
      <w:color w:val="000000"/>
      <w:sz w:val="16"/>
      <w:szCs w:val="16"/>
      <w:u w:val="none"/>
    </w:rPr>
  </w:style>
  <w:style w:type="character" w:customStyle="1" w:styleId="21">
    <w:name w:val="font21"/>
    <w:qFormat/>
    <w:uiPriority w:val="0"/>
    <w:rPr>
      <w:rFonts w:hint="default" w:ascii="仿宋_GB2312" w:eastAsia="仿宋_GB2312" w:cs="仿宋_GB2312"/>
      <w:b/>
      <w:bCs/>
      <w:color w:val="000000"/>
      <w:sz w:val="18"/>
      <w:szCs w:val="18"/>
      <w:u w:val="none"/>
    </w:rPr>
  </w:style>
  <w:style w:type="character" w:customStyle="1" w:styleId="22">
    <w:name w:val="font11"/>
    <w:qFormat/>
    <w:uiPriority w:val="0"/>
    <w:rPr>
      <w:rFonts w:hint="default" w:ascii="楷体_GB2312" w:eastAsia="楷体_GB2312" w:cs="楷体_GB2312"/>
      <w:b/>
      <w:bCs/>
      <w:color w:val="000000"/>
      <w:sz w:val="18"/>
      <w:szCs w:val="18"/>
      <w:u w:val="none"/>
    </w:rPr>
  </w:style>
  <w:style w:type="character" w:customStyle="1" w:styleId="23">
    <w:name w:val="font61"/>
    <w:qFormat/>
    <w:uiPriority w:val="0"/>
    <w:rPr>
      <w:rFonts w:ascii="黑体" w:hAnsi="宋体" w:eastAsia="黑体" w:cs="黑体"/>
      <w:color w:val="000000"/>
      <w:sz w:val="28"/>
      <w:szCs w:val="28"/>
      <w:u w:val="none"/>
    </w:rPr>
  </w:style>
  <w:style w:type="character" w:customStyle="1" w:styleId="24">
    <w:name w:val="font71"/>
    <w:qFormat/>
    <w:uiPriority w:val="0"/>
    <w:rPr>
      <w:rFonts w:hint="default" w:ascii="Times New Roman" w:hAnsi="Times New Roman" w:cs="Times New Roman"/>
      <w:color w:val="000000"/>
      <w:sz w:val="20"/>
      <w:szCs w:val="20"/>
      <w:u w:val="none"/>
    </w:rPr>
  </w:style>
  <w:style w:type="paragraph" w:customStyle="1" w:styleId="25">
    <w:name w:val="表格内文字"/>
    <w:qFormat/>
    <w:uiPriority w:val="0"/>
    <w:pPr>
      <w:widowControl w:val="0"/>
      <w:adjustRightInd w:val="0"/>
      <w:snapToGrid w:val="0"/>
      <w:jc w:val="center"/>
    </w:pPr>
    <w:rPr>
      <w:rFonts w:ascii="Times New Roman" w:hAnsi="Times New Roman" w:eastAsia="仿宋_GB2312" w:cs="宋体"/>
      <w:kern w:val="2"/>
      <w:sz w:val="1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1008</Words>
  <Characters>5750</Characters>
  <Lines>47</Lines>
  <Paragraphs>13</Paragraphs>
  <TotalTime>1</TotalTime>
  <ScaleCrop>false</ScaleCrop>
  <LinksUpToDate>false</LinksUpToDate>
  <CharactersWithSpaces>6745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2020-10-28T07:08:00Z</dcterms:created>
  <dc:creator>张艺馨</dc:creator>
  <cp:lastModifiedBy>mominglu</cp:lastModifiedBy>
  <dcterms:modified xsi:type="dcterms:W3CDTF">2022-11-21T02:18:59Z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