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重庆市人民政府关于重庆市河道采砂禁采区和禁采期的公告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为加强我市河道采砂管理，维护河势稳定，保障防洪和通航安全，根据《长江河道采砂管理条例》《长江上游干流宜宾以下河道采砂管理规划（2020—2025年）》《重庆市重要河道采砂管理规划（2021—2025年）》有关规定，现将我市河道管理范围内开采砂石（以下简称采砂）的禁采区和禁采期有关事项公告如下：</w:t>
      </w:r>
    </w:p>
    <w:p>
      <w:pPr>
        <w:ind w:firstLine="640" w:firstLineChars="200"/>
        <w:rPr>
          <w:rFonts w:hint="eastAsia" w:eastAsia="方正黑体_GBK"/>
        </w:rPr>
      </w:pPr>
      <w:r>
        <w:rPr>
          <w:rFonts w:hint="eastAsia" w:eastAsia="方正黑体_GBK"/>
        </w:rPr>
        <w:t>一、河道名录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长江、嘉陵江、乌江、涪江、泥溪河、磨刀溪、渠溪河、龙溪河、綦江、龙河、汤溪河、长滩河、大宁河、湾滩河、梅溪河、郁江、花园河、小江、普里河、阿蓬江、中井河、细沙河、黎香溪、油江河、黑水滩河、璧北河、梁滩河、土主河、大洪河、蒲河、藻渡河、干河沟等32条河道。</w:t>
      </w:r>
    </w:p>
    <w:p>
      <w:pPr>
        <w:ind w:firstLine="640" w:firstLineChars="200"/>
        <w:rPr>
          <w:rFonts w:hint="eastAsia" w:eastAsia="方正黑体_GBK"/>
        </w:rPr>
      </w:pPr>
      <w:r>
        <w:rPr>
          <w:rFonts w:hint="eastAsia" w:eastAsia="方正黑体_GBK"/>
        </w:rPr>
        <w:t>二、禁采区范围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（一）外环绕城高速公路以内长江、嘉陵江水域（外环江津长江大桥、鱼嘴两江大桥、水土嘉陵江大桥以内的长江、嘉陵江河道水域）。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（二）河道名录涉及的长江上游珍稀特有鱼类国家级自然保护区，四大家鱼国家级水产种质资源保护区核心区，国家湿地公园的岸线和河段范围内。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三）河道名录涉及的跨江（河）桥梁上下游保护河段范围，涵闸、泵站、取水口、排水（污）口，水文站、水文观测断面、国考市考水质监测断面，堤防、护岸、沿江公路、河道（航道）整治建筑物，航道、航标、通航建筑物，渡口、码头、锚地、轮渡区，过江电缆（光缆）、石油天然气管道保护范围。</w:t>
      </w:r>
    </w:p>
    <w:p>
      <w:pPr>
        <w:ind w:firstLine="640" w:firstLineChars="200"/>
        <w:rPr>
          <w:rFonts w:hint="eastAsia" w:eastAsia="方正黑体_GBK"/>
        </w:rPr>
      </w:pPr>
      <w:r>
        <w:rPr>
          <w:rFonts w:hint="eastAsia" w:eastAsia="方正黑体_GBK"/>
        </w:rPr>
        <w:t>三、禁采期时段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（一）每年3月1日至6月30日全天禁采，其余时段每日21∶00至次日7∶00禁采。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（二）长江干流河段在长江寸滩水文站流量大于25000立方米/秒的时段禁采，其他河道在每年汛期超过警戒水位时段和涉及区县（自治县，以下简称区县）发布暴雨、山洪、地质灾害预警信息时段禁采。</w:t>
      </w:r>
    </w:p>
    <w:p>
      <w:pPr>
        <w:ind w:firstLine="640" w:firstLineChars="200"/>
        <w:rPr>
          <w:rFonts w:hint="eastAsia" w:eastAsia="方正黑体_GBK"/>
        </w:rPr>
      </w:pPr>
      <w:r>
        <w:rPr>
          <w:rFonts w:hint="eastAsia" w:eastAsia="方正黑体_GBK"/>
        </w:rPr>
        <w:t>四、有关事项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河道采砂必须严格执行河道采砂管理规划，并经审批许可，禁止在禁采区和禁采期从事一切采砂活动。防汛应急抢险，航道应急抢通，河道、航道整治疏浚，港口、取水口清淤，涉水工程建设及运行维护性活动按相关规定执行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（二）除本公告所列河道外，其他河道采砂禁采区和禁采期由各区县政府审批的采砂规划确定，并按照分级管理权限依法予以公告。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（三）本公告自发布之日起施行，有效期至2025年12月31日。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</w:p>
    <w:p>
      <w:pPr>
        <w:ind w:right="1485" w:rightChars="464" w:firstLine="640" w:firstLineChars="20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重庆市人民政府</w:t>
      </w:r>
    </w:p>
    <w:p>
      <w:pPr>
        <w:ind w:right="1280" w:rightChars="400" w:firstLine="640" w:firstLineChars="200"/>
        <w:jc w:val="right"/>
        <w:rPr>
          <w:rFonts w:hint="eastAsia"/>
        </w:rPr>
      </w:pPr>
      <w:r>
        <w:rPr>
          <w:rFonts w:hint="eastAsia"/>
        </w:rPr>
        <w:t xml:space="preserve">2021年11月17日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I1YTMxODEyYTlkNTc1NjdhZjQ5NGNjNmMyY2MifQ=="/>
  </w:docVars>
  <w:rsids>
    <w:rsidRoot w:val="00000000"/>
    <w:rsid w:val="1CAF6C73"/>
    <w:rsid w:val="7AB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903</Characters>
  <Lines>0</Lines>
  <Paragraphs>0</Paragraphs>
  <TotalTime>1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2023-05-31T08:31:00Z</dcterms:created>
  <dc:creator>Administrator</dc:creator>
  <cp:lastModifiedBy>不锈钢</cp:lastModifiedBy>
  <dcterms:modified xsi:type="dcterms:W3CDTF">2023-05-31T08:35:20Z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55A4B0478AB24C66B8534556832415DB_12</vt:lpwstr>
  </property>
</Properties>
</file>